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142018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C7FED" w:rsidRPr="00006957" w:rsidRDefault="00EC7FE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1.2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hK257t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EC7FED" w:rsidRPr="00006957" w:rsidRDefault="00EC7FE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FED" w:rsidRDefault="00EC7FE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C7FED" w:rsidRDefault="00EC7FE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14EAD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CSI-F CENTRAL SINDICAL INDEPENDIENTE Y DE FUNCIONARIOS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0217F2" w:rsidP="00F22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513DC">
              <w:rPr>
                <w:sz w:val="24"/>
                <w:szCs w:val="24"/>
              </w:rPr>
              <w:t xml:space="preserve"> de </w:t>
            </w:r>
            <w:r w:rsidR="00F22F6C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23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3246B">
              <w:rPr>
                <w:sz w:val="24"/>
                <w:szCs w:val="24"/>
              </w:rPr>
              <w:t>ttps://www.csif.es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D44E84">
        <w:tc>
          <w:tcPr>
            <w:tcW w:w="1760" w:type="dxa"/>
            <w:shd w:val="clear" w:color="auto" w:fill="4D7F52"/>
          </w:tcPr>
          <w:p w:rsidR="00C43711" w:rsidRPr="00F14DA4" w:rsidRDefault="00C43711" w:rsidP="00D44E8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D44E8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D44E8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D44E84">
        <w:tc>
          <w:tcPr>
            <w:tcW w:w="1760" w:type="dxa"/>
          </w:tcPr>
          <w:p w:rsidR="002A3BD9" w:rsidRDefault="002A3BD9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D44E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D44E84">
        <w:tc>
          <w:tcPr>
            <w:tcW w:w="1760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D4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D44E84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D44E8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D44E84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3645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AA6CC2" w:rsidRPr="00AA6CC2" w:rsidTr="00AA6CC2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AA6CC2" w:rsidRDefault="00CB5511" w:rsidP="00CB5511">
            <w:pPr>
              <w:rPr>
                <w:b/>
              </w:rPr>
            </w:pPr>
            <w:r w:rsidRPr="00AA6CC2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AA6CC2" w:rsidRDefault="00AA6CC2" w:rsidP="00CB5511">
            <w:pPr>
              <w:jc w:val="center"/>
              <w:rPr>
                <w:b/>
                <w:sz w:val="20"/>
                <w:szCs w:val="20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3969" w:type="dxa"/>
            <w:vMerge w:val="restart"/>
          </w:tcPr>
          <w:p w:rsidR="00D44E84" w:rsidRPr="00AA6CC2" w:rsidRDefault="00AA6CC2" w:rsidP="00AA6CC2">
            <w:pPr>
              <w:spacing w:before="240"/>
              <w:rPr>
                <w:rStyle w:val="Ttulo2Car"/>
                <w:rFonts w:cs="Tahoma"/>
                <w:b w:val="0"/>
                <w:color w:val="auto"/>
                <w:sz w:val="22"/>
                <w:szCs w:val="22"/>
                <w:lang w:bidi="es-ES"/>
              </w:rPr>
            </w:pPr>
            <w:r w:rsidRPr="00AA6CC2">
              <w:rPr>
                <w:sz w:val="20"/>
                <w:szCs w:val="20"/>
              </w:rPr>
              <w:t xml:space="preserve">CSIF dispone de un Portal de Transparencia al que se accede mediante el banner </w:t>
            </w:r>
            <w:r w:rsidR="00D44E84" w:rsidRPr="00AA6CC2">
              <w:rPr>
                <w:rStyle w:val="Ttulo2Car"/>
                <w:rFonts w:ascii="Tahoma" w:hAnsi="Tahoma" w:cs="Tahoma"/>
                <w:color w:val="auto"/>
                <w:sz w:val="22"/>
                <w:szCs w:val="22"/>
                <w:lang w:bidi="es-ES"/>
              </w:rPr>
              <w:t>“</w:t>
            </w:r>
            <w:r w:rsidR="00D44E84" w:rsidRPr="00AA6CC2">
              <w:rPr>
                <w:rStyle w:val="Ttulo2Car"/>
                <w:rFonts w:cs="Tahoma"/>
                <w:b w:val="0"/>
                <w:color w:val="auto"/>
                <w:sz w:val="22"/>
                <w:szCs w:val="22"/>
                <w:lang w:bidi="es-ES"/>
              </w:rPr>
              <w:t>Transparencia</w:t>
            </w:r>
          </w:p>
          <w:p w:rsidR="00D44E84" w:rsidRPr="00AA6CC2" w:rsidRDefault="00D44E84" w:rsidP="00AA6CC2">
            <w:pPr>
              <w:rPr>
                <w:rFonts w:ascii="Tahoma" w:hAnsi="Tahoma" w:cs="Tahoma"/>
              </w:rPr>
            </w:pPr>
            <w:r w:rsidRPr="00AA6CC2">
              <w:rPr>
                <w:rStyle w:val="Ttulo2Car"/>
                <w:rFonts w:cs="Tahoma"/>
                <w:b w:val="0"/>
                <w:color w:val="auto"/>
                <w:sz w:val="22"/>
                <w:szCs w:val="22"/>
                <w:lang w:bidi="es-ES"/>
              </w:rPr>
              <w:t>Auditoría de cuentas 2020”</w:t>
            </w:r>
            <w:r w:rsidRPr="00AA6CC2">
              <w:rPr>
                <w:sz w:val="20"/>
                <w:szCs w:val="20"/>
              </w:rPr>
              <w:t xml:space="preserve"> </w:t>
            </w:r>
            <w:r w:rsidR="00AA6CC2" w:rsidRPr="00AA6CC2">
              <w:rPr>
                <w:sz w:val="20"/>
                <w:szCs w:val="20"/>
              </w:rPr>
              <w:t>situado en el lateral derecho de la página home</w:t>
            </w: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CB5511" w:rsidRPr="00AA6CC2" w:rsidRDefault="00CB5511" w:rsidP="00CB551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AA6CC2" w:rsidRDefault="00CB5511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CB5511" w:rsidRPr="00AA6CC2" w:rsidRDefault="00CB5511" w:rsidP="00CB551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AA6CC2" w:rsidRDefault="00CB5511" w:rsidP="0023246B">
            <w:pPr>
              <w:pStyle w:val="Cuerpodelboletn"/>
              <w:spacing w:before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AA6CC2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Pr="00AA6CC2" w:rsidRDefault="00CB5511"/>
    <w:p w:rsidR="00CB5511" w:rsidRPr="00AA6CC2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AA6CC2" w:rsidRPr="00AA6CC2" w:rsidTr="00AA6CC2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AA6CC2" w:rsidRDefault="00932008" w:rsidP="00932008">
            <w:pPr>
              <w:rPr>
                <w:b/>
                <w:color w:val="FFFFFF" w:themeColor="background1"/>
              </w:rPr>
            </w:pPr>
            <w:r w:rsidRPr="00AA6CC2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AA6CC2" w:rsidRDefault="00932008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AA6CC2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AA6CC2" w:rsidRDefault="00AA6CC2" w:rsidP="00AA6CC2">
            <w:pPr>
              <w:spacing w:before="800"/>
            </w:pPr>
            <w:r w:rsidRPr="00AA6CC2">
              <w:t>La mayor parte de la información obligatoria localizada se encuentra fuera del Portal de Transparencia que únicamente incluye las cuentas e informe de auditoría 2020.</w:t>
            </w: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AA6CC2" w:rsidRDefault="00932008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AA6CC2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</w:tr>
      <w:tr w:rsidR="00AA6CC2" w:rsidRPr="00AA6CC2" w:rsidTr="00E34195">
        <w:tc>
          <w:tcPr>
            <w:tcW w:w="2235" w:type="dxa"/>
            <w:vMerge/>
            <w:shd w:val="clear" w:color="auto" w:fill="00642D"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AA6CC2" w:rsidRDefault="00932008">
            <w:pPr>
              <w:rPr>
                <w:sz w:val="20"/>
                <w:szCs w:val="20"/>
              </w:rPr>
            </w:pPr>
            <w:r w:rsidRPr="00AA6CC2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AA6CC2" w:rsidRDefault="00AA6CC2" w:rsidP="0023246B">
            <w:pPr>
              <w:pStyle w:val="Cuerpodelboletn"/>
              <w:spacing w:before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3977" w:type="dxa"/>
            <w:vMerge/>
          </w:tcPr>
          <w:p w:rsidR="00932008" w:rsidRPr="00AA6CC2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Pr="00AA6CC2" w:rsidRDefault="00561402"/>
    <w:p w:rsidR="00561402" w:rsidRDefault="00EC7FED">
      <w:r w:rsidRPr="00EC7FED">
        <w:rPr>
          <w:noProof/>
        </w:rPr>
        <w:drawing>
          <wp:inline distT="0" distB="0" distL="0" distR="0" wp14:anchorId="7A3F3BA5" wp14:editId="29A66F35">
            <wp:extent cx="6555179" cy="38119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7798" cy="38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402"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C571B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571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AA6CC2" w:rsidP="002513DC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color w:val="auto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D6086" w:rsidRPr="00AA6CC2" w:rsidRDefault="00AA6CC2" w:rsidP="00AA6CC2">
            <w:pPr>
              <w:spacing w:before="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r w:rsidR="00ED6086"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“Quiénes somos”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AA6CC2" w:rsidP="00E6626E">
            <w:pPr>
              <w:pStyle w:val="Cuerpodelboletn"/>
              <w:spacing w:before="5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6CC2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A6CC2" w:rsidRPr="00CB5511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E34195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AA6CC2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>
            <w:r w:rsidRPr="008D0811">
              <w:t>No se ha localizado información</w:t>
            </w:r>
          </w:p>
        </w:tc>
      </w:tr>
      <w:tr w:rsidR="00AA6CC2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A6CC2" w:rsidRPr="00CB5511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E34195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AA6CC2" w:rsidRDefault="00AA6CC2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>
            <w:r w:rsidRPr="008D0811"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7FED" w:rsidRPr="00ED29AA" w:rsidRDefault="00EC7FED" w:rsidP="00AA6CC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 sobre su estructura organizativa 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identidad de los máximos responsables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EC7FED" w:rsidRPr="002301DB" w:rsidRDefault="00EC7FED" w:rsidP="00AA6CC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C7FED" w:rsidRDefault="00EC7FED" w:rsidP="00AA6CC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EC7FED" w:rsidRPr="00BD4582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7FED" w:rsidRPr="00ED29AA" w:rsidRDefault="00EC7FED" w:rsidP="00AA6CC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informa sobre su estructura organizativa 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identidad de los máximos responsables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EC7FED" w:rsidRPr="002301DB" w:rsidRDefault="00EC7FED" w:rsidP="00AA6CC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C7FED" w:rsidRDefault="00EC7FED" w:rsidP="00AA6CC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EC7FED" w:rsidRPr="00BD4582" w:rsidRDefault="00EC7FE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AA20BC" w:rsidRPr="00E34195" w:rsidTr="00F815D7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AA20BC" w:rsidRPr="00E34195" w:rsidRDefault="00AA20BC" w:rsidP="000766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A20BC" w:rsidRPr="00E34195" w:rsidRDefault="00AA20BC" w:rsidP="00F815D7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AA20BC" w:rsidRPr="00E34195" w:rsidRDefault="00AA20BC" w:rsidP="00076624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A20BC" w:rsidRPr="00E34195" w:rsidRDefault="00AA20BC" w:rsidP="00F815D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A6CC2" w:rsidRPr="00CB5511" w:rsidTr="00AA6CC2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Pr="00E34195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AA6CC2" w:rsidRPr="00E34195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Pr="00E34195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50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AA6CC2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AA6C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D239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85600" w:rsidRPr="00CB5511" w:rsidTr="00AA6CC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85600" w:rsidRDefault="00F85600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5600" w:rsidRDefault="00F85600" w:rsidP="00076624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5600" w:rsidRPr="00CB5511" w:rsidRDefault="00F85600" w:rsidP="00AA20BC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color w:val="auto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5600" w:rsidRPr="00AA20BC" w:rsidRDefault="00F85600" w:rsidP="00AA20BC">
            <w:pPr>
              <w:pStyle w:val="Cuerpodelboletn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A6CC2" w:rsidRPr="00CB5511" w:rsidTr="00AA6CC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07662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646C8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A6CC2" w:rsidRPr="00CB5511" w:rsidTr="00AA6CC2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A6CC2" w:rsidRDefault="00AA6CC2" w:rsidP="00AA6CC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Default="00AA6CC2" w:rsidP="00076624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A6CC2" w:rsidRPr="00CB5511" w:rsidRDefault="00AA6CC2" w:rsidP="0007662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A6CC2" w:rsidRDefault="00AA6CC2" w:rsidP="00AA6CC2">
            <w:r w:rsidRPr="00646C8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7FED" w:rsidRDefault="00EC7FED" w:rsidP="00EC7FED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contratos adjudicados por administraciones públicas.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EC7FED" w:rsidRDefault="00EC7FED" w:rsidP="00EC7F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retribuciones percibidas por los máximos responsables</w:t>
                            </w:r>
                          </w:p>
                          <w:p w:rsidR="00EC7FED" w:rsidRPr="00BD4582" w:rsidRDefault="00EC7FE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C7FED" w:rsidRDefault="00EC7FED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EC7FED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7FED" w:rsidRDefault="00EC7FED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7FED" w:rsidRDefault="00EC7FED" w:rsidP="00EC7FED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contratos adjudicados por administraciones públicas.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EC7FED" w:rsidRDefault="00EC7FED" w:rsidP="00EC7FE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retribuciones percibidas por los máximos responsables</w:t>
                      </w:r>
                    </w:p>
                    <w:p w:rsidR="00EC7FED" w:rsidRPr="00BD4582" w:rsidRDefault="00EC7FED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C7FED" w:rsidRDefault="00EC7FED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EC7FED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</w:rPr>
      </w:pPr>
      <w:r>
        <w:rPr>
          <w:b/>
          <w:color w:val="50866C"/>
          <w:sz w:val="32"/>
        </w:rPr>
        <w:br w:type="page"/>
      </w:r>
    </w:p>
    <w:p w:rsidR="00EC7FED" w:rsidRDefault="00EC7FED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C7FED" w:rsidRPr="00FD0689" w:rsidTr="00EC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C7FED" w:rsidRPr="00FD0689" w:rsidRDefault="00EC7FE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16,7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0,0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AD">
              <w:t>14,3</w:t>
            </w:r>
          </w:p>
        </w:tc>
      </w:tr>
      <w:tr w:rsidR="00EC7FED" w:rsidRPr="00FD0689" w:rsidTr="00EC7FE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C7FED" w:rsidRPr="00FD0689" w:rsidRDefault="00EC7FE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  <w:tc>
          <w:tcPr>
            <w:tcW w:w="0" w:type="auto"/>
            <w:noWrap/>
            <w:vAlign w:val="center"/>
          </w:tcPr>
          <w:p w:rsidR="00EC7FED" w:rsidRPr="00F468AD" w:rsidRDefault="00EC7FED" w:rsidP="00EC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AD">
              <w:t>12,5</w:t>
            </w:r>
          </w:p>
        </w:tc>
      </w:tr>
      <w:tr w:rsidR="00EC7FED" w:rsidRPr="00A94BCA" w:rsidTr="00EC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C7FED" w:rsidRPr="002A154B" w:rsidRDefault="00EC7FE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C7FED" w:rsidRPr="00EC7FED" w:rsidRDefault="00EC7FED" w:rsidP="00EC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C7FED">
              <w:rPr>
                <w:b/>
                <w:i/>
              </w:rPr>
              <w:t>13,3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EC7FED" w:rsidRDefault="00EC7FED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 xml:space="preserve">El Índice de Cumplimiento de la Información Obligatoria (ICIO) se sitúa en el 13,3%. Los factores que explican el nivel de cumplimiento alcanzado son la omisión de la publicación de contenidos obligatorios – sólo se publica el </w:t>
      </w:r>
      <w:r w:rsidR="00F22F6C">
        <w:t>14,3</w:t>
      </w:r>
      <w: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021278"/>
                <wp:effectExtent l="0" t="0" r="21590" b="266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2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C7FED" w:rsidRDefault="00F22F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CSIF</w:t>
                            </w:r>
                            <w:r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  <w:p w:rsidR="00EC7FED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EC7FED" w:rsidRPr="002A154B" w:rsidRDefault="00EC7FE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80.4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">
                <v:textbox>
                  <w:txbxContent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C7FED" w:rsidRDefault="00F22F6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CSIF</w:t>
                      </w:r>
                      <w:r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  <w:p w:rsidR="00EC7FED" w:rsidRDefault="00EC7FED">
                      <w:pPr>
                        <w:rPr>
                          <w:b/>
                          <w:color w:val="00642D"/>
                        </w:rPr>
                      </w:pPr>
                    </w:p>
                    <w:p w:rsidR="00EC7FED" w:rsidRPr="002A154B" w:rsidRDefault="00EC7FE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ED" w:rsidRDefault="00EC7FE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22F6C" w:rsidRDefault="00F22F6C" w:rsidP="00F22F6C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AC745E">
                              <w:rPr>
                                <w:rFonts w:eastAsia="Times New Roman" w:cs="Times New Roman"/>
                              </w:rPr>
                              <w:t xml:space="preserve">Como buenas prácticas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que podrían ser aplicables por otras organizaciones sujetas a obligaciones de publicidad activa, cabe destacar:</w:t>
                            </w:r>
                          </w:p>
                          <w:p w:rsidR="00EC7FED" w:rsidRPr="00F22F6C" w:rsidRDefault="00F22F6C" w:rsidP="002A15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F22F6C">
                              <w:rPr>
                                <w:rFonts w:eastAsia="Times New Roman" w:cs="Times New Roman"/>
                              </w:rPr>
                              <w:t>La creación de un Portal de Transparencia en la web institucional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EC7FED" w:rsidRDefault="00EC7FE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22F6C" w:rsidRDefault="00F22F6C" w:rsidP="00F22F6C">
                      <w:pPr>
                        <w:rPr>
                          <w:rFonts w:eastAsia="Times New Roman" w:cs="Times New Roman"/>
                        </w:rPr>
                      </w:pPr>
                      <w:r w:rsidRPr="00AC745E">
                        <w:rPr>
                          <w:rFonts w:eastAsia="Times New Roman" w:cs="Times New Roman"/>
                        </w:rPr>
                        <w:t xml:space="preserve">Como buenas prácticas </w:t>
                      </w:r>
                      <w:r>
                        <w:rPr>
                          <w:rFonts w:eastAsia="Times New Roman" w:cs="Times New Roman"/>
                        </w:rPr>
                        <w:t>que podrían ser aplicables por otras organizaciones sujetas a obligaciones de publicidad activa, cabe destacar:</w:t>
                      </w:r>
                    </w:p>
                    <w:p w:rsidR="00EC7FED" w:rsidRPr="00F22F6C" w:rsidRDefault="00F22F6C" w:rsidP="002A15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color w:val="00642D"/>
                        </w:rPr>
                      </w:pPr>
                      <w:r w:rsidRPr="00F22F6C">
                        <w:rPr>
                          <w:rFonts w:eastAsia="Times New Roman" w:cs="Times New Roman"/>
                        </w:rPr>
                        <w:t>La creación de un Portal de Transparencia en la web institucional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F22F6C" w:rsidRDefault="00F22F6C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F22F6C" w:rsidRPr="00993AC2" w:rsidRDefault="00F22F6C" w:rsidP="00F22F6C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CSIF</w:t>
      </w:r>
      <w:r w:rsidRPr="00993AC2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13,3</w:t>
      </w:r>
      <w:r w:rsidRPr="00993AC2">
        <w:rPr>
          <w:rFonts w:eastAsia="Times New Roman" w:cs="Arial"/>
        </w:rPr>
        <w:t xml:space="preserve">%. </w:t>
      </w:r>
    </w:p>
    <w:p w:rsidR="00F22F6C" w:rsidRDefault="00F22F6C" w:rsidP="00F22F6C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CSIF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F22F6C" w:rsidRPr="008017C0" w:rsidRDefault="00F22F6C" w:rsidP="00F22F6C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</w:p>
    <w:p w:rsidR="00F22F6C" w:rsidRPr="008017C0" w:rsidRDefault="00F22F6C" w:rsidP="00F22F6C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F22F6C" w:rsidRPr="00993AC2" w:rsidRDefault="00F22F6C" w:rsidP="00F22F6C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CSIF </w:t>
      </w:r>
      <w:r w:rsidRPr="00993AC2">
        <w:t xml:space="preserve">debería </w:t>
      </w:r>
      <w:r>
        <w:t>estructurar</w:t>
      </w:r>
      <w:r w:rsidRPr="00993AC2">
        <w:t xml:space="preserve"> </w:t>
      </w:r>
      <w:r>
        <w:t>su</w:t>
      </w:r>
      <w:r w:rsidRPr="00993AC2">
        <w:t xml:space="preserve"> Portal de Transparencia conforme al patrón que establece la LTAIBG: Información Institucional y Organizativa;  e Información Económica y Presupuestaria.</w:t>
      </w:r>
    </w:p>
    <w:p w:rsidR="00F22F6C" w:rsidRPr="008017C0" w:rsidRDefault="00F22F6C" w:rsidP="00F22F6C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>
        <w:rPr>
          <w:rFonts w:eastAsiaTheme="majorEastAsia" w:cs="Arial"/>
          <w:bCs/>
        </w:rPr>
        <w:t>y</w:t>
      </w:r>
      <w:r w:rsidRPr="008017C0">
        <w:rPr>
          <w:rFonts w:eastAsiaTheme="majorEastAsia" w:cs="Arial"/>
          <w:bCs/>
        </w:rPr>
        <w:t xml:space="preserve"> 8 de la LTAIBG. </w:t>
      </w:r>
    </w:p>
    <w:p w:rsidR="00F22F6C" w:rsidRPr="008017C0" w:rsidRDefault="00F22F6C" w:rsidP="00F22F6C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22F6C" w:rsidRDefault="00F22F6C" w:rsidP="00F22F6C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F22F6C" w:rsidRPr="008017C0" w:rsidRDefault="00F22F6C" w:rsidP="00F22F6C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F22F6C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F22F6C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F22F6C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>
        <w:rPr>
          <w:rFonts w:eastAsiaTheme="minorHAnsi" w:cs="Arial"/>
          <w:lang w:eastAsia="en-US" w:bidi="es-ES"/>
        </w:rPr>
        <w:t xml:space="preserve">a que le resulta de aplicación </w:t>
      </w:r>
    </w:p>
    <w:p w:rsidR="00F22F6C" w:rsidRPr="00794454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Debería publicarse una descripción de las estructura organizativa</w:t>
      </w:r>
    </w:p>
    <w:p w:rsidR="00F22F6C" w:rsidRPr="00F22F6C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el organigrama </w:t>
      </w:r>
      <w:r>
        <w:rPr>
          <w:rFonts w:eastAsiaTheme="minorHAnsi" w:cs="Arial"/>
          <w:szCs w:val="24"/>
          <w:lang w:eastAsia="en-US" w:bidi="es-ES"/>
        </w:rPr>
        <w:t xml:space="preserve">de </w:t>
      </w:r>
      <w:r w:rsidRPr="00794454">
        <w:rPr>
          <w:rFonts w:eastAsiaTheme="minorHAnsi" w:cs="Arial"/>
          <w:szCs w:val="24"/>
          <w:lang w:eastAsia="en-US" w:bidi="es-ES"/>
        </w:rPr>
        <w:t xml:space="preserve"> </w:t>
      </w:r>
      <w:r>
        <w:rPr>
          <w:rFonts w:eastAsia="Times New Roman" w:cs="Arial"/>
        </w:rPr>
        <w:t>CSIF.</w:t>
      </w:r>
    </w:p>
    <w:p w:rsidR="00F22F6C" w:rsidRPr="00794454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="Times New Roman" w:cs="Arial"/>
        </w:rPr>
        <w:t>Debe publicarse información sobre la identidad de los máximos responsables</w:t>
      </w:r>
    </w:p>
    <w:p w:rsidR="00F22F6C" w:rsidRPr="00794454" w:rsidRDefault="00F22F6C" w:rsidP="00F22F6C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publicarse información sobre los perfiles y trayectorias profesionales de sus responsables.</w:t>
      </w:r>
    </w:p>
    <w:p w:rsidR="00F22F6C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</w:t>
      </w:r>
      <w:r>
        <w:rPr>
          <w:rFonts w:eastAsia="Times New Roman" w:cs="Arial"/>
          <w:bCs/>
          <w:szCs w:val="36"/>
        </w:rPr>
        <w:t>publicarse la información sobre subvenciones y ayudas públicas percibidas.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F22F6C" w:rsidRPr="00805C29" w:rsidRDefault="00F22F6C" w:rsidP="00F22F6C">
      <w:pPr>
        <w:numPr>
          <w:ilvl w:val="0"/>
          <w:numId w:val="10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F22F6C" w:rsidRPr="008017C0" w:rsidRDefault="00F22F6C" w:rsidP="00F22F6C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F22F6C" w:rsidRPr="008017C0" w:rsidRDefault="00F22F6C" w:rsidP="00F22F6C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F22F6C" w:rsidRPr="00F22F6C" w:rsidRDefault="00F22F6C" w:rsidP="00F22F6C">
      <w:pPr>
        <w:numPr>
          <w:ilvl w:val="0"/>
          <w:numId w:val="11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F22F6C" w:rsidRPr="00E963B3" w:rsidRDefault="00F22F6C" w:rsidP="00F22F6C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22F6C" w:rsidRPr="00380060" w:rsidRDefault="00F22F6C" w:rsidP="00F22F6C">
      <w:pPr>
        <w:numPr>
          <w:ilvl w:val="0"/>
          <w:numId w:val="11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F22F6C" w:rsidRPr="008017C0" w:rsidRDefault="00F22F6C" w:rsidP="00F22F6C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22F6C" w:rsidRPr="008017C0" w:rsidRDefault="00F22F6C" w:rsidP="00F22F6C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F22F6C" w:rsidRDefault="00F22F6C" w:rsidP="00F22F6C">
      <w:r>
        <w:br w:type="page"/>
      </w:r>
    </w:p>
    <w:p w:rsidR="00121C30" w:rsidRPr="00121C30" w:rsidRDefault="00536450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D44E8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D44E8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D44E8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D44E8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D44E8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D44E8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D44E8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D44E8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D44E8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D44E8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D44E8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D44E8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D44E8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D44E8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D44E8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D44E8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D44E8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D44E8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D44E8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D44E8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44E8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D44E8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D44E8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D44E8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D44E8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D44E8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D44E8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ED" w:rsidRDefault="00EC7FED" w:rsidP="00932008">
      <w:pPr>
        <w:spacing w:after="0" w:line="240" w:lineRule="auto"/>
      </w:pPr>
      <w:r>
        <w:separator/>
      </w:r>
    </w:p>
  </w:endnote>
  <w:endnote w:type="continuationSeparator" w:id="0">
    <w:p w:rsidR="00EC7FED" w:rsidRDefault="00EC7FE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ED" w:rsidRDefault="00EC7FED" w:rsidP="00932008">
      <w:pPr>
        <w:spacing w:after="0" w:line="240" w:lineRule="auto"/>
      </w:pPr>
      <w:r>
        <w:separator/>
      </w:r>
    </w:p>
  </w:footnote>
  <w:footnote w:type="continuationSeparator" w:id="0">
    <w:p w:rsidR="00EC7FED" w:rsidRDefault="00EC7FE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060091"/>
      <w:docPartObj>
        <w:docPartGallery w:val="Watermarks"/>
        <w:docPartUnique/>
      </w:docPartObj>
    </w:sdtPr>
    <w:sdtEndPr/>
    <w:sdtContent>
      <w:p w:rsidR="00EC7FED" w:rsidRDefault="00536450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2408361" o:spid="_x0000_s2049" type="#_x0000_t136" style="position:absolute;margin-left:0;margin-top:0;width:579.7pt;height:158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VISIO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D" w:rsidRDefault="00EC7F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00A1D"/>
    <w:multiLevelType w:val="hybridMultilevel"/>
    <w:tmpl w:val="390847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70080E"/>
    <w:multiLevelType w:val="hybridMultilevel"/>
    <w:tmpl w:val="13F0226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76624"/>
    <w:rsid w:val="000965B3"/>
    <w:rsid w:val="000C6CFF"/>
    <w:rsid w:val="00102733"/>
    <w:rsid w:val="00121C30"/>
    <w:rsid w:val="00151E0B"/>
    <w:rsid w:val="001561A4"/>
    <w:rsid w:val="001B614A"/>
    <w:rsid w:val="0023246B"/>
    <w:rsid w:val="002513DC"/>
    <w:rsid w:val="002A154B"/>
    <w:rsid w:val="002A3BD9"/>
    <w:rsid w:val="00316B14"/>
    <w:rsid w:val="003F271E"/>
    <w:rsid w:val="003F572A"/>
    <w:rsid w:val="004F2655"/>
    <w:rsid w:val="00521DA9"/>
    <w:rsid w:val="00536450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14EAD"/>
    <w:rsid w:val="00843911"/>
    <w:rsid w:val="00844FA9"/>
    <w:rsid w:val="008C1E1E"/>
    <w:rsid w:val="00932008"/>
    <w:rsid w:val="009609E9"/>
    <w:rsid w:val="009E1D68"/>
    <w:rsid w:val="00A8146B"/>
    <w:rsid w:val="00AA20BC"/>
    <w:rsid w:val="00AA6CC2"/>
    <w:rsid w:val="00AC4F51"/>
    <w:rsid w:val="00AD2022"/>
    <w:rsid w:val="00AD2591"/>
    <w:rsid w:val="00AF6C05"/>
    <w:rsid w:val="00B0673F"/>
    <w:rsid w:val="00B40246"/>
    <w:rsid w:val="00B841AE"/>
    <w:rsid w:val="00BB6799"/>
    <w:rsid w:val="00BD4582"/>
    <w:rsid w:val="00BE6A46"/>
    <w:rsid w:val="00C33A23"/>
    <w:rsid w:val="00C43711"/>
    <w:rsid w:val="00C56F44"/>
    <w:rsid w:val="00C571BA"/>
    <w:rsid w:val="00C5744D"/>
    <w:rsid w:val="00CB5511"/>
    <w:rsid w:val="00CC2049"/>
    <w:rsid w:val="00D17F0A"/>
    <w:rsid w:val="00D22945"/>
    <w:rsid w:val="00D44E84"/>
    <w:rsid w:val="00D96F84"/>
    <w:rsid w:val="00DC5485"/>
    <w:rsid w:val="00DD5439"/>
    <w:rsid w:val="00DD58B3"/>
    <w:rsid w:val="00DF63E7"/>
    <w:rsid w:val="00DF76DC"/>
    <w:rsid w:val="00E3088D"/>
    <w:rsid w:val="00E34195"/>
    <w:rsid w:val="00E47613"/>
    <w:rsid w:val="00E6626E"/>
    <w:rsid w:val="00EC7FED"/>
    <w:rsid w:val="00ED6086"/>
    <w:rsid w:val="00F14DA4"/>
    <w:rsid w:val="00F22F6C"/>
    <w:rsid w:val="00F46882"/>
    <w:rsid w:val="00F47C3B"/>
    <w:rsid w:val="00F71D7D"/>
    <w:rsid w:val="00F815D7"/>
    <w:rsid w:val="00F85600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NormalWeb">
    <w:name w:val="Normal (Web)"/>
    <w:basedOn w:val="Normal"/>
    <w:uiPriority w:val="99"/>
    <w:unhideWhenUsed/>
    <w:rsid w:val="00DC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Fuentedeprrafopredeter"/>
    <w:rsid w:val="00DC5485"/>
  </w:style>
  <w:style w:type="character" w:styleId="Textoennegrita">
    <w:name w:val="Strong"/>
    <w:basedOn w:val="Fuentedeprrafopredeter"/>
    <w:uiPriority w:val="22"/>
    <w:qFormat/>
    <w:rsid w:val="00DC5485"/>
    <w:rPr>
      <w:b/>
      <w:bCs/>
    </w:rPr>
  </w:style>
  <w:style w:type="paragraph" w:styleId="Prrafodelista">
    <w:name w:val="List Paragraph"/>
    <w:basedOn w:val="Normal"/>
    <w:uiPriority w:val="34"/>
    <w:qFormat/>
    <w:rsid w:val="00EC7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NormalWeb">
    <w:name w:val="Normal (Web)"/>
    <w:basedOn w:val="Normal"/>
    <w:uiPriority w:val="99"/>
    <w:unhideWhenUsed/>
    <w:rsid w:val="00DC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Fuentedeprrafopredeter"/>
    <w:rsid w:val="00DC5485"/>
  </w:style>
  <w:style w:type="character" w:styleId="Textoennegrita">
    <w:name w:val="Strong"/>
    <w:basedOn w:val="Fuentedeprrafopredeter"/>
    <w:uiPriority w:val="22"/>
    <w:qFormat/>
    <w:rsid w:val="00DC5485"/>
    <w:rPr>
      <w:b/>
      <w:bCs/>
    </w:rPr>
  </w:style>
  <w:style w:type="paragraph" w:styleId="Prrafodelista">
    <w:name w:val="List Paragraph"/>
    <w:basedOn w:val="Normal"/>
    <w:uiPriority w:val="34"/>
    <w:qFormat/>
    <w:rsid w:val="00EC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5C20CE"/>
    <w:rsid w:val="006A580C"/>
    <w:rsid w:val="00815D62"/>
    <w:rsid w:val="008C63AF"/>
    <w:rsid w:val="00BA6F47"/>
    <w:rsid w:val="00BF2C04"/>
    <w:rsid w:val="00D35513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171C4-9911-430E-B851-2F5374ED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10</Pages>
  <Words>1822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</cp:revision>
  <cp:lastPrinted>2007-10-26T10:03:00Z</cp:lastPrinted>
  <dcterms:created xsi:type="dcterms:W3CDTF">2021-11-16T08:30:00Z</dcterms:created>
  <dcterms:modified xsi:type="dcterms:W3CDTF">2022-01-12T10:30:00Z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