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63500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527A68" w:rsidRDefault="00527A68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7D6EB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r w:rsidR="00C746D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AZVI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527A68" w:rsidRDefault="00527A68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7D6EB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r w:rsidR="00C746D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AZVI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27A68" w:rsidRDefault="00527A6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A670E9" w:rsidRDefault="00A670E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7D6EB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6B2C2E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527A68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702A3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527A68" w:rsidP="00A1361E">
            <w:pPr>
              <w:rPr>
                <w:sz w:val="20"/>
                <w:szCs w:val="20"/>
              </w:rPr>
            </w:pPr>
            <w:r w:rsidRPr="00527A68"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527A68" w:rsidRPr="007942B7" w:rsidTr="00BA4354">
        <w:tc>
          <w:tcPr>
            <w:tcW w:w="2093" w:type="dxa"/>
            <w:vMerge w:val="restart"/>
            <w:vAlign w:val="center"/>
          </w:tcPr>
          <w:p w:rsidR="00527A68" w:rsidRPr="00AF196B" w:rsidRDefault="00527A68" w:rsidP="006D4C9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527A68" w:rsidRDefault="00527A68" w:rsidP="0083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la normativa aplicable a la entidad</w:t>
            </w:r>
          </w:p>
        </w:tc>
        <w:tc>
          <w:tcPr>
            <w:tcW w:w="567" w:type="dxa"/>
          </w:tcPr>
          <w:p w:rsidR="00527A68" w:rsidRDefault="00527A68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27A68" w:rsidRDefault="00527A68">
            <w:r w:rsidRPr="007C0835">
              <w:rPr>
                <w:sz w:val="20"/>
                <w:szCs w:val="20"/>
              </w:rPr>
              <w:t>No</w:t>
            </w:r>
          </w:p>
        </w:tc>
      </w:tr>
      <w:tr w:rsidR="00527A68" w:rsidRPr="007942B7" w:rsidTr="00BA4354">
        <w:tc>
          <w:tcPr>
            <w:tcW w:w="2093" w:type="dxa"/>
            <w:vMerge/>
            <w:vAlign w:val="center"/>
          </w:tcPr>
          <w:p w:rsidR="00527A68" w:rsidRPr="00C3228C" w:rsidRDefault="00527A6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27A68" w:rsidRDefault="00527A68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527A68" w:rsidRDefault="00527A68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27A68" w:rsidRDefault="00527A68">
            <w:r w:rsidRPr="007C0835">
              <w:rPr>
                <w:sz w:val="20"/>
                <w:szCs w:val="20"/>
              </w:rPr>
              <w:t>No</w:t>
            </w:r>
          </w:p>
        </w:tc>
      </w:tr>
      <w:tr w:rsidR="00527A68" w:rsidRPr="007942B7" w:rsidTr="00BA4354">
        <w:tc>
          <w:tcPr>
            <w:tcW w:w="2093" w:type="dxa"/>
            <w:vMerge/>
            <w:vAlign w:val="center"/>
          </w:tcPr>
          <w:p w:rsidR="00527A68" w:rsidRPr="00C3228C" w:rsidRDefault="00527A6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27A68" w:rsidRDefault="00527A68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527A68" w:rsidRPr="00800B69" w:rsidRDefault="00527A68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27A68" w:rsidRDefault="00527A68">
            <w:r w:rsidRPr="007C0835">
              <w:rPr>
                <w:sz w:val="20"/>
                <w:szCs w:val="20"/>
              </w:rPr>
              <w:t>No</w:t>
            </w:r>
          </w:p>
        </w:tc>
      </w:tr>
      <w:tr w:rsidR="00527A68" w:rsidRPr="007942B7" w:rsidTr="00BA4354">
        <w:tc>
          <w:tcPr>
            <w:tcW w:w="2093" w:type="dxa"/>
            <w:vMerge/>
            <w:vAlign w:val="center"/>
          </w:tcPr>
          <w:p w:rsidR="00527A68" w:rsidRPr="00AF196B" w:rsidRDefault="00527A6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27A68" w:rsidRDefault="00527A68" w:rsidP="00EF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administraciones públicas</w:t>
            </w:r>
          </w:p>
        </w:tc>
        <w:tc>
          <w:tcPr>
            <w:tcW w:w="567" w:type="dxa"/>
          </w:tcPr>
          <w:p w:rsidR="00527A68" w:rsidRDefault="00527A68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27A68" w:rsidRDefault="00527A68">
            <w:r w:rsidRPr="007C0835">
              <w:rPr>
                <w:sz w:val="20"/>
                <w:szCs w:val="20"/>
              </w:rPr>
              <w:t>No</w:t>
            </w:r>
          </w:p>
        </w:tc>
      </w:tr>
      <w:tr w:rsidR="00527A68" w:rsidRPr="007942B7" w:rsidTr="00BA4354">
        <w:tc>
          <w:tcPr>
            <w:tcW w:w="2093" w:type="dxa"/>
            <w:vMerge/>
            <w:vAlign w:val="center"/>
          </w:tcPr>
          <w:p w:rsidR="00527A68" w:rsidRPr="00AF196B" w:rsidRDefault="00527A6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27A68" w:rsidRDefault="00527A68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celebrados con administraciones públicas</w:t>
            </w:r>
          </w:p>
        </w:tc>
        <w:tc>
          <w:tcPr>
            <w:tcW w:w="567" w:type="dxa"/>
          </w:tcPr>
          <w:p w:rsidR="00527A68" w:rsidRDefault="00527A68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27A68" w:rsidRDefault="00527A68">
            <w:r w:rsidRPr="007C0835">
              <w:rPr>
                <w:sz w:val="20"/>
                <w:szCs w:val="20"/>
              </w:rPr>
              <w:t>No</w:t>
            </w:r>
          </w:p>
        </w:tc>
      </w:tr>
      <w:tr w:rsidR="00527A68" w:rsidRPr="007942B7" w:rsidTr="00BA4354">
        <w:tc>
          <w:tcPr>
            <w:tcW w:w="2093" w:type="dxa"/>
            <w:vMerge/>
            <w:vAlign w:val="center"/>
          </w:tcPr>
          <w:p w:rsidR="00527A68" w:rsidRPr="00AF196B" w:rsidRDefault="00527A6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27A68" w:rsidRDefault="00527A68" w:rsidP="00EF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concedidas por administraciones públicas</w:t>
            </w:r>
          </w:p>
        </w:tc>
        <w:tc>
          <w:tcPr>
            <w:tcW w:w="567" w:type="dxa"/>
          </w:tcPr>
          <w:p w:rsidR="00527A68" w:rsidRDefault="00527A68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27A68" w:rsidRDefault="00527A68">
            <w:r w:rsidRPr="007C0835">
              <w:rPr>
                <w:sz w:val="20"/>
                <w:szCs w:val="20"/>
              </w:rPr>
              <w:t>No</w:t>
            </w:r>
          </w:p>
        </w:tc>
      </w:tr>
      <w:tr w:rsidR="00527A68" w:rsidRPr="007942B7" w:rsidTr="00BA4354">
        <w:tc>
          <w:tcPr>
            <w:tcW w:w="2093" w:type="dxa"/>
            <w:vMerge/>
            <w:vAlign w:val="center"/>
          </w:tcPr>
          <w:p w:rsidR="00527A68" w:rsidRPr="00AF196B" w:rsidRDefault="00527A6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27A68" w:rsidRDefault="00527A68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527A68" w:rsidRDefault="00527A68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27A68" w:rsidRDefault="00527A68">
            <w:r w:rsidRPr="007C0835">
              <w:rPr>
                <w:sz w:val="20"/>
                <w:szCs w:val="20"/>
              </w:rPr>
              <w:t>No</w:t>
            </w:r>
          </w:p>
        </w:tc>
      </w:tr>
      <w:tr w:rsidR="00702A3B" w:rsidRPr="007942B7" w:rsidTr="00BA4354">
        <w:tc>
          <w:tcPr>
            <w:tcW w:w="2093" w:type="dxa"/>
            <w:vMerge/>
            <w:vAlign w:val="center"/>
          </w:tcPr>
          <w:p w:rsidR="00702A3B" w:rsidRPr="00AF196B" w:rsidRDefault="00702A3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02A3B" w:rsidRDefault="00702A3B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702A3B" w:rsidRDefault="00C069A2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02A3B" w:rsidRPr="007942B7" w:rsidRDefault="00702A3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527A68" w:rsidRPr="007942B7" w:rsidTr="00BA4354">
        <w:tc>
          <w:tcPr>
            <w:tcW w:w="2093" w:type="dxa"/>
            <w:vMerge/>
            <w:vAlign w:val="center"/>
          </w:tcPr>
          <w:p w:rsidR="00527A68" w:rsidRPr="00AF196B" w:rsidRDefault="00527A6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27A68" w:rsidRDefault="00527A68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Cuentas anuales </w:t>
            </w:r>
          </w:p>
        </w:tc>
        <w:tc>
          <w:tcPr>
            <w:tcW w:w="567" w:type="dxa"/>
          </w:tcPr>
          <w:p w:rsidR="00527A68" w:rsidRPr="00702A3B" w:rsidRDefault="00527A68" w:rsidP="00702A3B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27A68" w:rsidRDefault="00527A68">
            <w:r w:rsidRPr="00517D72">
              <w:rPr>
                <w:sz w:val="20"/>
                <w:szCs w:val="20"/>
              </w:rPr>
              <w:t>No</w:t>
            </w:r>
          </w:p>
        </w:tc>
      </w:tr>
      <w:tr w:rsidR="00527A68" w:rsidRPr="007942B7" w:rsidTr="00BA4354">
        <w:tc>
          <w:tcPr>
            <w:tcW w:w="2093" w:type="dxa"/>
            <w:vMerge/>
            <w:vAlign w:val="center"/>
          </w:tcPr>
          <w:p w:rsidR="00527A68" w:rsidRPr="00AF196B" w:rsidRDefault="00527A6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27A68" w:rsidRDefault="00527A68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de Auditoría</w:t>
            </w:r>
          </w:p>
        </w:tc>
        <w:tc>
          <w:tcPr>
            <w:tcW w:w="567" w:type="dxa"/>
          </w:tcPr>
          <w:p w:rsidR="00527A68" w:rsidRPr="00702A3B" w:rsidRDefault="00527A68" w:rsidP="00702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27A68" w:rsidRDefault="00527A68">
            <w:r w:rsidRPr="00517D72">
              <w:rPr>
                <w:sz w:val="20"/>
                <w:szCs w:val="20"/>
              </w:rPr>
              <w:t>No</w:t>
            </w:r>
          </w:p>
        </w:tc>
      </w:tr>
      <w:tr w:rsidR="00527A68" w:rsidRPr="007942B7" w:rsidTr="00BA4354">
        <w:tc>
          <w:tcPr>
            <w:tcW w:w="2093" w:type="dxa"/>
            <w:vMerge/>
            <w:vAlign w:val="center"/>
          </w:tcPr>
          <w:p w:rsidR="00527A68" w:rsidRPr="00AF196B" w:rsidRDefault="00527A6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27A68" w:rsidRDefault="00527A68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máximos responsables</w:t>
            </w:r>
          </w:p>
        </w:tc>
        <w:tc>
          <w:tcPr>
            <w:tcW w:w="567" w:type="dxa"/>
          </w:tcPr>
          <w:p w:rsidR="00527A68" w:rsidRPr="00702A3B" w:rsidRDefault="00527A68" w:rsidP="00702A3B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27A68" w:rsidRDefault="00527A68">
            <w:r w:rsidRPr="00517D72"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80749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BA4354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527A68" w:rsidP="00183301">
            <w:pPr>
              <w:rPr>
                <w:sz w:val="20"/>
                <w:szCs w:val="20"/>
              </w:rPr>
            </w:pPr>
            <w:r w:rsidRPr="00527A68">
              <w:rPr>
                <w:sz w:val="20"/>
                <w:szCs w:val="20"/>
              </w:rPr>
              <w:t>No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C069A2" w:rsidP="003F4D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746DB" w:rsidP="00DF56A7">
      <w:pPr>
        <w:jc w:val="both"/>
      </w:pPr>
      <w:r>
        <w:t xml:space="preserve">No se ha aplicado </w:t>
      </w:r>
      <w:r w:rsidRPr="00C746DB">
        <w:rPr>
          <w:b/>
        </w:rPr>
        <w:t xml:space="preserve">ninguna </w:t>
      </w:r>
      <w:r w:rsidR="00DF56A7" w:rsidRPr="00C746DB">
        <w:rPr>
          <w:b/>
        </w:rPr>
        <w:t>de las recomendaciones</w:t>
      </w:r>
      <w:r w:rsidR="00DF56A7">
        <w:t xml:space="preserve"> derivadas de la evaluación realizada en 2020. </w:t>
      </w:r>
    </w:p>
    <w:p w:rsidR="00FA5AFD" w:rsidRDefault="00FA5AFD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27A68" w:rsidRPr="00F31BC3" w:rsidRDefault="00527A6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A670E9" w:rsidRPr="00F31BC3" w:rsidRDefault="00A670E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7D6EB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527A68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27A68" w:rsidRPr="006D4C90" w:rsidRDefault="00527A68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42,9</w:t>
            </w:r>
          </w:p>
        </w:tc>
      </w:tr>
      <w:tr w:rsidR="00527A68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27A68" w:rsidRPr="006D4C90" w:rsidRDefault="00527A68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25,0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25,0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7A68" w:rsidRPr="00527A68" w:rsidRDefault="00527A68" w:rsidP="00527A68">
            <w:pPr>
              <w:jc w:val="center"/>
              <w:rPr>
                <w:sz w:val="16"/>
                <w:szCs w:val="16"/>
              </w:rPr>
            </w:pPr>
            <w:r w:rsidRPr="00527A68">
              <w:rPr>
                <w:sz w:val="16"/>
                <w:szCs w:val="16"/>
              </w:rPr>
              <w:t>17,9</w:t>
            </w:r>
          </w:p>
        </w:tc>
      </w:tr>
      <w:tr w:rsidR="00527A68" w:rsidRPr="00C746DB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527A68" w:rsidRPr="006D4C90" w:rsidRDefault="00527A68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27A68" w:rsidRPr="00C746DB" w:rsidRDefault="00527A68" w:rsidP="00C746D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46DB">
              <w:rPr>
                <w:b/>
                <w:color w:val="FFFFFF" w:themeColor="background1"/>
                <w:sz w:val="16"/>
                <w:szCs w:val="16"/>
              </w:rPr>
              <w:t>33,3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27A68" w:rsidRPr="00C746DB" w:rsidRDefault="00527A68" w:rsidP="00C746D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46DB">
              <w:rPr>
                <w:b/>
                <w:color w:val="FFFFFF" w:themeColor="background1"/>
                <w:sz w:val="16"/>
                <w:szCs w:val="16"/>
              </w:rPr>
              <w:t>33,3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27A68" w:rsidRPr="00C746DB" w:rsidRDefault="00527A68" w:rsidP="00C746D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46DB">
              <w:rPr>
                <w:b/>
                <w:color w:val="FFFFFF" w:themeColor="background1"/>
                <w:sz w:val="16"/>
                <w:szCs w:val="16"/>
              </w:rPr>
              <w:t>33,3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27A68" w:rsidRPr="00C746DB" w:rsidRDefault="00527A68" w:rsidP="00C746D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46DB">
              <w:rPr>
                <w:b/>
                <w:color w:val="FFFFFF" w:themeColor="background1"/>
                <w:sz w:val="16"/>
                <w:szCs w:val="16"/>
              </w:rPr>
              <w:t>33,3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27A68" w:rsidRPr="00C746DB" w:rsidRDefault="00527A68" w:rsidP="00C746D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46DB">
              <w:rPr>
                <w:b/>
                <w:color w:val="FFFFFF" w:themeColor="background1"/>
                <w:sz w:val="16"/>
                <w:szCs w:val="16"/>
              </w:rPr>
              <w:t>33,3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27A68" w:rsidRPr="00C746DB" w:rsidRDefault="00527A68" w:rsidP="00C746D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46DB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27A68" w:rsidRPr="00C746DB" w:rsidRDefault="00527A68" w:rsidP="00C746D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46DB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27A68" w:rsidRPr="00C746DB" w:rsidRDefault="00527A68" w:rsidP="00C746D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746DB">
              <w:rPr>
                <w:b/>
                <w:color w:val="FFFFFF" w:themeColor="background1"/>
                <w:sz w:val="16"/>
                <w:szCs w:val="16"/>
              </w:rPr>
              <w:t>26,2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2C41B4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6D4C90" w:rsidRDefault="002C41B4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</w:tr>
      <w:tr w:rsidR="00521C69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4061BC" w:rsidRDefault="00521C69" w:rsidP="00BB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2C41B4" w:rsidRDefault="00521C69" w:rsidP="00BB3652">
            <w:pPr>
              <w:jc w:val="center"/>
              <w:rPr>
                <w:sz w:val="16"/>
                <w:szCs w:val="16"/>
              </w:rPr>
            </w:pPr>
            <w:r w:rsidRPr="00E76141">
              <w:rPr>
                <w:sz w:val="16"/>
                <w:szCs w:val="16"/>
              </w:rPr>
              <w:t>0,0</w:t>
            </w:r>
          </w:p>
        </w:tc>
      </w:tr>
      <w:tr w:rsidR="00521C69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6D4C90" w:rsidRDefault="00521C69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</w:tr>
      <w:tr w:rsidR="00521C69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21C69" w:rsidRPr="003543A0" w:rsidRDefault="00521C69" w:rsidP="00BB3652">
            <w:pPr>
              <w:jc w:val="center"/>
              <w:rPr>
                <w:sz w:val="16"/>
                <w:szCs w:val="16"/>
              </w:rPr>
            </w:pPr>
            <w:r w:rsidRPr="003543A0">
              <w:rPr>
                <w:sz w:val="16"/>
                <w:szCs w:val="16"/>
              </w:rPr>
              <w:t>0,0</w:t>
            </w:r>
          </w:p>
        </w:tc>
      </w:tr>
      <w:tr w:rsidR="002C41B4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3543A0" w:rsidRDefault="002C41B4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</w:tr>
      <w:tr w:rsidR="002C41B4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3543A0" w:rsidRDefault="002C41B4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C41B4" w:rsidRPr="002C41B4" w:rsidRDefault="002C41B4" w:rsidP="002C41B4">
            <w:pPr>
              <w:jc w:val="center"/>
              <w:rPr>
                <w:sz w:val="16"/>
                <w:szCs w:val="16"/>
              </w:rPr>
            </w:pPr>
            <w:r w:rsidRPr="002C41B4">
              <w:rPr>
                <w:sz w:val="16"/>
                <w:szCs w:val="16"/>
              </w:rPr>
              <w:t>0,0</w:t>
            </w:r>
          </w:p>
        </w:tc>
      </w:tr>
      <w:tr w:rsidR="00BB3652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BB3652" w:rsidRPr="006D4C90" w:rsidRDefault="00BB3652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3652" w:rsidRPr="003543A0" w:rsidRDefault="00BB3652" w:rsidP="00BB365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B3652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3652" w:rsidRDefault="00BB3652" w:rsidP="00BB3652">
            <w:pPr>
              <w:jc w:val="center"/>
            </w:pPr>
            <w:r w:rsidRPr="006C76FC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3652" w:rsidRDefault="00BB3652" w:rsidP="00BB3652">
            <w:pPr>
              <w:jc w:val="center"/>
            </w:pPr>
            <w:r w:rsidRPr="006C76FC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3652" w:rsidRDefault="00BB3652" w:rsidP="00BB3652">
            <w:pPr>
              <w:jc w:val="center"/>
            </w:pPr>
            <w:r w:rsidRPr="006C76FC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3652" w:rsidRDefault="00BB3652" w:rsidP="00BB3652">
            <w:pPr>
              <w:jc w:val="center"/>
            </w:pPr>
            <w:r w:rsidRPr="006C76FC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3652" w:rsidRDefault="00BB3652" w:rsidP="00BB3652">
            <w:pPr>
              <w:jc w:val="center"/>
            </w:pPr>
            <w:r w:rsidRPr="006C76FC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3652" w:rsidRDefault="00BB3652" w:rsidP="00BB3652">
            <w:pPr>
              <w:jc w:val="center"/>
            </w:pPr>
            <w:r w:rsidRPr="006C76FC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BB3652" w:rsidRDefault="00BB3652" w:rsidP="00BB3652">
            <w:pPr>
              <w:jc w:val="center"/>
            </w:pPr>
            <w:r w:rsidRPr="006C76FC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C746DB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11,2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C746DB">
        <w:rPr>
          <w:lang w:bidi="es-ES"/>
        </w:rPr>
        <w:t>11,2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C746DB">
        <w:rPr>
          <w:lang w:bidi="es-ES"/>
        </w:rPr>
        <w:t>1,68</w:t>
      </w:r>
      <w:r w:rsidR="00BB3652">
        <w:rPr>
          <w:lang w:bidi="es-ES"/>
        </w:rPr>
        <w:t xml:space="preserve"> puntos porcentuales atribuible exclusivamente a la revisión efectuada de oficio de la obligación de publicar información sobre ejecución presupuestaria y del cumplimiento del atributo de publicación de la información en formatos reutilizables.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</w:t>
      </w:r>
      <w:r w:rsidR="00C746DB">
        <w:t>de AZVI</w:t>
      </w:r>
      <w:r>
        <w:t>. No se ha aplicado ninguna de las recomendaciones efectuadas como consecuencia de la evaluación realizada en 2020.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27A68" w:rsidRPr="00F31BC3" w:rsidRDefault="00527A68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A670E9" w:rsidRPr="00F31BC3" w:rsidRDefault="00A670E9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C746DB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No se ha creado un espacio específico para la publicación de las informaciones sujetas a  obligaciones de publicidad activa</w:t>
      </w:r>
      <w:r w:rsidR="00A670E9">
        <w:rPr>
          <w:rFonts w:ascii="Century Gothic" w:hAnsi="Century Gothic"/>
        </w:rPr>
        <w:t>.</w:t>
      </w:r>
    </w:p>
    <w:p w:rsidR="004D4B3E" w:rsidRPr="00A670E9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las normas que regulan la actividad de la </w:t>
      </w:r>
      <w:r w:rsidR="00C746DB">
        <w:rPr>
          <w:rFonts w:ascii="Century Gothic" w:hAnsi="Century Gothic"/>
        </w:rPr>
        <w:t xml:space="preserve">entidad, la descripción de la estructura organizativa, la identificación de los máximos responsables y </w:t>
      </w:r>
      <w:r>
        <w:rPr>
          <w:rFonts w:ascii="Century Gothic" w:hAnsi="Century Gothic"/>
        </w:rPr>
        <w:t xml:space="preserve"> </w:t>
      </w:r>
      <w:r w:rsidR="00C746DB">
        <w:rPr>
          <w:rFonts w:ascii="Century Gothic" w:hAnsi="Century Gothic"/>
        </w:rPr>
        <w:t>su</w:t>
      </w:r>
      <w:r>
        <w:rPr>
          <w:rFonts w:ascii="Century Gothic" w:hAnsi="Century Gothic"/>
        </w:rPr>
        <w:t xml:space="preserve"> perfil y trayectoria profesional.  </w:t>
      </w:r>
    </w:p>
    <w:p w:rsidR="004D4B3E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ninguna de</w:t>
      </w:r>
      <w:r w:rsidR="00C746D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las informaciones obligatorias del bloque Información Económica. 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0F0DA5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27A68" w:rsidRPr="00F31BC3" w:rsidRDefault="00527A6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A670E9" w:rsidRPr="00F31BC3" w:rsidRDefault="00A670E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27A68" w:rsidRPr="00F31BC3" w:rsidRDefault="00527A6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A670E9" w:rsidRPr="00F31BC3" w:rsidRDefault="00A670E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68" w:rsidRDefault="00527A68" w:rsidP="00F31BC3">
      <w:r>
        <w:separator/>
      </w:r>
    </w:p>
  </w:endnote>
  <w:endnote w:type="continuationSeparator" w:id="0">
    <w:p w:rsidR="00527A68" w:rsidRDefault="00527A6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68" w:rsidRDefault="00527A68" w:rsidP="00F31BC3">
      <w:r>
        <w:separator/>
      </w:r>
    </w:p>
  </w:footnote>
  <w:footnote w:type="continuationSeparator" w:id="0">
    <w:p w:rsidR="00527A68" w:rsidRDefault="00527A68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31E45C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27A68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D6EBB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69A2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4D21"/>
    <w:rsid w:val="00C555C6"/>
    <w:rsid w:val="00C61E7F"/>
    <w:rsid w:val="00C66E73"/>
    <w:rsid w:val="00C746DB"/>
    <w:rsid w:val="00C91330"/>
    <w:rsid w:val="00CB6837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34585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EC411-D891-4936-B686-61320D8D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18</TotalTime>
  <Pages>5</Pages>
  <Words>823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4</cp:revision>
  <cp:lastPrinted>2008-09-26T23:14:00Z</cp:lastPrinted>
  <dcterms:created xsi:type="dcterms:W3CDTF">2021-11-03T16:05:00Z</dcterms:created>
  <dcterms:modified xsi:type="dcterms:W3CDTF">2022-01-12T11:34:00Z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