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006957"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E059EC" wp14:editId="5AE679B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3177" w:rsidRDefault="0014317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EFD710" wp14:editId="101A60E0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43177" w:rsidRDefault="0014317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4EFD710" wp14:editId="101A60E0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587743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6DC61E" wp14:editId="2C5635A8">
                <wp:simplePos x="0" y="0"/>
                <wp:positionH relativeFrom="column">
                  <wp:posOffset>350520</wp:posOffset>
                </wp:positionH>
                <wp:positionV relativeFrom="paragraph">
                  <wp:posOffset>6350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43177" w:rsidRDefault="0014317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CEPSA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6pt;margin-top:.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FK80iD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143177" w:rsidRDefault="0014317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CEPSA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8774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6F38B2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6F7CB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183301" w:rsidRPr="007942B7" w:rsidRDefault="00720C2A" w:rsidP="006F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43177" w:rsidRPr="007942B7" w:rsidTr="00143177">
        <w:trPr>
          <w:trHeight w:val="265"/>
        </w:trPr>
        <w:tc>
          <w:tcPr>
            <w:tcW w:w="2093" w:type="dxa"/>
            <w:vMerge w:val="restart"/>
            <w:vAlign w:val="center"/>
          </w:tcPr>
          <w:p w:rsidR="00143177" w:rsidRDefault="00143177" w:rsidP="006D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143177" w:rsidRPr="00F35846" w:rsidRDefault="00143177" w:rsidP="00F3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Acceso a las normas que regulan la actividad de la empresa</w:t>
            </w:r>
          </w:p>
        </w:tc>
        <w:tc>
          <w:tcPr>
            <w:tcW w:w="567" w:type="dxa"/>
            <w:vAlign w:val="center"/>
          </w:tcPr>
          <w:p w:rsidR="00143177" w:rsidRPr="00F35846" w:rsidRDefault="00143177" w:rsidP="00143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143177" w:rsidRDefault="00143177" w:rsidP="006F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43177" w:rsidRPr="007942B7" w:rsidTr="006F38B2">
        <w:trPr>
          <w:trHeight w:val="265"/>
        </w:trPr>
        <w:tc>
          <w:tcPr>
            <w:tcW w:w="2093" w:type="dxa"/>
            <w:vMerge/>
            <w:vAlign w:val="center"/>
          </w:tcPr>
          <w:p w:rsidR="00143177" w:rsidRPr="007942B7" w:rsidRDefault="00143177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43177" w:rsidRPr="00F35846" w:rsidRDefault="00143177" w:rsidP="00F35846">
            <w:pPr>
              <w:rPr>
                <w:sz w:val="20"/>
                <w:szCs w:val="20"/>
              </w:rPr>
            </w:pPr>
            <w:r w:rsidRPr="00F35846">
              <w:rPr>
                <w:sz w:val="20"/>
                <w:szCs w:val="20"/>
              </w:rPr>
              <w:t>Retribuciones de máximos responsables</w:t>
            </w:r>
          </w:p>
        </w:tc>
        <w:tc>
          <w:tcPr>
            <w:tcW w:w="567" w:type="dxa"/>
          </w:tcPr>
          <w:p w:rsidR="00143177" w:rsidRPr="00F35846" w:rsidRDefault="00143177" w:rsidP="00F35846">
            <w:pPr>
              <w:jc w:val="center"/>
              <w:rPr>
                <w:sz w:val="20"/>
                <w:szCs w:val="20"/>
              </w:rPr>
            </w:pPr>
            <w:r w:rsidRPr="00F35846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143177" w:rsidRPr="00F35846" w:rsidRDefault="00143177" w:rsidP="006F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35846" w:rsidRPr="007942B7" w:rsidTr="006F38B2">
        <w:trPr>
          <w:trHeight w:val="265"/>
        </w:trPr>
        <w:tc>
          <w:tcPr>
            <w:tcW w:w="2093" w:type="dxa"/>
            <w:vAlign w:val="center"/>
          </w:tcPr>
          <w:p w:rsidR="00F35846" w:rsidRDefault="00F3584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35846" w:rsidRPr="00F35846" w:rsidRDefault="00F35846" w:rsidP="00F3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F35846" w:rsidRPr="00F35846" w:rsidRDefault="00F35846" w:rsidP="00F3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F35846" w:rsidRPr="00F35846" w:rsidRDefault="00F35846" w:rsidP="006F38B2">
            <w:pPr>
              <w:rPr>
                <w:sz w:val="20"/>
                <w:szCs w:val="20"/>
              </w:rPr>
            </w:pPr>
            <w:r w:rsidRPr="00F35846">
              <w:rPr>
                <w:sz w:val="20"/>
                <w:szCs w:val="20"/>
              </w:rPr>
              <w:t>Revisada de oficio</w:t>
            </w:r>
          </w:p>
        </w:tc>
      </w:tr>
      <w:tr w:rsidR="00183301" w:rsidRPr="007942B7" w:rsidTr="006F38B2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183301" w:rsidRPr="007942B7" w:rsidRDefault="00183301" w:rsidP="006F38B2">
            <w:pPr>
              <w:rPr>
                <w:sz w:val="20"/>
                <w:szCs w:val="20"/>
              </w:rPr>
            </w:pPr>
          </w:p>
        </w:tc>
      </w:tr>
      <w:tr w:rsidR="00183301" w:rsidRPr="007942B7" w:rsidTr="006F38B2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183301" w:rsidRPr="007942B7" w:rsidRDefault="00183301" w:rsidP="006F38B2">
            <w:pPr>
              <w:rPr>
                <w:sz w:val="20"/>
                <w:szCs w:val="20"/>
              </w:rPr>
            </w:pPr>
          </w:p>
        </w:tc>
      </w:tr>
      <w:tr w:rsidR="00183301" w:rsidRPr="007942B7" w:rsidTr="006F38B2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183301" w:rsidRPr="007942B7" w:rsidRDefault="00183301" w:rsidP="006F38B2">
            <w:pPr>
              <w:rPr>
                <w:sz w:val="20"/>
                <w:szCs w:val="20"/>
              </w:rPr>
            </w:pPr>
          </w:p>
        </w:tc>
      </w:tr>
      <w:tr w:rsidR="006D4C90" w:rsidRPr="007942B7" w:rsidTr="006F38B2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6D4C90" w:rsidRPr="007942B7" w:rsidRDefault="00BA4354" w:rsidP="006F3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6F38B2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6D4C90" w:rsidRPr="007942B7" w:rsidRDefault="006F38B2" w:rsidP="00143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solo </w:t>
            </w:r>
            <w:r w:rsidR="00143177">
              <w:rPr>
                <w:sz w:val="20"/>
                <w:szCs w:val="20"/>
              </w:rPr>
              <w:t>existen referencias para la información que ya en 2020 las tenía, en estos casos la fecha de revisión o actualización está desfasada (31/12/2020)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143177" w:rsidP="003F4D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720C2A" w:rsidRDefault="00F35846" w:rsidP="00DF56A7">
      <w:pPr>
        <w:jc w:val="both"/>
      </w:pPr>
      <w:r>
        <w:t xml:space="preserve">CEPSA </w:t>
      </w:r>
      <w:r w:rsidRPr="00720C2A">
        <w:rPr>
          <w:b/>
        </w:rPr>
        <w:t>no ha aplicado ninguna de las recomendaciones</w:t>
      </w:r>
      <w:r>
        <w:t xml:space="preserve"> derivadas de la evaluación 2020</w:t>
      </w:r>
      <w:r w:rsidR="00DF56A7">
        <w:t xml:space="preserve">. </w:t>
      </w:r>
    </w:p>
    <w:p w:rsidR="00720C2A" w:rsidRDefault="00720C2A" w:rsidP="00DF56A7">
      <w:pPr>
        <w:jc w:val="both"/>
      </w:pPr>
    </w:p>
    <w:p w:rsidR="00BA4354" w:rsidRDefault="006F7CB4" w:rsidP="00DF56A7">
      <w:pPr>
        <w:jc w:val="both"/>
      </w:pPr>
      <w:r>
        <w:t xml:space="preserve">Por otra parte </w:t>
      </w:r>
      <w:r w:rsidR="00A26906">
        <w:t xml:space="preserve">toda la información publicada sobre contratos y subvenciones alcanza hasta 2020, no se refleja ninguna actividad en estos ámbitos en 2021. Dado que </w:t>
      </w:r>
      <w:r w:rsidR="00A26906" w:rsidRPr="00A26906">
        <w:t xml:space="preserve">la última fecha </w:t>
      </w:r>
      <w:r w:rsidR="00A26906">
        <w:t xml:space="preserve">de revisión </w:t>
      </w:r>
      <w:r w:rsidR="006F38B2">
        <w:t xml:space="preserve">o </w:t>
      </w:r>
      <w:r w:rsidR="00A26906">
        <w:t xml:space="preserve">actualización de la información </w:t>
      </w:r>
      <w:r w:rsidR="00A26906" w:rsidRPr="00A26906">
        <w:t xml:space="preserve">reflejada en el Portal de transparencia es 31/12/2020 </w:t>
      </w:r>
      <w:r w:rsidR="00A26906">
        <w:t>no es posible conocer si es que en 2021 efectivamente no ha habido actividad o se ha omitido la obligación de publicar esta información.</w:t>
      </w:r>
      <w:r w:rsidR="006F38B2">
        <w:t xml:space="preserve"> Por otra parte, el desfase temporal existente ha motivado una revisión del cumplimiento de actualización de las informaciones publicadas.  </w:t>
      </w:r>
    </w:p>
    <w:p w:rsidR="00FA5AFD" w:rsidRDefault="00FA5AFD" w:rsidP="00AC4A6F"/>
    <w:p w:rsidR="00A26906" w:rsidRDefault="00A26906" w:rsidP="00AC4A6F"/>
    <w:p w:rsidR="00A26906" w:rsidRDefault="00A26906" w:rsidP="00AC4A6F"/>
    <w:p w:rsidR="00A26906" w:rsidRDefault="00A26906" w:rsidP="00AC4A6F"/>
    <w:p w:rsidR="00A26906" w:rsidRDefault="00A2690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3177" w:rsidRPr="00F31BC3" w:rsidRDefault="0014317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670E9" w:rsidRPr="00F31BC3" w:rsidRDefault="00A670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8774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720C2A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20C2A" w:rsidRPr="006D4C90" w:rsidRDefault="00720C2A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89,3</w:t>
            </w:r>
          </w:p>
        </w:tc>
      </w:tr>
      <w:tr w:rsidR="00720C2A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20C2A" w:rsidRPr="006D4C90" w:rsidRDefault="00720C2A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20C2A" w:rsidRPr="008218F5" w:rsidRDefault="00720C2A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85,7</w:t>
            </w:r>
          </w:p>
        </w:tc>
      </w:tr>
      <w:tr w:rsidR="00720C2A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720C2A" w:rsidRPr="006D4C90" w:rsidRDefault="00720C2A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20C2A" w:rsidRPr="008218F5" w:rsidRDefault="00720C2A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86,9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8218F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88,9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91,3</w:t>
            </w:r>
          </w:p>
        </w:tc>
      </w:tr>
      <w:tr w:rsidR="008218F5" w:rsidRPr="006D4C90" w:rsidTr="008218F5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218F5" w:rsidRPr="008218F5" w:rsidRDefault="008218F5" w:rsidP="008218F5">
            <w:pPr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Convenios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2C41B4" w:rsidRDefault="008218F5" w:rsidP="008218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8218F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Subvenciones</w:t>
            </w:r>
            <w:r w:rsidRPr="008218F5">
              <w:rPr>
                <w:sz w:val="16"/>
                <w:szCs w:val="16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92,9</w:t>
            </w:r>
          </w:p>
        </w:tc>
      </w:tr>
      <w:tr w:rsidR="008218F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</w:tr>
      <w:tr w:rsidR="008218F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100,0</w:t>
            </w:r>
          </w:p>
        </w:tc>
      </w:tr>
      <w:tr w:rsidR="008218F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18F5" w:rsidRPr="008218F5" w:rsidRDefault="008218F5" w:rsidP="008218F5">
            <w:pPr>
              <w:jc w:val="center"/>
              <w:rPr>
                <w:sz w:val="16"/>
                <w:szCs w:val="16"/>
              </w:rPr>
            </w:pPr>
            <w:r w:rsidRPr="008218F5">
              <w:rPr>
                <w:sz w:val="16"/>
                <w:szCs w:val="16"/>
              </w:rPr>
              <w:t>0,0</w:t>
            </w:r>
          </w:p>
        </w:tc>
      </w:tr>
      <w:tr w:rsidR="008218F5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8218F5" w:rsidRPr="006D4C90" w:rsidRDefault="008218F5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82,5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85,7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64,3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18F5" w:rsidRPr="008218F5" w:rsidRDefault="008218F5" w:rsidP="008218F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18F5">
              <w:rPr>
                <w:b/>
                <w:color w:val="FFFFFF" w:themeColor="background1"/>
                <w:sz w:val="16"/>
                <w:szCs w:val="16"/>
              </w:rPr>
              <w:t>78,1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8218F5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82,2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F38B2">
        <w:rPr>
          <w:lang w:bidi="es-ES"/>
        </w:rPr>
        <w:t>82,2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6F38B2">
        <w:rPr>
          <w:lang w:bidi="es-ES"/>
        </w:rPr>
        <w:t>3,3</w:t>
      </w:r>
      <w:r w:rsidR="00BB3652">
        <w:rPr>
          <w:lang w:bidi="es-ES"/>
        </w:rPr>
        <w:t xml:space="preserve"> puntos porcentuales atribuible exclusivamente a la revisión efectuada de oficio de la obligación de publicar información sobre ejecución presupuestaria y del cumplimiento del atributo de publicación de la inform</w:t>
      </w:r>
      <w:r w:rsidR="006F38B2">
        <w:rPr>
          <w:lang w:bidi="es-ES"/>
        </w:rPr>
        <w:t xml:space="preserve">ación en formatos reutilizables ya que la valoración del cumplimiento del criterio de actualización de la información </w:t>
      </w:r>
      <w:proofErr w:type="gramStart"/>
      <w:r w:rsidR="006F38B2">
        <w:rPr>
          <w:lang w:bidi="es-ES"/>
        </w:rPr>
        <w:t>publicada</w:t>
      </w:r>
      <w:proofErr w:type="gramEnd"/>
      <w:r w:rsidR="006F38B2">
        <w:rPr>
          <w:lang w:bidi="es-ES"/>
        </w:rPr>
        <w:t xml:space="preserve"> ha disminuido. </w:t>
      </w:r>
    </w:p>
    <w:p w:rsidR="00143177" w:rsidRDefault="00143177" w:rsidP="00F05E2C">
      <w:pPr>
        <w:pStyle w:val="Cuerpodelboletn"/>
      </w:pPr>
    </w:p>
    <w:p w:rsidR="00143177" w:rsidRDefault="00143177" w:rsidP="00F05E2C">
      <w:pPr>
        <w:pStyle w:val="Cuerpodelboletn"/>
        <w:sectPr w:rsidR="0014317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6F38B2" w:rsidP="00BB3652">
      <w:pPr>
        <w:pStyle w:val="Cuerpodelboletn"/>
      </w:pPr>
      <w:r>
        <w:t xml:space="preserve">Aunque en la evaluación 2020 CEPSA alcanzó un nivel de cumplimiento elevado no es menos cierto que no </w:t>
      </w:r>
      <w:r w:rsidR="00BB3652">
        <w:t>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lastRenderedPageBreak/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195739" wp14:editId="5533F774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3177" w:rsidRPr="00F31BC3" w:rsidRDefault="00143177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7012112" wp14:editId="315EA8C6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670E9" w:rsidRPr="00F31BC3" w:rsidRDefault="00A670E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A8FD80" wp14:editId="7F11E19A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143177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</w:t>
      </w:r>
      <w:r w:rsidR="00753BD3">
        <w:rPr>
          <w:rFonts w:ascii="Century Gothic" w:hAnsi="Century Gothic"/>
        </w:rPr>
        <w:t>darse acceso a los textos de las normas de carácter general que regulan la actividad de la empresa.</w:t>
      </w:r>
    </w:p>
    <w:p w:rsidR="00753BD3" w:rsidRDefault="00753BD3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enlazarse desde el Portal de Transparencia a la información sobre la identificación y perfil y trayectoria profesional de los máximos responsables que se publica en el apartado Gobierno Corporativo. </w:t>
      </w:r>
    </w:p>
    <w:p w:rsidR="00753BD3" w:rsidRDefault="00753BD3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retribuciones de los máximos responsables.</w:t>
      </w:r>
    </w:p>
    <w:p w:rsidR="004061BC" w:rsidRDefault="0096124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l</w:t>
      </w:r>
      <w:r w:rsidR="00753BD3">
        <w:rPr>
          <w:rFonts w:ascii="Century Gothic" w:hAnsi="Century Gothic"/>
        </w:rPr>
        <w:t>a fecha de actualización de la información contenida en el Portal</w:t>
      </w:r>
      <w:r w:rsidR="004D4B3E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53BD3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43177" w:rsidRPr="00F31BC3" w:rsidRDefault="0014317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A670E9" w:rsidRPr="00F31BC3" w:rsidRDefault="00A670E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43177" w:rsidRPr="00F31BC3" w:rsidRDefault="0014317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670E9" w:rsidRPr="00F31BC3" w:rsidRDefault="00A670E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77" w:rsidRDefault="00143177" w:rsidP="00F31BC3">
      <w:r>
        <w:separator/>
      </w:r>
    </w:p>
  </w:endnote>
  <w:endnote w:type="continuationSeparator" w:id="0">
    <w:p w:rsidR="00143177" w:rsidRDefault="0014317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77" w:rsidRDefault="00143177" w:rsidP="00F31BC3">
      <w:r>
        <w:separator/>
      </w:r>
    </w:p>
  </w:footnote>
  <w:footnote w:type="continuationSeparator" w:id="0">
    <w:p w:rsidR="00143177" w:rsidRDefault="0014317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31E45C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3177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87743"/>
    <w:rsid w:val="005B1544"/>
    <w:rsid w:val="005C4778"/>
    <w:rsid w:val="005E2505"/>
    <w:rsid w:val="005E6704"/>
    <w:rsid w:val="00603DFC"/>
    <w:rsid w:val="00607613"/>
    <w:rsid w:val="006266A5"/>
    <w:rsid w:val="00633EAA"/>
    <w:rsid w:val="00644E16"/>
    <w:rsid w:val="0069673B"/>
    <w:rsid w:val="006B2C2E"/>
    <w:rsid w:val="006B75D8"/>
    <w:rsid w:val="006C0CDD"/>
    <w:rsid w:val="006D49E7"/>
    <w:rsid w:val="006D4C90"/>
    <w:rsid w:val="006E75DE"/>
    <w:rsid w:val="006F38B2"/>
    <w:rsid w:val="006F7CB4"/>
    <w:rsid w:val="00702A3B"/>
    <w:rsid w:val="007071A8"/>
    <w:rsid w:val="00707515"/>
    <w:rsid w:val="00707C14"/>
    <w:rsid w:val="00714C54"/>
    <w:rsid w:val="00717272"/>
    <w:rsid w:val="00720C2A"/>
    <w:rsid w:val="0073626B"/>
    <w:rsid w:val="00751FAA"/>
    <w:rsid w:val="00753BD3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8D4"/>
    <w:rsid w:val="007F5F9D"/>
    <w:rsid w:val="00800B69"/>
    <w:rsid w:val="00803D20"/>
    <w:rsid w:val="00807495"/>
    <w:rsid w:val="00821526"/>
    <w:rsid w:val="008218F5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1245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26906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5846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F3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8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8B2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8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8B2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F3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8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8B2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8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8B2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8245B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A2626-BE1D-403F-88E9-C41C58D8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957</TotalTime>
  <Pages>5</Pages>
  <Words>886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8</cp:revision>
  <cp:lastPrinted>2008-09-26T23:14:00Z</cp:lastPrinted>
  <dcterms:created xsi:type="dcterms:W3CDTF">2021-11-03T16:24:00Z</dcterms:created>
  <dcterms:modified xsi:type="dcterms:W3CDTF">2022-01-12T11:34:00Z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