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703" w:rsidRDefault="009E5163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19670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19670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196703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</w:t>
                                </w:r>
                              </w:sdtContent>
                            </w:sdt>
                            <w:r w:rsidR="00196703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  <w:proofErr w:type="spellStart"/>
                            <w:r w:rsidR="00196703" w:rsidRPr="00196703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Caixabank</w:t>
                            </w:r>
                            <w:proofErr w:type="spellEnd"/>
                            <w:r w:rsidR="00196703" w:rsidRPr="00196703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S.A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196703" w:rsidRDefault="00196703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</w:t>
                          </w:r>
                        </w:sdtContent>
                      </w:sdt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  <w:proofErr w:type="spellStart"/>
                      <w:r w:rsidRPr="00196703">
                        <w:rPr>
                          <w:rFonts w:ascii="Century Gothic" w:hAnsi="Century Gothic"/>
                          <w:sz w:val="40"/>
                          <w:szCs w:val="40"/>
                        </w:rPr>
                        <w:t>Caixabank</w:t>
                      </w:r>
                      <w:proofErr w:type="spellEnd"/>
                      <w:r w:rsidRPr="00196703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S.A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96703" w:rsidRDefault="0019670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196703" w:rsidRDefault="0019670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9E5163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7F1D56" w:rsidRPr="007942B7" w:rsidTr="001C7D84">
        <w:tc>
          <w:tcPr>
            <w:tcW w:w="209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183301" w:rsidRPr="007942B7" w:rsidTr="00183301"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183301" w:rsidRPr="007942B7" w:rsidRDefault="006B2C2E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83301" w:rsidRPr="007942B7" w:rsidRDefault="00183301" w:rsidP="007942B7">
            <w:pPr>
              <w:rPr>
                <w:sz w:val="20"/>
                <w:szCs w:val="20"/>
              </w:rPr>
            </w:pPr>
          </w:p>
        </w:tc>
      </w:tr>
      <w:tr w:rsidR="001C2217" w:rsidRPr="007942B7" w:rsidTr="00183301">
        <w:tc>
          <w:tcPr>
            <w:tcW w:w="2093" w:type="dxa"/>
            <w:vMerge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1C2217" w:rsidRDefault="001C2217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C2217" w:rsidRPr="007942B7" w:rsidRDefault="001C2217" w:rsidP="00A1361E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183301" w:rsidRPr="007942B7" w:rsidRDefault="00702A3B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83301" w:rsidRPr="007942B7" w:rsidRDefault="00183301" w:rsidP="00A1361E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1361E">
            <w:pPr>
              <w:rPr>
                <w:sz w:val="20"/>
                <w:szCs w:val="20"/>
              </w:rPr>
            </w:pPr>
          </w:p>
        </w:tc>
      </w:tr>
      <w:tr w:rsidR="00702A3B" w:rsidRPr="007942B7" w:rsidTr="00BA4354">
        <w:tc>
          <w:tcPr>
            <w:tcW w:w="2093" w:type="dxa"/>
            <w:vMerge w:val="restart"/>
            <w:vAlign w:val="center"/>
          </w:tcPr>
          <w:p w:rsidR="00702A3B" w:rsidRPr="00AF196B" w:rsidRDefault="00702A3B" w:rsidP="006D4C90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702A3B" w:rsidRDefault="00702A3B" w:rsidP="008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Publicación de la normativa aplicable a la </w:t>
            </w:r>
            <w:r w:rsidR="00836976">
              <w:rPr>
                <w:sz w:val="20"/>
                <w:szCs w:val="20"/>
              </w:rPr>
              <w:t>entidad</w:t>
            </w:r>
          </w:p>
        </w:tc>
        <w:tc>
          <w:tcPr>
            <w:tcW w:w="567" w:type="dxa"/>
          </w:tcPr>
          <w:p w:rsidR="00702A3B" w:rsidRDefault="00702A3B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02A3B" w:rsidRPr="007942B7" w:rsidRDefault="00196703" w:rsidP="00B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No, no se publica la normativa de carácter general aplicable a la entidad</w:t>
            </w:r>
          </w:p>
        </w:tc>
      </w:tr>
      <w:tr w:rsidR="00702A3B" w:rsidRPr="007942B7" w:rsidTr="00BA4354">
        <w:tc>
          <w:tcPr>
            <w:tcW w:w="2093" w:type="dxa"/>
            <w:vMerge/>
            <w:vAlign w:val="center"/>
          </w:tcPr>
          <w:p w:rsidR="00702A3B" w:rsidRPr="00AF196B" w:rsidRDefault="00702A3B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02A3B" w:rsidRDefault="00702A3B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702A3B" w:rsidRDefault="00702A3B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02A3B" w:rsidRPr="007942B7" w:rsidRDefault="00196703" w:rsidP="00B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670E9" w:rsidRPr="007942B7" w:rsidTr="00BA4354">
        <w:tc>
          <w:tcPr>
            <w:tcW w:w="2093" w:type="dxa"/>
            <w:vMerge/>
            <w:vAlign w:val="center"/>
          </w:tcPr>
          <w:p w:rsidR="00A670E9" w:rsidRPr="00AF196B" w:rsidRDefault="00A670E9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670E9" w:rsidRDefault="00A670E9" w:rsidP="00EF4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</w:t>
            </w:r>
            <w:r w:rsidR="00EF4B82">
              <w:rPr>
                <w:sz w:val="20"/>
                <w:szCs w:val="20"/>
              </w:rPr>
              <w:t xml:space="preserve"> adjudicados por administraciones públicas</w:t>
            </w:r>
          </w:p>
        </w:tc>
        <w:tc>
          <w:tcPr>
            <w:tcW w:w="567" w:type="dxa"/>
          </w:tcPr>
          <w:p w:rsidR="00A670E9" w:rsidRDefault="00A670E9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670E9" w:rsidRDefault="00A670E9"/>
        </w:tc>
      </w:tr>
      <w:tr w:rsidR="00A670E9" w:rsidRPr="007942B7" w:rsidTr="00BA4354">
        <w:tc>
          <w:tcPr>
            <w:tcW w:w="2093" w:type="dxa"/>
            <w:vMerge/>
            <w:vAlign w:val="center"/>
          </w:tcPr>
          <w:p w:rsidR="00A670E9" w:rsidRPr="00AF196B" w:rsidRDefault="00A670E9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670E9" w:rsidRDefault="00A670E9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</w:t>
            </w:r>
            <w:r w:rsidR="00EF4B82">
              <w:rPr>
                <w:sz w:val="20"/>
                <w:szCs w:val="20"/>
              </w:rPr>
              <w:t xml:space="preserve"> celebrados con administraciones públicas</w:t>
            </w:r>
          </w:p>
        </w:tc>
        <w:tc>
          <w:tcPr>
            <w:tcW w:w="567" w:type="dxa"/>
          </w:tcPr>
          <w:p w:rsidR="00A670E9" w:rsidRDefault="00A670E9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670E9" w:rsidRDefault="00A670E9"/>
        </w:tc>
      </w:tr>
      <w:tr w:rsidR="00A670E9" w:rsidRPr="007942B7" w:rsidTr="00BA4354">
        <w:tc>
          <w:tcPr>
            <w:tcW w:w="2093" w:type="dxa"/>
            <w:vMerge/>
            <w:vAlign w:val="center"/>
          </w:tcPr>
          <w:p w:rsidR="00A670E9" w:rsidRPr="00AF196B" w:rsidRDefault="00A670E9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670E9" w:rsidRDefault="00A670E9" w:rsidP="00EF4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Subvenciones </w:t>
            </w:r>
            <w:r w:rsidR="00EF4B82">
              <w:rPr>
                <w:sz w:val="20"/>
                <w:szCs w:val="20"/>
              </w:rPr>
              <w:t>concedidas por administraciones públicas</w:t>
            </w:r>
          </w:p>
        </w:tc>
        <w:tc>
          <w:tcPr>
            <w:tcW w:w="567" w:type="dxa"/>
          </w:tcPr>
          <w:p w:rsidR="00A670E9" w:rsidRDefault="00A670E9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670E9" w:rsidRDefault="00A670E9"/>
        </w:tc>
      </w:tr>
      <w:tr w:rsidR="00702A3B" w:rsidRPr="007942B7" w:rsidTr="00BA4354">
        <w:tc>
          <w:tcPr>
            <w:tcW w:w="2093" w:type="dxa"/>
            <w:vMerge/>
            <w:vAlign w:val="center"/>
          </w:tcPr>
          <w:p w:rsidR="00702A3B" w:rsidRPr="00AF196B" w:rsidRDefault="00702A3B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02A3B" w:rsidRDefault="00702A3B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567" w:type="dxa"/>
          </w:tcPr>
          <w:p w:rsidR="00702A3B" w:rsidRDefault="00702A3B" w:rsidP="00800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702A3B" w:rsidRPr="007942B7" w:rsidRDefault="00702A3B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Revisada de oficio</w:t>
            </w:r>
          </w:p>
        </w:tc>
      </w:tr>
      <w:tr w:rsidR="00183301" w:rsidRPr="007942B7" w:rsidTr="00183301">
        <w:trPr>
          <w:trHeight w:val="265"/>
        </w:trPr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183301" w:rsidRPr="007942B7" w:rsidRDefault="00183301" w:rsidP="002432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865E5A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 w:rsidR="00DF54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F196B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6D4C90" w:rsidRPr="007942B7" w:rsidRDefault="00807495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BA4354" w:rsidP="00BA1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Revisada de oficio</w:t>
            </w: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82627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 w:rsidR="00AF19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6D4C90" w:rsidRPr="007942B7" w:rsidRDefault="00183301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6D4C90" w:rsidP="00183301">
            <w:pPr>
              <w:rPr>
                <w:sz w:val="20"/>
                <w:szCs w:val="20"/>
              </w:rPr>
            </w:pPr>
          </w:p>
        </w:tc>
      </w:tr>
      <w:tr w:rsidR="001C7D84" w:rsidRPr="001C7D84" w:rsidTr="00183301">
        <w:tc>
          <w:tcPr>
            <w:tcW w:w="6912" w:type="dxa"/>
            <w:gridSpan w:val="2"/>
          </w:tcPr>
          <w:p w:rsidR="001C7D84" w:rsidRPr="001C7D84" w:rsidRDefault="001C7D84" w:rsidP="001C7D84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1C7D84" w:rsidRPr="001C7D84" w:rsidRDefault="00196703" w:rsidP="003F4D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203" w:type="dxa"/>
          </w:tcPr>
          <w:p w:rsidR="001C7D84" w:rsidRPr="001C7D84" w:rsidRDefault="001C7D84" w:rsidP="00AC4A6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C52EE5" w:rsidP="00DF56A7">
      <w:pPr>
        <w:jc w:val="both"/>
      </w:pPr>
      <w:proofErr w:type="spellStart"/>
      <w:r>
        <w:t>Caixabank</w:t>
      </w:r>
      <w:proofErr w:type="spellEnd"/>
      <w:r>
        <w:t xml:space="preserve"> no ha aplicado </w:t>
      </w:r>
      <w:r w:rsidRPr="00C52EE5">
        <w:rPr>
          <w:b/>
        </w:rPr>
        <w:t>ninguna de las recomendaciones</w:t>
      </w:r>
      <w:r>
        <w:t xml:space="preserve"> derivadas de la evaluación realizada en 2020.</w:t>
      </w:r>
    </w:p>
    <w:p w:rsidR="00FA5AFD" w:rsidRDefault="00FA5AFD" w:rsidP="00AC4A6F"/>
    <w:p w:rsidR="00E17DF6" w:rsidRDefault="00E17DF6" w:rsidP="00AC4A6F"/>
    <w:p w:rsidR="00E17DF6" w:rsidRDefault="00E17DF6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96703" w:rsidRPr="00F31BC3" w:rsidRDefault="0019670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196703" w:rsidRPr="00F31BC3" w:rsidRDefault="0019670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9E5163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W w:w="504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995"/>
        <w:gridCol w:w="852"/>
        <w:gridCol w:w="980"/>
        <w:gridCol w:w="625"/>
        <w:gridCol w:w="625"/>
        <w:gridCol w:w="625"/>
        <w:gridCol w:w="638"/>
        <w:gridCol w:w="758"/>
      </w:tblGrid>
      <w:tr w:rsidR="00521C69" w:rsidRPr="006D4C90" w:rsidTr="00BB3652">
        <w:trPr>
          <w:trHeight w:val="315"/>
        </w:trPr>
        <w:tc>
          <w:tcPr>
            <w:tcW w:w="21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CONTENIDO 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FORMA </w:t>
            </w:r>
          </w:p>
        </w:tc>
        <w:tc>
          <w:tcPr>
            <w:tcW w:w="163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5AD82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CARACTERISTICAS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TOTAL</w:t>
            </w:r>
          </w:p>
        </w:tc>
      </w:tr>
      <w:tr w:rsidR="00521C69" w:rsidRPr="006D4C90" w:rsidTr="00BB3652">
        <w:trPr>
          <w:trHeight w:val="1895"/>
        </w:trPr>
        <w:tc>
          <w:tcPr>
            <w:tcW w:w="2151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ESTRUCTURACIÓN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ACCESIBILIDAD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CLARIDAD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REUTILIZACIÓN </w:t>
            </w:r>
          </w:p>
        </w:tc>
        <w:tc>
          <w:tcPr>
            <w:tcW w:w="29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ACTUALIZACIÓN </w:t>
            </w:r>
          </w:p>
        </w:tc>
        <w:tc>
          <w:tcPr>
            <w:tcW w:w="354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521C69" w:rsidRPr="006D4C90" w:rsidTr="00BB3652">
        <w:trPr>
          <w:trHeight w:val="315"/>
        </w:trPr>
        <w:tc>
          <w:tcPr>
            <w:tcW w:w="5000" w:type="pct"/>
            <w:gridSpan w:val="9"/>
            <w:shd w:val="clear" w:color="000000" w:fill="F2F2F2"/>
            <w:vAlign w:val="center"/>
            <w:hideMark/>
          </w:tcPr>
          <w:p w:rsidR="00521C69" w:rsidRPr="006D4C90" w:rsidRDefault="00016718" w:rsidP="00016718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INFORMACIÓN </w:t>
            </w:r>
            <w:r w:rsidR="00521C69"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INSTITUCIONAL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Y</w:t>
            </w:r>
            <w:r w:rsidR="00521C69"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ORGANIZATIVA </w:t>
            </w:r>
          </w:p>
        </w:tc>
      </w:tr>
      <w:tr w:rsidR="00196703" w:rsidRPr="00BB3652" w:rsidTr="00BB3652">
        <w:trPr>
          <w:trHeight w:val="315"/>
        </w:trPr>
        <w:tc>
          <w:tcPr>
            <w:tcW w:w="2151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196703" w:rsidRPr="006D4C90" w:rsidRDefault="00196703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Institucional</w:t>
            </w:r>
          </w:p>
        </w:tc>
        <w:tc>
          <w:tcPr>
            <w:tcW w:w="465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196703" w:rsidRPr="00196703" w:rsidRDefault="00196703" w:rsidP="00196703">
            <w:pPr>
              <w:jc w:val="center"/>
              <w:rPr>
                <w:sz w:val="16"/>
                <w:szCs w:val="16"/>
              </w:rPr>
            </w:pPr>
            <w:r w:rsidRPr="00196703">
              <w:rPr>
                <w:sz w:val="16"/>
                <w:szCs w:val="16"/>
              </w:rPr>
              <w:t>75,0</w:t>
            </w:r>
          </w:p>
        </w:tc>
        <w:tc>
          <w:tcPr>
            <w:tcW w:w="3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196703" w:rsidRPr="00196703" w:rsidRDefault="00196703" w:rsidP="00196703">
            <w:pPr>
              <w:jc w:val="center"/>
              <w:rPr>
                <w:sz w:val="16"/>
                <w:szCs w:val="16"/>
              </w:rPr>
            </w:pPr>
            <w:r w:rsidRPr="00196703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196703" w:rsidRPr="00196703" w:rsidRDefault="00196703" w:rsidP="00196703">
            <w:pPr>
              <w:jc w:val="center"/>
              <w:rPr>
                <w:sz w:val="16"/>
                <w:szCs w:val="16"/>
              </w:rPr>
            </w:pPr>
            <w:r w:rsidRPr="00196703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196703" w:rsidRPr="00196703" w:rsidRDefault="00196703" w:rsidP="00196703">
            <w:pPr>
              <w:jc w:val="center"/>
              <w:rPr>
                <w:sz w:val="16"/>
                <w:szCs w:val="16"/>
              </w:rPr>
            </w:pPr>
            <w:r w:rsidRPr="00196703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196703" w:rsidRPr="00196703" w:rsidRDefault="00196703" w:rsidP="00196703">
            <w:pPr>
              <w:jc w:val="center"/>
              <w:rPr>
                <w:sz w:val="16"/>
                <w:szCs w:val="16"/>
              </w:rPr>
            </w:pPr>
            <w:r w:rsidRPr="00196703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196703" w:rsidRPr="00196703" w:rsidRDefault="00196703" w:rsidP="00196703">
            <w:pPr>
              <w:jc w:val="center"/>
              <w:rPr>
                <w:sz w:val="16"/>
                <w:szCs w:val="16"/>
              </w:rPr>
            </w:pPr>
            <w:r w:rsidRPr="00196703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196703" w:rsidRPr="00196703" w:rsidRDefault="00196703" w:rsidP="00196703">
            <w:pPr>
              <w:jc w:val="center"/>
              <w:rPr>
                <w:sz w:val="16"/>
                <w:szCs w:val="16"/>
              </w:rPr>
            </w:pPr>
            <w:r w:rsidRPr="00196703">
              <w:rPr>
                <w:sz w:val="16"/>
                <w:szCs w:val="16"/>
              </w:rPr>
              <w:t>25,0</w:t>
            </w:r>
          </w:p>
        </w:tc>
        <w:tc>
          <w:tcPr>
            <w:tcW w:w="354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196703" w:rsidRPr="00196703" w:rsidRDefault="00196703" w:rsidP="00196703">
            <w:pPr>
              <w:jc w:val="center"/>
              <w:rPr>
                <w:sz w:val="16"/>
                <w:szCs w:val="16"/>
              </w:rPr>
            </w:pPr>
            <w:r w:rsidRPr="00196703">
              <w:rPr>
                <w:sz w:val="16"/>
                <w:szCs w:val="16"/>
              </w:rPr>
              <w:t>85,7</w:t>
            </w:r>
          </w:p>
        </w:tc>
      </w:tr>
      <w:tr w:rsidR="00196703" w:rsidRPr="00BB3652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196703" w:rsidRPr="006D4C90" w:rsidRDefault="00196703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Organizativa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96703" w:rsidRPr="00196703" w:rsidRDefault="00196703" w:rsidP="00196703">
            <w:pPr>
              <w:jc w:val="center"/>
              <w:rPr>
                <w:sz w:val="16"/>
                <w:szCs w:val="16"/>
              </w:rPr>
            </w:pPr>
            <w:r w:rsidRPr="00196703">
              <w:rPr>
                <w:sz w:val="16"/>
                <w:szCs w:val="16"/>
              </w:rPr>
              <w:t>75,0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96703" w:rsidRPr="00196703" w:rsidRDefault="00196703" w:rsidP="00196703">
            <w:pPr>
              <w:jc w:val="center"/>
              <w:rPr>
                <w:sz w:val="16"/>
                <w:szCs w:val="16"/>
              </w:rPr>
            </w:pPr>
            <w:r w:rsidRPr="00196703">
              <w:rPr>
                <w:sz w:val="16"/>
                <w:szCs w:val="16"/>
              </w:rPr>
              <w:t>75,0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96703" w:rsidRPr="00196703" w:rsidRDefault="00196703" w:rsidP="00196703">
            <w:pPr>
              <w:jc w:val="center"/>
              <w:rPr>
                <w:sz w:val="16"/>
                <w:szCs w:val="16"/>
              </w:rPr>
            </w:pPr>
            <w:r w:rsidRPr="00196703">
              <w:rPr>
                <w:sz w:val="16"/>
                <w:szCs w:val="16"/>
              </w:rPr>
              <w:t>75,0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96703" w:rsidRPr="00196703" w:rsidRDefault="00196703" w:rsidP="00196703">
            <w:pPr>
              <w:jc w:val="center"/>
              <w:rPr>
                <w:sz w:val="16"/>
                <w:szCs w:val="16"/>
              </w:rPr>
            </w:pPr>
            <w:r w:rsidRPr="00196703">
              <w:rPr>
                <w:sz w:val="16"/>
                <w:szCs w:val="16"/>
              </w:rPr>
              <w:t>75,0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96703" w:rsidRPr="00196703" w:rsidRDefault="00196703" w:rsidP="00196703">
            <w:pPr>
              <w:jc w:val="center"/>
              <w:rPr>
                <w:sz w:val="16"/>
                <w:szCs w:val="16"/>
              </w:rPr>
            </w:pPr>
            <w:r w:rsidRPr="00196703">
              <w:rPr>
                <w:sz w:val="16"/>
                <w:szCs w:val="16"/>
              </w:rPr>
              <w:t>75,0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96703" w:rsidRPr="00196703" w:rsidRDefault="00196703" w:rsidP="00196703">
            <w:pPr>
              <w:jc w:val="center"/>
              <w:rPr>
                <w:sz w:val="16"/>
                <w:szCs w:val="16"/>
              </w:rPr>
            </w:pPr>
            <w:r w:rsidRPr="00196703">
              <w:rPr>
                <w:sz w:val="16"/>
                <w:szCs w:val="16"/>
              </w:rPr>
              <w:t>75,0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96703" w:rsidRPr="00196703" w:rsidRDefault="00196703" w:rsidP="00196703">
            <w:pPr>
              <w:jc w:val="center"/>
              <w:rPr>
                <w:sz w:val="16"/>
                <w:szCs w:val="16"/>
              </w:rPr>
            </w:pPr>
            <w:r w:rsidRPr="00196703">
              <w:rPr>
                <w:sz w:val="16"/>
                <w:szCs w:val="16"/>
              </w:rPr>
              <w:t>75,0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96703" w:rsidRPr="00196703" w:rsidRDefault="00196703" w:rsidP="00196703">
            <w:pPr>
              <w:jc w:val="center"/>
              <w:rPr>
                <w:sz w:val="16"/>
                <w:szCs w:val="16"/>
              </w:rPr>
            </w:pPr>
            <w:r w:rsidRPr="00196703">
              <w:rPr>
                <w:sz w:val="16"/>
                <w:szCs w:val="16"/>
              </w:rPr>
              <w:t>75,0</w:t>
            </w:r>
          </w:p>
        </w:tc>
      </w:tr>
      <w:tr w:rsidR="00196703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196703" w:rsidRPr="006D4C90" w:rsidRDefault="00196703" w:rsidP="00BB3652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IOP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196703" w:rsidRPr="00196703" w:rsidRDefault="00196703" w:rsidP="0019670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96703">
              <w:rPr>
                <w:b/>
                <w:color w:val="FFFFFF" w:themeColor="background1"/>
                <w:sz w:val="16"/>
                <w:szCs w:val="16"/>
              </w:rPr>
              <w:t>75,0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196703" w:rsidRPr="00196703" w:rsidRDefault="00196703" w:rsidP="0019670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96703">
              <w:rPr>
                <w:b/>
                <w:color w:val="FFFFFF" w:themeColor="background1"/>
                <w:sz w:val="16"/>
                <w:szCs w:val="16"/>
              </w:rPr>
              <w:t>83,3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196703" w:rsidRPr="00196703" w:rsidRDefault="00196703" w:rsidP="0019670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96703">
              <w:rPr>
                <w:b/>
                <w:color w:val="FFFFFF" w:themeColor="background1"/>
                <w:sz w:val="16"/>
                <w:szCs w:val="16"/>
              </w:rPr>
              <w:t>83,3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196703" w:rsidRPr="00196703" w:rsidRDefault="00196703" w:rsidP="0019670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96703">
              <w:rPr>
                <w:b/>
                <w:color w:val="FFFFFF" w:themeColor="background1"/>
                <w:sz w:val="16"/>
                <w:szCs w:val="16"/>
              </w:rPr>
              <w:t>83,3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196703" w:rsidRPr="00196703" w:rsidRDefault="00196703" w:rsidP="0019670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96703">
              <w:rPr>
                <w:b/>
                <w:color w:val="FFFFFF" w:themeColor="background1"/>
                <w:sz w:val="16"/>
                <w:szCs w:val="16"/>
              </w:rPr>
              <w:t>83,3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196703" w:rsidRPr="00196703" w:rsidRDefault="00196703" w:rsidP="0019670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96703">
              <w:rPr>
                <w:b/>
                <w:color w:val="FFFFFF" w:themeColor="background1"/>
                <w:sz w:val="16"/>
                <w:szCs w:val="16"/>
              </w:rPr>
              <w:t>83,3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196703" w:rsidRPr="00196703" w:rsidRDefault="00196703" w:rsidP="0019670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96703">
              <w:rPr>
                <w:b/>
                <w:color w:val="FFFFFF" w:themeColor="background1"/>
                <w:sz w:val="16"/>
                <w:szCs w:val="16"/>
              </w:rPr>
              <w:t>58,3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196703" w:rsidRPr="00196703" w:rsidRDefault="00196703" w:rsidP="0019670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96703">
              <w:rPr>
                <w:b/>
                <w:color w:val="FFFFFF" w:themeColor="background1"/>
                <w:sz w:val="16"/>
                <w:szCs w:val="16"/>
              </w:rPr>
              <w:t>78,6</w:t>
            </w:r>
          </w:p>
        </w:tc>
      </w:tr>
      <w:tr w:rsidR="00016718" w:rsidRPr="00016718" w:rsidTr="00BB3652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521C69" w:rsidRPr="00016718" w:rsidRDefault="00521C69" w:rsidP="00016718">
            <w:pPr>
              <w:rPr>
                <w:b/>
                <w:sz w:val="18"/>
                <w:szCs w:val="18"/>
              </w:rPr>
            </w:pPr>
            <w:r w:rsidRPr="00016718">
              <w:rPr>
                <w:b/>
                <w:sz w:val="18"/>
                <w:szCs w:val="18"/>
              </w:rPr>
              <w:t>INFORMACIÓN ECONÓMICA</w:t>
            </w:r>
          </w:p>
        </w:tc>
      </w:tr>
      <w:tr w:rsidR="00C52EE5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6D4C90" w:rsidRDefault="00C52EE5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2C41B4">
              <w:rPr>
                <w:rFonts w:eastAsia="Times New Roman" w:cs="Arial"/>
                <w:sz w:val="18"/>
                <w:szCs w:val="18"/>
                <w:lang w:eastAsia="es-ES"/>
              </w:rPr>
              <w:t>Contratos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</w:tr>
      <w:tr w:rsidR="00C52EE5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C52EE5" w:rsidRPr="006D4C90" w:rsidRDefault="00C52EE5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Convenios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</w:tr>
      <w:tr w:rsidR="00C52EE5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6D4C90" w:rsidRDefault="00C52EE5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Subvenciones</w:t>
            </w: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ab/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</w:tr>
      <w:tr w:rsidR="00C52EE5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3543A0" w:rsidRDefault="00C52EE5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Presupuestos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85,7</w:t>
            </w:r>
          </w:p>
        </w:tc>
      </w:tr>
      <w:tr w:rsidR="00C52EE5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3543A0" w:rsidRDefault="00C52EE5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Cuentas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85,7</w:t>
            </w:r>
          </w:p>
        </w:tc>
      </w:tr>
      <w:tr w:rsidR="00C52EE5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3543A0" w:rsidRDefault="00C52EE5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2C41B4">
              <w:rPr>
                <w:rFonts w:eastAsia="Times New Roman" w:cs="Arial"/>
                <w:sz w:val="18"/>
                <w:szCs w:val="18"/>
                <w:lang w:eastAsia="es-ES"/>
              </w:rPr>
              <w:t>Retribuciones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50,0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92,9</w:t>
            </w:r>
          </w:p>
        </w:tc>
      </w:tr>
      <w:tr w:rsidR="00C52EE5" w:rsidRPr="00C52EE5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C52EE5" w:rsidRPr="006D4C90" w:rsidRDefault="00C52EE5" w:rsidP="00BB3652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EPE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52EE5" w:rsidRPr="00C52EE5" w:rsidRDefault="00C52EE5" w:rsidP="00C52EE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52EE5">
              <w:rPr>
                <w:b/>
                <w:color w:val="FFFFFF" w:themeColor="background1"/>
                <w:sz w:val="16"/>
                <w:szCs w:val="16"/>
              </w:rPr>
              <w:t>50,0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52EE5" w:rsidRPr="00C52EE5" w:rsidRDefault="00C52EE5" w:rsidP="00C52EE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52EE5">
              <w:rPr>
                <w:b/>
                <w:color w:val="FFFFFF" w:themeColor="background1"/>
                <w:sz w:val="16"/>
                <w:szCs w:val="16"/>
              </w:rPr>
              <w:t>50,0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52EE5" w:rsidRPr="00C52EE5" w:rsidRDefault="00C52EE5" w:rsidP="00C52EE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52EE5">
              <w:rPr>
                <w:b/>
                <w:color w:val="FFFFFF" w:themeColor="background1"/>
                <w:sz w:val="16"/>
                <w:szCs w:val="16"/>
              </w:rPr>
              <w:t>50,0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52EE5" w:rsidRPr="00C52EE5" w:rsidRDefault="00C52EE5" w:rsidP="00C52EE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52EE5">
              <w:rPr>
                <w:b/>
                <w:color w:val="FFFFFF" w:themeColor="background1"/>
                <w:sz w:val="16"/>
                <w:szCs w:val="16"/>
              </w:rPr>
              <w:t>50,0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52EE5" w:rsidRPr="00C52EE5" w:rsidRDefault="00C52EE5" w:rsidP="00C52EE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52EE5">
              <w:rPr>
                <w:b/>
                <w:color w:val="FFFFFF" w:themeColor="background1"/>
                <w:sz w:val="16"/>
                <w:szCs w:val="16"/>
              </w:rPr>
              <w:t>50,0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52EE5" w:rsidRPr="00C52EE5" w:rsidRDefault="00C52EE5" w:rsidP="00C52EE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52EE5">
              <w:rPr>
                <w:b/>
                <w:color w:val="FFFFFF" w:themeColor="background1"/>
                <w:sz w:val="16"/>
                <w:szCs w:val="16"/>
              </w:rPr>
              <w:t>12,5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52EE5" w:rsidRPr="00C52EE5" w:rsidRDefault="00C52EE5" w:rsidP="00C52EE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52EE5">
              <w:rPr>
                <w:b/>
                <w:color w:val="FFFFFF" w:themeColor="background1"/>
                <w:sz w:val="16"/>
                <w:szCs w:val="16"/>
              </w:rPr>
              <w:t>43,8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52EE5" w:rsidRPr="00C52EE5" w:rsidRDefault="00C52EE5" w:rsidP="00C52EE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52EE5">
              <w:rPr>
                <w:b/>
                <w:color w:val="FFFFFF" w:themeColor="background1"/>
                <w:sz w:val="16"/>
                <w:szCs w:val="16"/>
              </w:rPr>
              <w:t>43,8</w:t>
            </w:r>
          </w:p>
        </w:tc>
      </w:tr>
      <w:tr w:rsidR="00521C69" w:rsidRPr="006D4C90" w:rsidTr="00BB3652">
        <w:trPr>
          <w:trHeight w:val="315"/>
        </w:trPr>
        <w:tc>
          <w:tcPr>
            <w:tcW w:w="464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INDICE DE CUMPLIMIENTO DE LA INFORMACION OBLIGATORIA (ICIO)</w:t>
            </w:r>
          </w:p>
        </w:tc>
        <w:tc>
          <w:tcPr>
            <w:tcW w:w="354" w:type="pct"/>
            <w:tcBorders>
              <w:top w:val="single" w:sz="4" w:space="0" w:color="333333"/>
              <w:left w:val="single" w:sz="4" w:space="0" w:color="993366"/>
              <w:bottom w:val="single" w:sz="4" w:space="0" w:color="333333"/>
              <w:right w:val="nil"/>
            </w:tcBorders>
            <w:shd w:val="clear" w:color="auto" w:fill="auto"/>
            <w:noWrap/>
          </w:tcPr>
          <w:p w:rsidR="00521C69" w:rsidRPr="006D4C90" w:rsidRDefault="00C52EE5" w:rsidP="00BB3652">
            <w:pPr>
              <w:jc w:val="right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58,7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C52EE5">
        <w:rPr>
          <w:lang w:bidi="es-ES"/>
        </w:rPr>
        <w:t>58.7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2020 se produce un incremento de </w:t>
      </w:r>
      <w:r w:rsidR="00C52EE5">
        <w:rPr>
          <w:lang w:bidi="es-ES"/>
        </w:rPr>
        <w:t>1,7</w:t>
      </w:r>
      <w:r w:rsidR="00BB3652">
        <w:rPr>
          <w:lang w:bidi="es-ES"/>
        </w:rPr>
        <w:t xml:space="preserve"> puntos porcentuales atribuible exclusivamente a la revisión efectuada de oficio de la obligación de publicar información sobre ejecución presupuestaria y del cumplimiento del atributo de publicación de la información en formatos reutilizables.</w:t>
      </w:r>
    </w:p>
    <w:p w:rsidR="00A670E9" w:rsidRDefault="00A670E9" w:rsidP="00F05E2C">
      <w:pPr>
        <w:pStyle w:val="Cuerpodelboletn"/>
      </w:pPr>
    </w:p>
    <w:p w:rsidR="00A670E9" w:rsidRDefault="00A670E9" w:rsidP="00F05E2C">
      <w:pPr>
        <w:pStyle w:val="Cuerpodelboletn"/>
        <w:sectPr w:rsidR="00A670E9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BB3652" w:rsidP="00BB3652">
      <w:pPr>
        <w:pStyle w:val="Cuerpodelboletn"/>
      </w:pPr>
      <w:r>
        <w:t xml:space="preserve">Este CTBG no puede menos que </w:t>
      </w:r>
      <w:r w:rsidRPr="00BB3652">
        <w:rPr>
          <w:b/>
        </w:rPr>
        <w:t>valorar negativamente</w:t>
      </w:r>
      <w:r>
        <w:t xml:space="preserve"> la evolución del cumplimiento de las obligaciones de publicidad activa por parte de </w:t>
      </w:r>
      <w:proofErr w:type="spellStart"/>
      <w:r w:rsidR="00C52EE5">
        <w:t>Caixabank</w:t>
      </w:r>
      <w:proofErr w:type="spellEnd"/>
      <w:r w:rsidR="00C52EE5">
        <w:t xml:space="preserve"> S.A</w:t>
      </w:r>
      <w:r>
        <w:t>. No se ha aplicado ninguna de las recomendaciones efectuadas como consecuencia de la evaluación realizada en 2020.</w:t>
      </w:r>
    </w:p>
    <w:p w:rsidR="004061BC" w:rsidRDefault="00BB3652" w:rsidP="00A670E9">
      <w:pPr>
        <w:pStyle w:val="Cuerpodelboletn"/>
      </w:pPr>
      <w:r>
        <w:t>Como consecuencia de esto persisten 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96703" w:rsidRPr="00F31BC3" w:rsidRDefault="00196703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196703" w:rsidRPr="00F31BC3" w:rsidRDefault="00196703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A670E9" w:rsidRDefault="00C52EE5" w:rsidP="00C52EE5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C52EE5">
        <w:rPr>
          <w:rFonts w:ascii="Century Gothic" w:hAnsi="Century Gothic"/>
        </w:rPr>
        <w:lastRenderedPageBreak/>
        <w:t>Sigue sin crearse un espacio específico en la web institucional en el que publicar la información sujeta a obligaciones de publicidad activa</w:t>
      </w:r>
      <w:r w:rsidR="00A670E9">
        <w:rPr>
          <w:rFonts w:ascii="Century Gothic" w:hAnsi="Century Gothic"/>
        </w:rPr>
        <w:t>.</w:t>
      </w:r>
    </w:p>
    <w:p w:rsidR="00C52EE5" w:rsidRDefault="00C52EE5" w:rsidP="00C52EE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Pr="00A670E9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A670E9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las normas de carácter general que regulan la actividad de la </w:t>
      </w:r>
      <w:r w:rsidR="00C52EE5">
        <w:rPr>
          <w:rFonts w:ascii="Century Gothic" w:hAnsi="Century Gothic"/>
        </w:rPr>
        <w:t>entidad y</w:t>
      </w:r>
      <w:r>
        <w:rPr>
          <w:rFonts w:ascii="Century Gothic" w:hAnsi="Century Gothic"/>
        </w:rPr>
        <w:t xml:space="preserve"> el organigrama.  </w:t>
      </w:r>
    </w:p>
    <w:p w:rsidR="004D4B3E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 no se publica información sobre los contratos adjudicados por administraciones públicas, los convenios celebrados con administraciones públicas y las subvenciones concedidas por administraciones públicas.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9E5163" w:rsidRPr="009E5163">
        <w:rPr>
          <w:rFonts w:ascii="Century Gothic" w:hAnsi="Century Gothic"/>
        </w:rPr>
        <w:t>la información obligatoria publicada en el Portal de Transpar</w:t>
      </w:r>
      <w:r w:rsidR="009E5163">
        <w:rPr>
          <w:rFonts w:ascii="Century Gothic" w:hAnsi="Century Gothic"/>
        </w:rPr>
        <w:t>encia o en la web de la entidad</w:t>
      </w:r>
      <w:bookmarkStart w:id="0" w:name="_GoBack"/>
      <w:bookmarkEnd w:id="0"/>
      <w:r w:rsidR="004D4B3E">
        <w:rPr>
          <w:rFonts w:ascii="Century Gothic" w:hAnsi="Century Gothic"/>
        </w:rPr>
        <w:t>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2C19B9">
        <w:rPr>
          <w:rFonts w:ascii="Century Gothic" w:hAnsi="Century Gothic"/>
        </w:rPr>
        <w:t>noviembre</w:t>
      </w:r>
      <w:r>
        <w:rPr>
          <w:rFonts w:ascii="Century Gothic" w:hAnsi="Century Gothic"/>
        </w:rPr>
        <w:t xml:space="preserve"> de 2021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96703" w:rsidRPr="00F31BC3" w:rsidRDefault="0019670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196703" w:rsidRPr="00F31BC3" w:rsidRDefault="0019670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196703" w:rsidRPr="00F31BC3" w:rsidRDefault="0019670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196703" w:rsidRPr="00F31BC3" w:rsidRDefault="0019670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703" w:rsidRDefault="00196703" w:rsidP="00F31BC3">
      <w:r>
        <w:separator/>
      </w:r>
    </w:p>
  </w:endnote>
  <w:endnote w:type="continuationSeparator" w:id="0">
    <w:p w:rsidR="00196703" w:rsidRDefault="0019670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703" w:rsidRDefault="00196703" w:rsidP="00F31BC3">
      <w:r>
        <w:separator/>
      </w:r>
    </w:p>
  </w:footnote>
  <w:footnote w:type="continuationSeparator" w:id="0">
    <w:p w:rsidR="00196703" w:rsidRDefault="00196703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53A0E"/>
    <w:rsid w:val="0005642F"/>
    <w:rsid w:val="00072B7E"/>
    <w:rsid w:val="000775A5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63F79"/>
    <w:rsid w:val="002C19B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3295"/>
    <w:rsid w:val="00564E23"/>
    <w:rsid w:val="00582A8C"/>
    <w:rsid w:val="005B1544"/>
    <w:rsid w:val="005C4778"/>
    <w:rsid w:val="005E2505"/>
    <w:rsid w:val="005E6704"/>
    <w:rsid w:val="00603DFC"/>
    <w:rsid w:val="00607613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5163"/>
    <w:rsid w:val="009E7254"/>
    <w:rsid w:val="00A03993"/>
    <w:rsid w:val="00A0626F"/>
    <w:rsid w:val="00A06BF1"/>
    <w:rsid w:val="00A10B8C"/>
    <w:rsid w:val="00A1361E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0574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1ADA49-1D60-4868-AEF4-F2C1ABAC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</TotalTime>
  <Pages>5</Pages>
  <Words>862</Words>
  <Characters>4741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3</cp:revision>
  <cp:lastPrinted>2008-09-26T23:14:00Z</cp:lastPrinted>
  <dcterms:created xsi:type="dcterms:W3CDTF">2021-11-04T11:53:00Z</dcterms:created>
  <dcterms:modified xsi:type="dcterms:W3CDTF">2021-11-05T11:05:00Z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