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00" w:rsidRDefault="0037590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Cruz Roja Española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375900" w:rsidRDefault="00375900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Cruz Roja Española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5900" w:rsidRDefault="0037590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7590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250846" w:rsidRPr="007942B7" w:rsidTr="00375900">
        <w:tc>
          <w:tcPr>
            <w:tcW w:w="2093" w:type="dxa"/>
            <w:shd w:val="clear" w:color="auto" w:fill="008A3E"/>
          </w:tcPr>
          <w:p w:rsidR="00250846" w:rsidRPr="007942B7" w:rsidRDefault="00250846" w:rsidP="0037590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50846" w:rsidRPr="007942B7" w:rsidRDefault="00250846" w:rsidP="0037590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50846" w:rsidRPr="007942B7" w:rsidRDefault="00250846" w:rsidP="0037590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250846" w:rsidRPr="007942B7" w:rsidTr="00375900">
        <w:tc>
          <w:tcPr>
            <w:tcW w:w="2093" w:type="dxa"/>
            <w:vMerge w:val="restart"/>
            <w:vAlign w:val="center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37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</w:p>
        </w:tc>
      </w:tr>
      <w:tr w:rsidR="00250846" w:rsidRPr="007942B7" w:rsidTr="00375900">
        <w:tc>
          <w:tcPr>
            <w:tcW w:w="2093" w:type="dxa"/>
            <w:vMerge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250846" w:rsidRDefault="00250846" w:rsidP="0037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</w:p>
        </w:tc>
      </w:tr>
      <w:tr w:rsidR="00250846" w:rsidRPr="007942B7" w:rsidTr="00375900">
        <w:tc>
          <w:tcPr>
            <w:tcW w:w="2093" w:type="dxa"/>
            <w:vMerge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37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066C63" w:rsidP="00375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250846" w:rsidRPr="007942B7" w:rsidTr="00375900">
        <w:tc>
          <w:tcPr>
            <w:tcW w:w="2093" w:type="dxa"/>
            <w:vMerge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250846" w:rsidRDefault="00375900" w:rsidP="0037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250846" w:rsidRPr="007942B7" w:rsidRDefault="00375900" w:rsidP="00066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066C63">
              <w:rPr>
                <w:sz w:val="20"/>
                <w:szCs w:val="20"/>
              </w:rPr>
              <w:t>, la información relativa a las funciones de Cruz Roja sigue publicándose en el acceso “Qué hacemos”</w:t>
            </w:r>
          </w:p>
        </w:tc>
      </w:tr>
      <w:tr w:rsidR="00066C63" w:rsidRPr="007942B7" w:rsidTr="00375900">
        <w:tc>
          <w:tcPr>
            <w:tcW w:w="2093" w:type="dxa"/>
            <w:vMerge w:val="restart"/>
            <w:vAlign w:val="center"/>
          </w:tcPr>
          <w:p w:rsidR="00066C63" w:rsidRPr="00AF196B" w:rsidRDefault="00066C63" w:rsidP="00375900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066C63" w:rsidRPr="00066C63" w:rsidRDefault="00066C63" w:rsidP="001563A8">
            <w:pPr>
              <w:rPr>
                <w:sz w:val="20"/>
                <w:szCs w:val="20"/>
              </w:rPr>
            </w:pPr>
            <w:r w:rsidRPr="00066C63"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066C63" w:rsidRPr="00066C63" w:rsidRDefault="00066C63" w:rsidP="00066C63">
            <w:pPr>
              <w:jc w:val="center"/>
              <w:rPr>
                <w:sz w:val="20"/>
                <w:szCs w:val="20"/>
              </w:rPr>
            </w:pPr>
            <w:r w:rsidRPr="00066C6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66C63" w:rsidRPr="00066C63" w:rsidRDefault="00066C63" w:rsidP="00156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66C63" w:rsidRPr="007942B7" w:rsidTr="00375900">
        <w:tc>
          <w:tcPr>
            <w:tcW w:w="2093" w:type="dxa"/>
            <w:vMerge/>
            <w:vAlign w:val="center"/>
          </w:tcPr>
          <w:p w:rsidR="00066C63" w:rsidRPr="00AF196B" w:rsidRDefault="00066C63" w:rsidP="0037590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66C63" w:rsidRPr="00066C63" w:rsidRDefault="00066C63" w:rsidP="001563A8">
            <w:pPr>
              <w:rPr>
                <w:sz w:val="20"/>
                <w:szCs w:val="20"/>
              </w:rPr>
            </w:pPr>
            <w:r w:rsidRPr="00066C63">
              <w:rPr>
                <w:sz w:val="20"/>
                <w:szCs w:val="20"/>
              </w:rPr>
              <w:t>Convenios: completar información</w:t>
            </w:r>
          </w:p>
        </w:tc>
        <w:tc>
          <w:tcPr>
            <w:tcW w:w="567" w:type="dxa"/>
          </w:tcPr>
          <w:p w:rsidR="00066C63" w:rsidRPr="00066C63" w:rsidRDefault="00066C63" w:rsidP="00066C63">
            <w:pPr>
              <w:jc w:val="center"/>
              <w:rPr>
                <w:sz w:val="20"/>
                <w:szCs w:val="20"/>
              </w:rPr>
            </w:pPr>
            <w:r w:rsidRPr="00066C6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66C63" w:rsidRPr="00066C63" w:rsidRDefault="00066C63" w:rsidP="00156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66C63" w:rsidRPr="007942B7" w:rsidTr="00375900">
        <w:tc>
          <w:tcPr>
            <w:tcW w:w="2093" w:type="dxa"/>
            <w:vMerge/>
            <w:vAlign w:val="center"/>
          </w:tcPr>
          <w:p w:rsidR="00066C63" w:rsidRPr="00AF196B" w:rsidRDefault="00066C63" w:rsidP="0037590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66C63" w:rsidRPr="00066C63" w:rsidRDefault="00066C63" w:rsidP="001563A8">
            <w:pPr>
              <w:rPr>
                <w:sz w:val="20"/>
                <w:szCs w:val="20"/>
              </w:rPr>
            </w:pPr>
            <w:r w:rsidRPr="00066C63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066C63" w:rsidRPr="00066C63" w:rsidRDefault="00066C63" w:rsidP="00066C63">
            <w:pPr>
              <w:jc w:val="center"/>
              <w:rPr>
                <w:sz w:val="20"/>
                <w:szCs w:val="20"/>
              </w:rPr>
            </w:pPr>
            <w:r w:rsidRPr="00066C6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66C63" w:rsidRPr="00066C63" w:rsidRDefault="00066C63" w:rsidP="001563A8">
            <w:pPr>
              <w:rPr>
                <w:sz w:val="20"/>
                <w:szCs w:val="20"/>
              </w:rPr>
            </w:pPr>
            <w:r w:rsidRPr="00066C63">
              <w:rPr>
                <w:sz w:val="20"/>
                <w:szCs w:val="20"/>
              </w:rPr>
              <w:t>Revisada de oficio</w:t>
            </w:r>
          </w:p>
        </w:tc>
      </w:tr>
      <w:tr w:rsidR="00066C63" w:rsidRPr="007942B7" w:rsidTr="00375900">
        <w:tc>
          <w:tcPr>
            <w:tcW w:w="2093" w:type="dxa"/>
            <w:vMerge/>
            <w:vAlign w:val="center"/>
          </w:tcPr>
          <w:p w:rsidR="00066C63" w:rsidRPr="00AF196B" w:rsidRDefault="00066C63" w:rsidP="0037590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66C63" w:rsidRPr="00066C63" w:rsidRDefault="00066C63" w:rsidP="001563A8">
            <w:pPr>
              <w:rPr>
                <w:sz w:val="20"/>
                <w:szCs w:val="20"/>
              </w:rPr>
            </w:pPr>
            <w:r w:rsidRPr="00066C63"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066C63" w:rsidRPr="00066C63" w:rsidRDefault="00066C63" w:rsidP="00066C63">
            <w:pPr>
              <w:jc w:val="center"/>
              <w:rPr>
                <w:sz w:val="20"/>
                <w:szCs w:val="20"/>
              </w:rPr>
            </w:pPr>
            <w:r w:rsidRPr="00066C63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66C63" w:rsidRPr="00066C63" w:rsidRDefault="00066C63" w:rsidP="001563A8">
            <w:pPr>
              <w:rPr>
                <w:sz w:val="20"/>
                <w:szCs w:val="20"/>
              </w:rPr>
            </w:pPr>
            <w:r w:rsidRPr="00066C63">
              <w:rPr>
                <w:sz w:val="20"/>
                <w:szCs w:val="20"/>
              </w:rPr>
              <w:t>No</w:t>
            </w:r>
          </w:p>
        </w:tc>
      </w:tr>
      <w:tr w:rsidR="00250846" w:rsidRPr="007942B7" w:rsidTr="00375900">
        <w:trPr>
          <w:trHeight w:val="265"/>
        </w:trPr>
        <w:tc>
          <w:tcPr>
            <w:tcW w:w="2093" w:type="dxa"/>
            <w:vMerge w:val="restart"/>
            <w:vAlign w:val="center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37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</w:p>
        </w:tc>
      </w:tr>
      <w:tr w:rsidR="00250846" w:rsidRPr="007942B7" w:rsidTr="00375900">
        <w:tc>
          <w:tcPr>
            <w:tcW w:w="2093" w:type="dxa"/>
            <w:vMerge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37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</w:p>
        </w:tc>
      </w:tr>
      <w:tr w:rsidR="00250846" w:rsidRPr="007942B7" w:rsidTr="00375900">
        <w:tc>
          <w:tcPr>
            <w:tcW w:w="2093" w:type="dxa"/>
            <w:vMerge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250846" w:rsidRPr="00183301" w:rsidRDefault="00250846" w:rsidP="0037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</w:p>
        </w:tc>
      </w:tr>
      <w:tr w:rsidR="00250846" w:rsidRPr="007942B7" w:rsidTr="00375900">
        <w:tc>
          <w:tcPr>
            <w:tcW w:w="2093" w:type="dxa"/>
            <w:vMerge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37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  <w:bookmarkStart w:id="0" w:name="_GoBack"/>
            <w:bookmarkEnd w:id="0"/>
          </w:p>
        </w:tc>
      </w:tr>
      <w:tr w:rsidR="00250846" w:rsidRPr="007942B7" w:rsidTr="00375900">
        <w:tc>
          <w:tcPr>
            <w:tcW w:w="2093" w:type="dxa"/>
            <w:vMerge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50846" w:rsidRPr="007942B7" w:rsidRDefault="00250846" w:rsidP="0037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250846" w:rsidRPr="007942B7" w:rsidRDefault="00250846" w:rsidP="00375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0846" w:rsidRPr="001C7D84" w:rsidTr="00375900">
        <w:tc>
          <w:tcPr>
            <w:tcW w:w="6912" w:type="dxa"/>
            <w:gridSpan w:val="2"/>
          </w:tcPr>
          <w:p w:rsidR="00250846" w:rsidRPr="001C7D84" w:rsidRDefault="00250846" w:rsidP="00375900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250846" w:rsidRPr="001C7D84" w:rsidRDefault="00066C63" w:rsidP="00375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03" w:type="dxa"/>
          </w:tcPr>
          <w:p w:rsidR="00250846" w:rsidRPr="001C7D84" w:rsidRDefault="00250846" w:rsidP="00375900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066C63" w:rsidP="00DF56A7">
      <w:pPr>
        <w:jc w:val="both"/>
      </w:pPr>
      <w:r>
        <w:t xml:space="preserve">Cruz Roja </w:t>
      </w:r>
      <w:r w:rsidR="00C52EE5">
        <w:t xml:space="preserve"> ha aplicado </w:t>
      </w:r>
      <w:r w:rsidRPr="00066C63">
        <w:t>3</w:t>
      </w:r>
      <w:r w:rsidR="00C52EE5" w:rsidRPr="00066C63">
        <w:t xml:space="preserve"> de las recomendaciones</w:t>
      </w:r>
      <w:r w:rsidR="00C52EE5">
        <w:t xml:space="preserve"> derivadas de la evaluación realizada en 2020.</w:t>
      </w:r>
    </w:p>
    <w:p w:rsidR="00FA5AFD" w:rsidRDefault="00FA5AFD" w:rsidP="00AC4A6F"/>
    <w:p w:rsidR="00E17DF6" w:rsidRDefault="00E17DF6" w:rsidP="00AC4A6F"/>
    <w:p w:rsidR="00E17DF6" w:rsidRDefault="00E17DF6" w:rsidP="00AC4A6F"/>
    <w:p w:rsidR="00066C63" w:rsidRDefault="00066C63" w:rsidP="00AC4A6F"/>
    <w:p w:rsidR="00066C63" w:rsidRDefault="00066C63" w:rsidP="00AC4A6F"/>
    <w:p w:rsidR="00066C63" w:rsidRDefault="00066C63" w:rsidP="00AC4A6F"/>
    <w:p w:rsidR="00066C63" w:rsidRDefault="00066C63" w:rsidP="00AC4A6F"/>
    <w:p w:rsidR="00066C63" w:rsidRDefault="00066C63" w:rsidP="00AC4A6F"/>
    <w:p w:rsidR="00066C63" w:rsidRDefault="00066C63" w:rsidP="00AC4A6F"/>
    <w:p w:rsidR="00066C63" w:rsidRDefault="00066C63" w:rsidP="00AC4A6F"/>
    <w:p w:rsidR="00066C63" w:rsidRDefault="00066C63" w:rsidP="00AC4A6F"/>
    <w:p w:rsidR="00066C63" w:rsidRDefault="00066C63" w:rsidP="00AC4A6F"/>
    <w:p w:rsidR="00066C63" w:rsidRDefault="00066C63" w:rsidP="00AC4A6F"/>
    <w:p w:rsidR="00066C63" w:rsidRDefault="00066C63" w:rsidP="00AC4A6F"/>
    <w:p w:rsidR="00066C63" w:rsidRDefault="00066C63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5900" w:rsidRPr="00F31BC3" w:rsidRDefault="0037590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75900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066C63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066C63" w:rsidRPr="006D4C90" w:rsidRDefault="00066C6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95,0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25,0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88,6</w:t>
            </w:r>
          </w:p>
        </w:tc>
      </w:tr>
      <w:tr w:rsidR="00066C63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066C63" w:rsidRPr="006D4C90" w:rsidRDefault="00066C6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</w:tr>
      <w:tr w:rsidR="00066C63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066C63" w:rsidRPr="006D4C90" w:rsidRDefault="00066C63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98,3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75,0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96,2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066C63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6D4C90" w:rsidRDefault="00066C6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85,7</w:t>
            </w:r>
          </w:p>
        </w:tc>
      </w:tr>
      <w:tr w:rsidR="00066C63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066C63" w:rsidRPr="006D4C90" w:rsidRDefault="00066C6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85,7</w:t>
            </w:r>
          </w:p>
        </w:tc>
      </w:tr>
      <w:tr w:rsidR="00066C63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6D4C90" w:rsidRDefault="00066C6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</w:tr>
      <w:tr w:rsidR="00066C63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3543A0" w:rsidRDefault="00066C6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</w:tr>
      <w:tr w:rsidR="00066C63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3543A0" w:rsidRDefault="00066C6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85,7</w:t>
            </w:r>
          </w:p>
        </w:tc>
      </w:tr>
      <w:tr w:rsidR="00066C63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3543A0" w:rsidRDefault="00066C63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66C63" w:rsidRPr="00066C63" w:rsidRDefault="00066C63" w:rsidP="00066C63">
            <w:pPr>
              <w:jc w:val="center"/>
              <w:rPr>
                <w:sz w:val="16"/>
                <w:szCs w:val="16"/>
              </w:rPr>
            </w:pPr>
            <w:r w:rsidRPr="00066C63">
              <w:rPr>
                <w:sz w:val="16"/>
                <w:szCs w:val="16"/>
              </w:rPr>
              <w:t>0,0</w:t>
            </w:r>
          </w:p>
        </w:tc>
      </w:tr>
      <w:tr w:rsidR="00066C63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066C63" w:rsidRPr="006D4C90" w:rsidRDefault="00066C63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87,5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87,5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87,5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87,5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87,5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25,0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87,5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66C63" w:rsidRPr="00066C63" w:rsidRDefault="00066C63" w:rsidP="00066C6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66C63">
              <w:rPr>
                <w:b/>
                <w:color w:val="FFFFFF" w:themeColor="background1"/>
                <w:sz w:val="16"/>
                <w:szCs w:val="16"/>
              </w:rPr>
              <w:t>78,6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066C63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86,1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066C63">
        <w:rPr>
          <w:lang w:bidi="es-ES"/>
        </w:rPr>
        <w:t>86,1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066C63">
        <w:rPr>
          <w:lang w:bidi="es-ES"/>
        </w:rPr>
        <w:t>21</w:t>
      </w:r>
      <w:r w:rsidR="00BB3652">
        <w:rPr>
          <w:lang w:bidi="es-ES"/>
        </w:rPr>
        <w:t xml:space="preserve"> puntos porcentuales.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  <w:sectPr w:rsidR="00A670E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066C63">
        <w:rPr>
          <w:b/>
        </w:rPr>
        <w:t>muy positivamente</w:t>
      </w:r>
      <w:r>
        <w:t xml:space="preserve"> la evolución del cumplimiento de las obligaciones de publicidad activa por parte de </w:t>
      </w:r>
      <w:r w:rsidR="00066C63">
        <w:t>Cruz Roja</w:t>
      </w:r>
      <w:r>
        <w:t xml:space="preserve">. </w:t>
      </w:r>
      <w:r w:rsidR="00066C63">
        <w:t>S</w:t>
      </w:r>
      <w:r>
        <w:t>e ha</w:t>
      </w:r>
      <w:r w:rsidR="00066C63">
        <w:t>n</w:t>
      </w:r>
      <w:r>
        <w:t xml:space="preserve"> aplicado </w:t>
      </w:r>
      <w:r w:rsidR="00066C63">
        <w:t>tres</w:t>
      </w:r>
      <w:r>
        <w:t xml:space="preserve"> de las recomendaciones efectuadas como consecuencia de la evaluación realizada en 2020</w:t>
      </w:r>
      <w:r w:rsidR="00066C63">
        <w:t>, lo que ha repercutido en un notable incremento del cumplimiento de las obligaciones de publicidad activa</w:t>
      </w:r>
      <w:r>
        <w:t>.</w:t>
      </w:r>
    </w:p>
    <w:p w:rsidR="004061BC" w:rsidRDefault="00066C63" w:rsidP="00A670E9">
      <w:pPr>
        <w:pStyle w:val="Cuerpodelboletn"/>
      </w:pPr>
      <w:r>
        <w:t>No obstante,</w:t>
      </w:r>
      <w:r w:rsidR="00BB3652">
        <w:t xml:space="preserve"> persisten </w:t>
      </w:r>
      <w:r>
        <w:t xml:space="preserve">algunos de los </w:t>
      </w:r>
      <w:r w:rsidR="00BB3652">
        <w:t>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5900" w:rsidRPr="00F31BC3" w:rsidRDefault="00375900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no se publica información sobre </w:t>
      </w:r>
      <w:r w:rsidR="00066C63">
        <w:rPr>
          <w:rFonts w:ascii="Century Gothic" w:hAnsi="Century Gothic"/>
        </w:rPr>
        <w:t>las retribuciones percibidas por los máximos responsables de la organización</w:t>
      </w:r>
      <w:r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de la entidad.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5900" w:rsidRPr="00F31BC3" w:rsidRDefault="0037590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75900" w:rsidRPr="00F31BC3" w:rsidRDefault="0037590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00" w:rsidRDefault="00375900" w:rsidP="00F31BC3">
      <w:r>
        <w:separator/>
      </w:r>
    </w:p>
  </w:endnote>
  <w:endnote w:type="continuationSeparator" w:id="0">
    <w:p w:rsidR="00375900" w:rsidRDefault="0037590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00" w:rsidRDefault="00375900" w:rsidP="00F31BC3">
      <w:r>
        <w:separator/>
      </w:r>
    </w:p>
  </w:footnote>
  <w:footnote w:type="continuationSeparator" w:id="0">
    <w:p w:rsidR="00375900" w:rsidRDefault="00375900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66C63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7590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74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CE57DF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528E2E-666A-493E-AF10-9B18629E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</TotalTime>
  <Pages>5</Pages>
  <Words>771</Words>
  <Characters>4246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2021-11-10T09:59:00Z</dcterms:created>
  <dcterms:modified xsi:type="dcterms:W3CDTF">2021-11-10T11:09:00Z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