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5C5" w:rsidRDefault="006335C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Ecologistas en Acción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335C5" w:rsidRDefault="006335C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Ecologistas en Acción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335C5" w:rsidRDefault="006335C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6335C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6335C5">
        <w:tc>
          <w:tcPr>
            <w:tcW w:w="2093" w:type="dxa"/>
            <w:shd w:val="clear" w:color="auto" w:fill="008A3E"/>
          </w:tcPr>
          <w:p w:rsidR="00250846" w:rsidRPr="007942B7" w:rsidRDefault="00250846" w:rsidP="006335C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6335C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6335C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6335C5">
        <w:tc>
          <w:tcPr>
            <w:tcW w:w="2093" w:type="dxa"/>
            <w:vMerge w:val="restart"/>
            <w:vAlign w:val="center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 w:val="restart"/>
            <w:vAlign w:val="center"/>
          </w:tcPr>
          <w:p w:rsidR="00250846" w:rsidRPr="00AF196B" w:rsidRDefault="00250846" w:rsidP="006335C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50846" w:rsidRDefault="00250846" w:rsidP="0063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6335C5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6335C5">
        <w:tc>
          <w:tcPr>
            <w:tcW w:w="2093" w:type="dxa"/>
            <w:vMerge/>
            <w:vAlign w:val="center"/>
          </w:tcPr>
          <w:p w:rsidR="00250846" w:rsidRPr="00AF196B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250846" w:rsidRDefault="00250846" w:rsidP="0063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6335C5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6335C5">
        <w:tc>
          <w:tcPr>
            <w:tcW w:w="2093" w:type="dxa"/>
            <w:vMerge/>
            <w:vAlign w:val="center"/>
          </w:tcPr>
          <w:p w:rsidR="00250846" w:rsidRPr="00AF196B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63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6335C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6335C5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633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63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6335C5">
        <w:tc>
          <w:tcPr>
            <w:tcW w:w="2093" w:type="dxa"/>
            <w:vMerge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633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63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6335C5">
        <w:tc>
          <w:tcPr>
            <w:tcW w:w="6912" w:type="dxa"/>
            <w:gridSpan w:val="2"/>
          </w:tcPr>
          <w:p w:rsidR="00250846" w:rsidRPr="001C7D84" w:rsidRDefault="00250846" w:rsidP="006335C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250846" w:rsidP="00633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3" w:type="dxa"/>
          </w:tcPr>
          <w:p w:rsidR="00250846" w:rsidRPr="001C7D84" w:rsidRDefault="00250846" w:rsidP="006335C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6335C5" w:rsidP="00DF56A7">
      <w:pPr>
        <w:jc w:val="both"/>
      </w:pPr>
      <w:r>
        <w:t xml:space="preserve">Ecologistas en Acción ha aplicado 3 </w:t>
      </w:r>
      <w:r w:rsidR="00C52EE5">
        <w:t xml:space="preserve"> </w:t>
      </w:r>
      <w:r w:rsidR="00C52EE5" w:rsidRPr="006335C5">
        <w:t>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6335C5" w:rsidRDefault="006335C5" w:rsidP="00AC4A6F"/>
    <w:p w:rsidR="006335C5" w:rsidRDefault="006335C5" w:rsidP="00AC4A6F"/>
    <w:p w:rsidR="006335C5" w:rsidRDefault="006335C5" w:rsidP="00AC4A6F"/>
    <w:p w:rsidR="006335C5" w:rsidRDefault="006335C5" w:rsidP="00AC4A6F"/>
    <w:p w:rsidR="006335C5" w:rsidRDefault="006335C5" w:rsidP="00AC4A6F"/>
    <w:p w:rsidR="006335C5" w:rsidRDefault="006335C5" w:rsidP="00AC4A6F"/>
    <w:p w:rsidR="006335C5" w:rsidRDefault="006335C5" w:rsidP="00AC4A6F"/>
    <w:p w:rsidR="006335C5" w:rsidRDefault="006335C5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335C5" w:rsidRPr="00F31BC3" w:rsidRDefault="006335C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6335C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6335C5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335C5" w:rsidRPr="006D4C9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89,3</w:t>
            </w:r>
          </w:p>
        </w:tc>
      </w:tr>
      <w:tr w:rsidR="006335C5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335C5" w:rsidRPr="006D4C9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96,4</w:t>
            </w:r>
          </w:p>
        </w:tc>
      </w:tr>
      <w:tr w:rsidR="006335C5" w:rsidRPr="006335C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335C5" w:rsidRPr="006D4C90" w:rsidRDefault="006335C5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94,0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6335C5" w:rsidRPr="006D4C90" w:rsidTr="006335C5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D4C9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C52EE5" w:rsidRDefault="006335C5" w:rsidP="00C5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6335C5" w:rsidRPr="006D4C90" w:rsidTr="006335C5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335C5" w:rsidRPr="006D4C9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C52EE5" w:rsidRDefault="006335C5" w:rsidP="00C5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6335C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D4C9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</w:tr>
      <w:tr w:rsidR="006335C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3543A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92,9</w:t>
            </w:r>
          </w:p>
        </w:tc>
      </w:tr>
      <w:tr w:rsidR="006335C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3543A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</w:tr>
      <w:tr w:rsidR="006335C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3543A0" w:rsidRDefault="006335C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335C5" w:rsidRPr="006335C5" w:rsidRDefault="006335C5" w:rsidP="006335C5">
            <w:pPr>
              <w:jc w:val="center"/>
              <w:rPr>
                <w:sz w:val="16"/>
                <w:szCs w:val="16"/>
              </w:rPr>
            </w:pPr>
            <w:r w:rsidRPr="006335C5">
              <w:rPr>
                <w:sz w:val="16"/>
                <w:szCs w:val="16"/>
              </w:rPr>
              <w:t>92,9</w:t>
            </w:r>
          </w:p>
        </w:tc>
      </w:tr>
      <w:tr w:rsidR="006335C5" w:rsidRPr="006335C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335C5" w:rsidRPr="006D4C90" w:rsidRDefault="006335C5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80,0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335C5" w:rsidRPr="006335C5" w:rsidRDefault="006335C5" w:rsidP="006335C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6335C5">
              <w:rPr>
                <w:b/>
                <w:color w:val="FFFFFF" w:themeColor="background1"/>
                <w:sz w:val="16"/>
                <w:szCs w:val="16"/>
              </w:rPr>
              <w:t>97,1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6335C5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96,8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335C5">
        <w:rPr>
          <w:lang w:bidi="es-ES"/>
        </w:rPr>
        <w:t>96,8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C52EE5">
        <w:rPr>
          <w:lang w:bidi="es-ES"/>
        </w:rPr>
        <w:t>1</w:t>
      </w:r>
      <w:r w:rsidR="006335C5">
        <w:rPr>
          <w:lang w:bidi="es-ES"/>
        </w:rPr>
        <w:t>7</w:t>
      </w:r>
      <w:r w:rsidR="00C52EE5">
        <w:rPr>
          <w:lang w:bidi="es-ES"/>
        </w:rPr>
        <w:t>,7</w:t>
      </w:r>
      <w:r w:rsidR="00BB3652">
        <w:rPr>
          <w:lang w:bidi="es-ES"/>
        </w:rPr>
        <w:t xml:space="preserve"> puntos porcentuales</w:t>
      </w:r>
      <w:r w:rsidR="006335C5">
        <w:rPr>
          <w:lang w:bidi="es-ES"/>
        </w:rPr>
        <w:t xml:space="preserve"> lo que es atribu</w:t>
      </w:r>
      <w:r w:rsidR="00CB4DA2">
        <w:rPr>
          <w:lang w:bidi="es-ES"/>
        </w:rPr>
        <w:t xml:space="preserve">ible tanto a la aplicación de las recomendaciones efectuadas en 2020 como </w:t>
      </w:r>
      <w:r w:rsidR="00BB3652">
        <w:rPr>
          <w:lang w:bidi="es-ES"/>
        </w:rPr>
        <w:t xml:space="preserve">a la revisión </w:t>
      </w:r>
      <w:r w:rsidR="00CB4DA2">
        <w:rPr>
          <w:lang w:bidi="es-ES"/>
        </w:rPr>
        <w:t>realizada</w:t>
      </w:r>
      <w:r w:rsidR="00BB3652">
        <w:rPr>
          <w:lang w:bidi="es-ES"/>
        </w:rPr>
        <w:t xml:space="preserve">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CB4DA2">
        <w:rPr>
          <w:b/>
        </w:rPr>
        <w:t xml:space="preserve">muy positivamente </w:t>
      </w:r>
      <w:r>
        <w:t xml:space="preserve"> la evolución del cumplimiento de las obligaciones de publicidad activa por parte de </w:t>
      </w:r>
      <w:r w:rsidR="00CB4DA2">
        <w:t>Ecologistas en Acción</w:t>
      </w:r>
      <w:r>
        <w:t xml:space="preserve">. </w:t>
      </w:r>
      <w:r w:rsidR="00CB4DA2">
        <w:t>S</w:t>
      </w:r>
      <w:r>
        <w:t>e ha</w:t>
      </w:r>
      <w:r w:rsidR="00CB4DA2">
        <w:t>n</w:t>
      </w:r>
      <w:r>
        <w:t xml:space="preserve"> aplicado </w:t>
      </w:r>
      <w:r w:rsidR="00CB4DA2">
        <w:t>tres</w:t>
      </w:r>
      <w:r>
        <w:t xml:space="preserve"> de las recomendaciones efectuadas como consecuencia de </w:t>
      </w:r>
      <w:r w:rsidR="00CB4DA2">
        <w:t>la evaluación realizada en 2020 y el Índice de Cumplimiento de la Información Obligatoria ha aumentado sustancialmente.</w:t>
      </w:r>
    </w:p>
    <w:p w:rsidR="004061BC" w:rsidRDefault="00CB4DA2" w:rsidP="00CB4DA2">
      <w:pPr>
        <w:pStyle w:val="Cuerpodelboletn"/>
      </w:pPr>
      <w:r>
        <w:t xml:space="preserve">El factor que explica que no haya alcanzado un 100% de cumplimiento por parte de la organización es la falta de datación o el relativo desfase temporal de algunas informaciones – por ejemplo, las retribuciones o el presupuesto están referidos al año 2020 – y junto a ello la </w:t>
      </w:r>
      <w:r>
        <w:lastRenderedPageBreak/>
        <w:t xml:space="preserve">inexistencia de referencias a la fecha en que se actualizó o revisó por última vez la información contenida en el Portal de Transparencia de la entidad. </w:t>
      </w:r>
      <w:r w:rsidR="004061BC"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B17988" wp14:editId="1D9038C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335C5" w:rsidRPr="00F31BC3" w:rsidRDefault="006335C5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A89AAA" wp14:editId="104260A6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061BC"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DF63E4" wp14:editId="5507F8B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335C5" w:rsidRPr="00F31BC3" w:rsidRDefault="006335C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335C5" w:rsidRPr="00F31BC3" w:rsidRDefault="006335C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C5" w:rsidRDefault="006335C5" w:rsidP="00F31BC3">
      <w:r>
        <w:separator/>
      </w:r>
    </w:p>
  </w:endnote>
  <w:endnote w:type="continuationSeparator" w:id="0">
    <w:p w:rsidR="006335C5" w:rsidRDefault="006335C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C5" w:rsidRDefault="006335C5" w:rsidP="00F31BC3">
      <w:r>
        <w:separator/>
      </w:r>
    </w:p>
  </w:footnote>
  <w:footnote w:type="continuationSeparator" w:id="0">
    <w:p w:rsidR="006335C5" w:rsidRDefault="006335C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5C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4DA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292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AC3B5E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B8CD4-2479-461D-A1DD-0878491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</TotalTime>
  <Pages>5</Pages>
  <Words>766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2021-11-10T09:03:00Z</dcterms:created>
  <dcterms:modified xsi:type="dcterms:W3CDTF">2021-11-10T09:18:00Z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