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8669EE" w:rsidRDefault="008669EE"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00F57370">
                                  <w:rPr>
                                    <w:rFonts w:ascii="Century Gothic" w:hAnsi="Century Gothic"/>
                                    <w:sz w:val="40"/>
                                    <w:szCs w:val="40"/>
                                    <w:lang w:bidi="es-ES"/>
                                  </w:rPr>
                                  <w:t xml:space="preserve">evisión </w:t>
                                </w:r>
                                <w:r w:rsidRPr="007F1D56">
                                  <w:rPr>
                                    <w:rFonts w:ascii="Century Gothic" w:hAnsi="Century Gothic"/>
                                    <w:sz w:val="40"/>
                                    <w:szCs w:val="40"/>
                                    <w:lang w:bidi="es-ES"/>
                                  </w:rPr>
                                  <w:t xml:space="preserve">del cumplimiento de las recomendaciones efectuadas por el CTBG en materia de Publicidad Activa  por parte </w:t>
                                </w:r>
                                <w:r>
                                  <w:rPr>
                                    <w:rFonts w:ascii="Century Gothic" w:hAnsi="Century Gothic"/>
                                    <w:sz w:val="40"/>
                                    <w:szCs w:val="40"/>
                                    <w:lang w:bidi="es-ES"/>
                                  </w:rPr>
                                  <w:t>de la Asociación 11 de Marzo</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sdt>
                      <w:sdtPr>
                        <w:rPr>
                          <w:rFonts w:ascii="Century Gothic" w:hAnsi="Century Gothic"/>
                          <w:sz w:val="40"/>
                          <w:szCs w:val="40"/>
                        </w:rPr>
                        <w:id w:val="228783080"/>
                        <w:placeholder>
                          <w:docPart w:val="9F38587DCE4F49368CED0492B4EFD406"/>
                        </w:placeholder>
                      </w:sdtPr>
                      <w:sdtEndPr/>
                      <w:sdtContent>
                        <w:p w:rsidR="008669EE" w:rsidRDefault="008669EE"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00F57370">
                            <w:rPr>
                              <w:rFonts w:ascii="Century Gothic" w:hAnsi="Century Gothic"/>
                              <w:sz w:val="40"/>
                              <w:szCs w:val="40"/>
                              <w:lang w:bidi="es-ES"/>
                            </w:rPr>
                            <w:t xml:space="preserve">evisión </w:t>
                          </w:r>
                          <w:r w:rsidRPr="007F1D56">
                            <w:rPr>
                              <w:rFonts w:ascii="Century Gothic" w:hAnsi="Century Gothic"/>
                              <w:sz w:val="40"/>
                              <w:szCs w:val="40"/>
                              <w:lang w:bidi="es-ES"/>
                            </w:rPr>
                            <w:t xml:space="preserve">del cumplimiento de las recomendaciones efectuadas por el CTBG en materia de Publicidad Activa  por parte </w:t>
                          </w:r>
                          <w:r>
                            <w:rPr>
                              <w:rFonts w:ascii="Century Gothic" w:hAnsi="Century Gothic"/>
                              <w:sz w:val="40"/>
                              <w:szCs w:val="40"/>
                              <w:lang w:bidi="es-ES"/>
                            </w:rPr>
                            <w:t>de la Asociación 11 de Marzo</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8669EE" w:rsidRDefault="008669EE"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8669EE" w:rsidRDefault="008669EE"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F57370"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w:t>
            </w:r>
            <w:bookmarkStart w:id="0" w:name="_GoBack"/>
            <w:bookmarkEnd w:id="0"/>
            <w:r w:rsidRPr="007942B7">
              <w:rPr>
                <w:sz w:val="20"/>
                <w:szCs w:val="20"/>
              </w:rPr>
              <w:t>ico</w:t>
            </w:r>
          </w:p>
        </w:tc>
        <w:tc>
          <w:tcPr>
            <w:tcW w:w="567" w:type="dxa"/>
            <w:vAlign w:val="center"/>
          </w:tcPr>
          <w:p w:rsidR="00183301" w:rsidRPr="007942B7" w:rsidRDefault="008669EE" w:rsidP="00183301">
            <w:pPr>
              <w:jc w:val="center"/>
              <w:rPr>
                <w:sz w:val="20"/>
                <w:szCs w:val="20"/>
              </w:rPr>
            </w:pPr>
            <w:r>
              <w:rPr>
                <w:sz w:val="20"/>
                <w:szCs w:val="20"/>
              </w:rPr>
              <w:t>X</w:t>
            </w:r>
          </w:p>
        </w:tc>
        <w:tc>
          <w:tcPr>
            <w:tcW w:w="3203" w:type="dxa"/>
          </w:tcPr>
          <w:p w:rsidR="00183301" w:rsidRPr="007942B7" w:rsidRDefault="008669EE" w:rsidP="007942B7">
            <w:pPr>
              <w:rPr>
                <w:sz w:val="20"/>
                <w:szCs w:val="20"/>
              </w:rPr>
            </w:pPr>
            <w:r>
              <w:rPr>
                <w:sz w:val="20"/>
                <w:szCs w:val="20"/>
              </w:rPr>
              <w:t>No</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702A3B" w:rsidP="00183301">
            <w:pPr>
              <w:jc w:val="center"/>
              <w:rPr>
                <w:sz w:val="20"/>
                <w:szCs w:val="20"/>
              </w:rPr>
            </w:pPr>
            <w:r>
              <w:rPr>
                <w:sz w:val="20"/>
                <w:szCs w:val="20"/>
              </w:rPr>
              <w:t>X</w:t>
            </w:r>
          </w:p>
        </w:tc>
        <w:tc>
          <w:tcPr>
            <w:tcW w:w="3203" w:type="dxa"/>
          </w:tcPr>
          <w:p w:rsidR="00183301" w:rsidRPr="007942B7" w:rsidRDefault="00A670E9" w:rsidP="00A1361E">
            <w:pPr>
              <w:rPr>
                <w:sz w:val="20"/>
                <w:szCs w:val="20"/>
              </w:rPr>
            </w:pPr>
            <w:r>
              <w:rPr>
                <w:sz w:val="20"/>
                <w:szCs w:val="20"/>
              </w:rPr>
              <w:t>No</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702A3B" w:rsidRPr="007942B7" w:rsidTr="00BA4354">
        <w:tc>
          <w:tcPr>
            <w:tcW w:w="2093" w:type="dxa"/>
            <w:vMerge w:val="restart"/>
            <w:vAlign w:val="center"/>
          </w:tcPr>
          <w:p w:rsidR="00702A3B" w:rsidRPr="00AF196B" w:rsidRDefault="00702A3B" w:rsidP="006D4C90">
            <w:pPr>
              <w:rPr>
                <w:sz w:val="20"/>
                <w:szCs w:val="20"/>
              </w:rPr>
            </w:pPr>
            <w:r w:rsidRPr="00AF196B">
              <w:rPr>
                <w:sz w:val="20"/>
                <w:szCs w:val="20"/>
              </w:rPr>
              <w:t>Publicación de Contenidos</w:t>
            </w:r>
          </w:p>
        </w:tc>
        <w:tc>
          <w:tcPr>
            <w:tcW w:w="4819" w:type="dxa"/>
          </w:tcPr>
          <w:p w:rsidR="00702A3B" w:rsidRDefault="00B43C76" w:rsidP="00B43C76">
            <w:pPr>
              <w:rPr>
                <w:sz w:val="20"/>
                <w:szCs w:val="20"/>
              </w:rPr>
            </w:pPr>
            <w:r>
              <w:rPr>
                <w:sz w:val="20"/>
                <w:szCs w:val="20"/>
              </w:rPr>
              <w:t>Normativa aplicable</w:t>
            </w:r>
          </w:p>
        </w:tc>
        <w:tc>
          <w:tcPr>
            <w:tcW w:w="567" w:type="dxa"/>
          </w:tcPr>
          <w:p w:rsidR="00702A3B" w:rsidRDefault="00702A3B" w:rsidP="00800B69">
            <w:pPr>
              <w:jc w:val="center"/>
              <w:rPr>
                <w:sz w:val="20"/>
                <w:szCs w:val="20"/>
              </w:rPr>
            </w:pPr>
            <w:r>
              <w:rPr>
                <w:sz w:val="20"/>
                <w:szCs w:val="20"/>
              </w:rPr>
              <w:t>X</w:t>
            </w:r>
          </w:p>
        </w:tc>
        <w:tc>
          <w:tcPr>
            <w:tcW w:w="3203" w:type="dxa"/>
          </w:tcPr>
          <w:p w:rsidR="00702A3B" w:rsidRPr="007942B7" w:rsidRDefault="00853CB9" w:rsidP="00BA4354">
            <w:pPr>
              <w:rPr>
                <w:sz w:val="20"/>
                <w:szCs w:val="20"/>
              </w:rPr>
            </w:pPr>
            <w:r>
              <w:rPr>
                <w:sz w:val="20"/>
                <w:szCs w:val="20"/>
              </w:rPr>
              <w:t>No</w:t>
            </w:r>
          </w:p>
        </w:tc>
      </w:tr>
      <w:tr w:rsidR="00B43C76" w:rsidRPr="007942B7" w:rsidTr="00BA4354">
        <w:tc>
          <w:tcPr>
            <w:tcW w:w="2093" w:type="dxa"/>
            <w:vMerge/>
            <w:vAlign w:val="center"/>
          </w:tcPr>
          <w:p w:rsidR="00B43C76" w:rsidRPr="00AF196B" w:rsidRDefault="00B43C76" w:rsidP="006D4C90">
            <w:pPr>
              <w:rPr>
                <w:sz w:val="20"/>
                <w:szCs w:val="20"/>
              </w:rPr>
            </w:pPr>
          </w:p>
        </w:tc>
        <w:tc>
          <w:tcPr>
            <w:tcW w:w="4819" w:type="dxa"/>
          </w:tcPr>
          <w:p w:rsidR="00B43C76" w:rsidRDefault="00B43C76" w:rsidP="00E83650">
            <w:pPr>
              <w:rPr>
                <w:sz w:val="20"/>
                <w:szCs w:val="20"/>
              </w:rPr>
            </w:pPr>
            <w:r>
              <w:rPr>
                <w:sz w:val="20"/>
                <w:szCs w:val="20"/>
              </w:rPr>
              <w:t>Descripción de la estructura organizativa</w:t>
            </w:r>
          </w:p>
        </w:tc>
        <w:tc>
          <w:tcPr>
            <w:tcW w:w="567" w:type="dxa"/>
          </w:tcPr>
          <w:p w:rsidR="00B43C76" w:rsidRDefault="00B43C76" w:rsidP="00800B69">
            <w:pPr>
              <w:jc w:val="center"/>
              <w:rPr>
                <w:sz w:val="20"/>
                <w:szCs w:val="20"/>
              </w:rPr>
            </w:pPr>
            <w:r>
              <w:rPr>
                <w:sz w:val="20"/>
                <w:szCs w:val="20"/>
              </w:rPr>
              <w:t>X</w:t>
            </w:r>
          </w:p>
        </w:tc>
        <w:tc>
          <w:tcPr>
            <w:tcW w:w="3203" w:type="dxa"/>
          </w:tcPr>
          <w:p w:rsidR="00B43C76" w:rsidRPr="00853CB9" w:rsidRDefault="00B43C76" w:rsidP="00BA4354">
            <w:pPr>
              <w:rPr>
                <w:sz w:val="20"/>
                <w:szCs w:val="20"/>
              </w:rPr>
            </w:pPr>
            <w:r>
              <w:rPr>
                <w:sz w:val="20"/>
                <w:szCs w:val="20"/>
              </w:rPr>
              <w:t>No</w:t>
            </w:r>
          </w:p>
        </w:tc>
      </w:tr>
      <w:tr w:rsidR="00702A3B" w:rsidRPr="007942B7" w:rsidTr="00BA4354">
        <w:tc>
          <w:tcPr>
            <w:tcW w:w="2093" w:type="dxa"/>
            <w:vMerge/>
            <w:vAlign w:val="center"/>
          </w:tcPr>
          <w:p w:rsidR="00702A3B" w:rsidRPr="00AF196B" w:rsidRDefault="00702A3B" w:rsidP="006D4C90">
            <w:pPr>
              <w:rPr>
                <w:sz w:val="20"/>
                <w:szCs w:val="20"/>
              </w:rPr>
            </w:pPr>
          </w:p>
        </w:tc>
        <w:tc>
          <w:tcPr>
            <w:tcW w:w="4819" w:type="dxa"/>
          </w:tcPr>
          <w:p w:rsidR="00702A3B" w:rsidRDefault="00702A3B" w:rsidP="00E83650">
            <w:pPr>
              <w:rPr>
                <w:sz w:val="20"/>
                <w:szCs w:val="20"/>
              </w:rPr>
            </w:pPr>
            <w:r>
              <w:rPr>
                <w:sz w:val="20"/>
                <w:szCs w:val="20"/>
              </w:rPr>
              <w:t>Organigrama</w:t>
            </w:r>
          </w:p>
        </w:tc>
        <w:tc>
          <w:tcPr>
            <w:tcW w:w="567" w:type="dxa"/>
          </w:tcPr>
          <w:p w:rsidR="00702A3B" w:rsidRDefault="00702A3B" w:rsidP="00800B69">
            <w:pPr>
              <w:jc w:val="center"/>
              <w:rPr>
                <w:sz w:val="20"/>
                <w:szCs w:val="20"/>
              </w:rPr>
            </w:pPr>
            <w:r>
              <w:rPr>
                <w:sz w:val="20"/>
                <w:szCs w:val="20"/>
              </w:rPr>
              <w:t>X</w:t>
            </w:r>
          </w:p>
        </w:tc>
        <w:tc>
          <w:tcPr>
            <w:tcW w:w="3203" w:type="dxa"/>
          </w:tcPr>
          <w:p w:rsidR="00702A3B" w:rsidRPr="007942B7" w:rsidRDefault="00853CB9" w:rsidP="00BA4354">
            <w:pPr>
              <w:rPr>
                <w:sz w:val="20"/>
                <w:szCs w:val="20"/>
              </w:rPr>
            </w:pPr>
            <w:r w:rsidRPr="00853CB9">
              <w:rPr>
                <w:sz w:val="20"/>
                <w:szCs w:val="20"/>
              </w:rPr>
              <w:t>No</w:t>
            </w:r>
          </w:p>
        </w:tc>
      </w:tr>
      <w:tr w:rsidR="00B43C76" w:rsidRPr="007942B7" w:rsidTr="00BA4354">
        <w:tc>
          <w:tcPr>
            <w:tcW w:w="2093" w:type="dxa"/>
            <w:vMerge/>
            <w:vAlign w:val="center"/>
          </w:tcPr>
          <w:p w:rsidR="00B43C76" w:rsidRPr="00C3228C" w:rsidRDefault="00B43C76" w:rsidP="006D4C90">
            <w:pPr>
              <w:rPr>
                <w:sz w:val="20"/>
                <w:szCs w:val="20"/>
              </w:rPr>
            </w:pPr>
          </w:p>
        </w:tc>
        <w:tc>
          <w:tcPr>
            <w:tcW w:w="4819" w:type="dxa"/>
          </w:tcPr>
          <w:p w:rsidR="00B43C76" w:rsidRDefault="00B43C76" w:rsidP="00E83650">
            <w:pPr>
              <w:rPr>
                <w:sz w:val="20"/>
                <w:szCs w:val="20"/>
              </w:rPr>
            </w:pPr>
            <w:r>
              <w:rPr>
                <w:sz w:val="20"/>
                <w:szCs w:val="20"/>
              </w:rPr>
              <w:t>Identificación de los máximos responsables</w:t>
            </w:r>
          </w:p>
        </w:tc>
        <w:tc>
          <w:tcPr>
            <w:tcW w:w="567" w:type="dxa"/>
          </w:tcPr>
          <w:p w:rsidR="00B43C76" w:rsidRDefault="00B43C76" w:rsidP="00800B69">
            <w:pPr>
              <w:jc w:val="center"/>
              <w:rPr>
                <w:sz w:val="20"/>
                <w:szCs w:val="20"/>
              </w:rPr>
            </w:pPr>
            <w:r>
              <w:rPr>
                <w:sz w:val="20"/>
                <w:szCs w:val="20"/>
              </w:rPr>
              <w:t>X</w:t>
            </w:r>
          </w:p>
        </w:tc>
        <w:tc>
          <w:tcPr>
            <w:tcW w:w="3203" w:type="dxa"/>
          </w:tcPr>
          <w:p w:rsidR="00B43C76" w:rsidRPr="00853CB9" w:rsidRDefault="00B43C76" w:rsidP="00AC4A6F">
            <w:pPr>
              <w:rPr>
                <w:sz w:val="20"/>
                <w:szCs w:val="20"/>
              </w:rPr>
            </w:pPr>
          </w:p>
        </w:tc>
      </w:tr>
      <w:tr w:rsidR="00702A3B" w:rsidRPr="007942B7" w:rsidTr="00BA4354">
        <w:tc>
          <w:tcPr>
            <w:tcW w:w="2093" w:type="dxa"/>
            <w:vMerge/>
            <w:vAlign w:val="center"/>
          </w:tcPr>
          <w:p w:rsidR="00702A3B" w:rsidRPr="00C3228C" w:rsidRDefault="00702A3B" w:rsidP="006D4C90">
            <w:pPr>
              <w:rPr>
                <w:sz w:val="20"/>
                <w:szCs w:val="20"/>
              </w:rPr>
            </w:pPr>
          </w:p>
        </w:tc>
        <w:tc>
          <w:tcPr>
            <w:tcW w:w="4819" w:type="dxa"/>
          </w:tcPr>
          <w:p w:rsidR="00702A3B" w:rsidRDefault="00702A3B" w:rsidP="00E83650">
            <w:pPr>
              <w:rPr>
                <w:sz w:val="20"/>
                <w:szCs w:val="20"/>
              </w:rPr>
            </w:pPr>
            <w:r>
              <w:rPr>
                <w:sz w:val="20"/>
                <w:szCs w:val="20"/>
              </w:rPr>
              <w:t>Perfil y trayectoria profesional de los máximos responsables</w:t>
            </w:r>
          </w:p>
        </w:tc>
        <w:tc>
          <w:tcPr>
            <w:tcW w:w="567" w:type="dxa"/>
          </w:tcPr>
          <w:p w:rsidR="00702A3B" w:rsidRPr="00800B69" w:rsidRDefault="00702A3B" w:rsidP="00800B69">
            <w:pPr>
              <w:jc w:val="center"/>
              <w:rPr>
                <w:sz w:val="20"/>
                <w:szCs w:val="20"/>
              </w:rPr>
            </w:pPr>
            <w:r>
              <w:rPr>
                <w:sz w:val="20"/>
                <w:szCs w:val="20"/>
              </w:rPr>
              <w:t>X</w:t>
            </w:r>
          </w:p>
        </w:tc>
        <w:tc>
          <w:tcPr>
            <w:tcW w:w="3203" w:type="dxa"/>
          </w:tcPr>
          <w:p w:rsidR="00702A3B" w:rsidRPr="007942B7" w:rsidRDefault="00853CB9" w:rsidP="00AC4A6F">
            <w:pPr>
              <w:rPr>
                <w:sz w:val="20"/>
                <w:szCs w:val="20"/>
              </w:rPr>
            </w:pPr>
            <w:r w:rsidRPr="00853CB9">
              <w:rPr>
                <w:sz w:val="20"/>
                <w:szCs w:val="20"/>
              </w:rPr>
              <w:t>No</w:t>
            </w:r>
          </w:p>
        </w:tc>
      </w:tr>
      <w:tr w:rsidR="00A670E9" w:rsidRPr="007942B7" w:rsidTr="00BA4354">
        <w:tc>
          <w:tcPr>
            <w:tcW w:w="2093" w:type="dxa"/>
            <w:vMerge/>
            <w:vAlign w:val="center"/>
          </w:tcPr>
          <w:p w:rsidR="00A670E9" w:rsidRPr="00AF196B" w:rsidRDefault="00A670E9" w:rsidP="006D4C90">
            <w:pPr>
              <w:rPr>
                <w:sz w:val="20"/>
                <w:szCs w:val="20"/>
              </w:rPr>
            </w:pPr>
          </w:p>
        </w:tc>
        <w:tc>
          <w:tcPr>
            <w:tcW w:w="4819" w:type="dxa"/>
          </w:tcPr>
          <w:p w:rsidR="00A670E9" w:rsidRDefault="00A670E9" w:rsidP="00E83650">
            <w:pPr>
              <w:rPr>
                <w:sz w:val="20"/>
                <w:szCs w:val="20"/>
              </w:rPr>
            </w:pPr>
            <w:r>
              <w:rPr>
                <w:sz w:val="20"/>
                <w:szCs w:val="20"/>
              </w:rPr>
              <w:t>Contratos</w:t>
            </w:r>
          </w:p>
        </w:tc>
        <w:tc>
          <w:tcPr>
            <w:tcW w:w="567" w:type="dxa"/>
          </w:tcPr>
          <w:p w:rsidR="00A670E9" w:rsidRDefault="00A670E9" w:rsidP="00800B69">
            <w:pPr>
              <w:jc w:val="center"/>
              <w:rPr>
                <w:sz w:val="20"/>
                <w:szCs w:val="20"/>
              </w:rPr>
            </w:pPr>
            <w:r>
              <w:rPr>
                <w:sz w:val="20"/>
                <w:szCs w:val="20"/>
              </w:rPr>
              <w:t>X</w:t>
            </w:r>
          </w:p>
        </w:tc>
        <w:tc>
          <w:tcPr>
            <w:tcW w:w="3203" w:type="dxa"/>
          </w:tcPr>
          <w:p w:rsidR="00A670E9" w:rsidRDefault="00A670E9">
            <w:r w:rsidRPr="00534456">
              <w:rPr>
                <w:sz w:val="20"/>
                <w:szCs w:val="20"/>
              </w:rPr>
              <w:t>No</w:t>
            </w:r>
          </w:p>
        </w:tc>
      </w:tr>
      <w:tr w:rsidR="00A670E9" w:rsidRPr="007942B7" w:rsidTr="00BA4354">
        <w:tc>
          <w:tcPr>
            <w:tcW w:w="2093" w:type="dxa"/>
            <w:vMerge/>
            <w:vAlign w:val="center"/>
          </w:tcPr>
          <w:p w:rsidR="00A670E9" w:rsidRPr="00AF196B" w:rsidRDefault="00A670E9" w:rsidP="006D4C90">
            <w:pPr>
              <w:rPr>
                <w:sz w:val="20"/>
                <w:szCs w:val="20"/>
              </w:rPr>
            </w:pPr>
          </w:p>
        </w:tc>
        <w:tc>
          <w:tcPr>
            <w:tcW w:w="4819" w:type="dxa"/>
          </w:tcPr>
          <w:p w:rsidR="00A670E9" w:rsidRDefault="00A670E9" w:rsidP="00E83650">
            <w:pPr>
              <w:rPr>
                <w:sz w:val="20"/>
                <w:szCs w:val="20"/>
              </w:rPr>
            </w:pPr>
            <w:r>
              <w:rPr>
                <w:sz w:val="20"/>
                <w:szCs w:val="20"/>
              </w:rPr>
              <w:t>Convenios</w:t>
            </w:r>
          </w:p>
        </w:tc>
        <w:tc>
          <w:tcPr>
            <w:tcW w:w="567" w:type="dxa"/>
          </w:tcPr>
          <w:p w:rsidR="00A670E9" w:rsidRDefault="00A670E9" w:rsidP="00800B69">
            <w:pPr>
              <w:jc w:val="center"/>
              <w:rPr>
                <w:sz w:val="20"/>
                <w:szCs w:val="20"/>
              </w:rPr>
            </w:pPr>
            <w:r>
              <w:rPr>
                <w:sz w:val="20"/>
                <w:szCs w:val="20"/>
              </w:rPr>
              <w:t>X</w:t>
            </w:r>
          </w:p>
        </w:tc>
        <w:tc>
          <w:tcPr>
            <w:tcW w:w="3203" w:type="dxa"/>
          </w:tcPr>
          <w:p w:rsidR="00A670E9" w:rsidRDefault="00A670E9">
            <w:r w:rsidRPr="00534456">
              <w:rPr>
                <w:sz w:val="20"/>
                <w:szCs w:val="20"/>
              </w:rPr>
              <w:t>No</w:t>
            </w:r>
          </w:p>
        </w:tc>
      </w:tr>
      <w:tr w:rsidR="00A670E9" w:rsidRPr="007942B7" w:rsidTr="00BA4354">
        <w:tc>
          <w:tcPr>
            <w:tcW w:w="2093" w:type="dxa"/>
            <w:vMerge/>
            <w:vAlign w:val="center"/>
          </w:tcPr>
          <w:p w:rsidR="00A670E9" w:rsidRPr="00AF196B" w:rsidRDefault="00A670E9" w:rsidP="006D4C90">
            <w:pPr>
              <w:rPr>
                <w:sz w:val="20"/>
                <w:szCs w:val="20"/>
              </w:rPr>
            </w:pPr>
          </w:p>
        </w:tc>
        <w:tc>
          <w:tcPr>
            <w:tcW w:w="4819" w:type="dxa"/>
          </w:tcPr>
          <w:p w:rsidR="00A670E9" w:rsidRDefault="00A670E9" w:rsidP="00E83650">
            <w:pPr>
              <w:rPr>
                <w:sz w:val="20"/>
                <w:szCs w:val="20"/>
              </w:rPr>
            </w:pPr>
            <w:r>
              <w:rPr>
                <w:sz w:val="20"/>
                <w:szCs w:val="20"/>
              </w:rPr>
              <w:t>Subvenciones percibidas</w:t>
            </w:r>
          </w:p>
        </w:tc>
        <w:tc>
          <w:tcPr>
            <w:tcW w:w="567" w:type="dxa"/>
          </w:tcPr>
          <w:p w:rsidR="00A670E9" w:rsidRDefault="00A670E9" w:rsidP="00800B69">
            <w:pPr>
              <w:jc w:val="center"/>
              <w:rPr>
                <w:sz w:val="20"/>
                <w:szCs w:val="20"/>
              </w:rPr>
            </w:pPr>
            <w:r>
              <w:rPr>
                <w:sz w:val="20"/>
                <w:szCs w:val="20"/>
              </w:rPr>
              <w:t>X</w:t>
            </w:r>
          </w:p>
        </w:tc>
        <w:tc>
          <w:tcPr>
            <w:tcW w:w="3203" w:type="dxa"/>
          </w:tcPr>
          <w:p w:rsidR="00A670E9" w:rsidRDefault="00A670E9">
            <w:r w:rsidRPr="00534456">
              <w:rPr>
                <w:sz w:val="20"/>
                <w:szCs w:val="20"/>
              </w:rPr>
              <w:t>No</w:t>
            </w:r>
          </w:p>
        </w:tc>
      </w:tr>
      <w:tr w:rsidR="00A670E9" w:rsidRPr="007942B7" w:rsidTr="00BA4354">
        <w:tc>
          <w:tcPr>
            <w:tcW w:w="2093" w:type="dxa"/>
            <w:vMerge/>
            <w:vAlign w:val="center"/>
          </w:tcPr>
          <w:p w:rsidR="00A670E9" w:rsidRPr="00AF196B" w:rsidRDefault="00A670E9" w:rsidP="006D4C90">
            <w:pPr>
              <w:rPr>
                <w:sz w:val="20"/>
                <w:szCs w:val="20"/>
              </w:rPr>
            </w:pPr>
          </w:p>
        </w:tc>
        <w:tc>
          <w:tcPr>
            <w:tcW w:w="4819" w:type="dxa"/>
          </w:tcPr>
          <w:p w:rsidR="00A670E9" w:rsidRDefault="00A670E9" w:rsidP="00E83650">
            <w:pPr>
              <w:rPr>
                <w:sz w:val="20"/>
                <w:szCs w:val="20"/>
              </w:rPr>
            </w:pPr>
            <w:r>
              <w:rPr>
                <w:sz w:val="20"/>
                <w:szCs w:val="20"/>
              </w:rPr>
              <w:t>Presupuesto</w:t>
            </w:r>
          </w:p>
        </w:tc>
        <w:tc>
          <w:tcPr>
            <w:tcW w:w="567" w:type="dxa"/>
          </w:tcPr>
          <w:p w:rsidR="00A670E9" w:rsidRDefault="00A670E9" w:rsidP="00800B69">
            <w:pPr>
              <w:jc w:val="center"/>
              <w:rPr>
                <w:sz w:val="20"/>
                <w:szCs w:val="20"/>
              </w:rPr>
            </w:pPr>
            <w:r>
              <w:rPr>
                <w:sz w:val="20"/>
                <w:szCs w:val="20"/>
              </w:rPr>
              <w:t>X</w:t>
            </w:r>
          </w:p>
        </w:tc>
        <w:tc>
          <w:tcPr>
            <w:tcW w:w="3203" w:type="dxa"/>
          </w:tcPr>
          <w:p w:rsidR="00A670E9" w:rsidRDefault="00A670E9">
            <w:r w:rsidRPr="00534456">
              <w:rPr>
                <w:sz w:val="20"/>
                <w:szCs w:val="20"/>
              </w:rPr>
              <w:t>No</w:t>
            </w:r>
          </w:p>
        </w:tc>
      </w:tr>
      <w:tr w:rsidR="00B43C76" w:rsidRPr="007942B7" w:rsidTr="00BA4354">
        <w:tc>
          <w:tcPr>
            <w:tcW w:w="2093" w:type="dxa"/>
            <w:vMerge/>
            <w:vAlign w:val="center"/>
          </w:tcPr>
          <w:p w:rsidR="00B43C76" w:rsidRPr="00AF196B" w:rsidRDefault="00B43C76" w:rsidP="006D4C90">
            <w:pPr>
              <w:rPr>
                <w:sz w:val="20"/>
                <w:szCs w:val="20"/>
              </w:rPr>
            </w:pPr>
          </w:p>
        </w:tc>
        <w:tc>
          <w:tcPr>
            <w:tcW w:w="4819" w:type="dxa"/>
          </w:tcPr>
          <w:p w:rsidR="00B43C76" w:rsidRPr="00B43C76" w:rsidRDefault="00B43C76" w:rsidP="00E83650">
            <w:pPr>
              <w:rPr>
                <w:sz w:val="20"/>
                <w:szCs w:val="20"/>
              </w:rPr>
            </w:pPr>
            <w:r>
              <w:rPr>
                <w:sz w:val="20"/>
                <w:szCs w:val="20"/>
              </w:rPr>
              <w:t>Ejecución presupuestaria</w:t>
            </w:r>
          </w:p>
        </w:tc>
        <w:tc>
          <w:tcPr>
            <w:tcW w:w="567" w:type="dxa"/>
          </w:tcPr>
          <w:p w:rsidR="00B43C76" w:rsidRDefault="00B43C76" w:rsidP="00800B69">
            <w:pPr>
              <w:jc w:val="center"/>
              <w:rPr>
                <w:sz w:val="20"/>
                <w:szCs w:val="20"/>
              </w:rPr>
            </w:pPr>
            <w:r>
              <w:rPr>
                <w:sz w:val="20"/>
                <w:szCs w:val="20"/>
              </w:rPr>
              <w:t>X</w:t>
            </w:r>
          </w:p>
        </w:tc>
        <w:tc>
          <w:tcPr>
            <w:tcW w:w="3203" w:type="dxa"/>
          </w:tcPr>
          <w:p w:rsidR="00B43C76" w:rsidRDefault="00B43C76" w:rsidP="00AC4A6F">
            <w:pPr>
              <w:rPr>
                <w:sz w:val="20"/>
                <w:szCs w:val="20"/>
              </w:rPr>
            </w:pPr>
            <w:r w:rsidRPr="00B43C76">
              <w:rPr>
                <w:sz w:val="20"/>
                <w:szCs w:val="20"/>
              </w:rPr>
              <w:t>Revisada de oficio</w:t>
            </w:r>
          </w:p>
        </w:tc>
      </w:tr>
      <w:tr w:rsidR="00702A3B" w:rsidRPr="007942B7" w:rsidTr="00BA4354">
        <w:tc>
          <w:tcPr>
            <w:tcW w:w="2093" w:type="dxa"/>
            <w:vMerge/>
            <w:vAlign w:val="center"/>
          </w:tcPr>
          <w:p w:rsidR="00702A3B" w:rsidRPr="00AF196B" w:rsidRDefault="00702A3B" w:rsidP="006D4C90">
            <w:pPr>
              <w:rPr>
                <w:sz w:val="20"/>
                <w:szCs w:val="20"/>
              </w:rPr>
            </w:pPr>
          </w:p>
        </w:tc>
        <w:tc>
          <w:tcPr>
            <w:tcW w:w="4819" w:type="dxa"/>
          </w:tcPr>
          <w:p w:rsidR="00702A3B" w:rsidRDefault="00B43C76" w:rsidP="00E83650">
            <w:pPr>
              <w:rPr>
                <w:sz w:val="20"/>
                <w:szCs w:val="20"/>
              </w:rPr>
            </w:pPr>
            <w:r w:rsidRPr="00B43C76">
              <w:rPr>
                <w:sz w:val="20"/>
                <w:szCs w:val="20"/>
              </w:rPr>
              <w:t>Cuentas anuales</w:t>
            </w:r>
          </w:p>
        </w:tc>
        <w:tc>
          <w:tcPr>
            <w:tcW w:w="567" w:type="dxa"/>
          </w:tcPr>
          <w:p w:rsidR="00702A3B" w:rsidRDefault="00B43C76" w:rsidP="00800B69">
            <w:pPr>
              <w:jc w:val="center"/>
              <w:rPr>
                <w:sz w:val="20"/>
                <w:szCs w:val="20"/>
              </w:rPr>
            </w:pPr>
            <w:r>
              <w:rPr>
                <w:sz w:val="20"/>
                <w:szCs w:val="20"/>
              </w:rPr>
              <w:t>X</w:t>
            </w:r>
          </w:p>
        </w:tc>
        <w:tc>
          <w:tcPr>
            <w:tcW w:w="3203" w:type="dxa"/>
          </w:tcPr>
          <w:p w:rsidR="00702A3B" w:rsidRPr="007942B7" w:rsidRDefault="00702A3B" w:rsidP="00AC4A6F">
            <w:pPr>
              <w:rPr>
                <w:sz w:val="20"/>
                <w:szCs w:val="20"/>
              </w:rPr>
            </w:pPr>
          </w:p>
        </w:tc>
      </w:tr>
      <w:tr w:rsidR="00A670E9" w:rsidRPr="007942B7" w:rsidTr="00BA4354">
        <w:tc>
          <w:tcPr>
            <w:tcW w:w="2093" w:type="dxa"/>
            <w:vMerge/>
            <w:vAlign w:val="center"/>
          </w:tcPr>
          <w:p w:rsidR="00A670E9" w:rsidRPr="00AF196B" w:rsidRDefault="00A670E9" w:rsidP="006D4C90">
            <w:pPr>
              <w:rPr>
                <w:sz w:val="20"/>
                <w:szCs w:val="20"/>
              </w:rPr>
            </w:pPr>
          </w:p>
        </w:tc>
        <w:tc>
          <w:tcPr>
            <w:tcW w:w="4819" w:type="dxa"/>
          </w:tcPr>
          <w:p w:rsidR="00A670E9" w:rsidRDefault="00B43C76" w:rsidP="00E83650">
            <w:pPr>
              <w:rPr>
                <w:sz w:val="20"/>
                <w:szCs w:val="20"/>
              </w:rPr>
            </w:pPr>
            <w:r>
              <w:rPr>
                <w:sz w:val="20"/>
                <w:szCs w:val="20"/>
              </w:rPr>
              <w:t xml:space="preserve">Informes de auditoría </w:t>
            </w:r>
            <w:r w:rsidR="00A670E9">
              <w:rPr>
                <w:sz w:val="20"/>
                <w:szCs w:val="20"/>
              </w:rPr>
              <w:t xml:space="preserve"> </w:t>
            </w:r>
          </w:p>
        </w:tc>
        <w:tc>
          <w:tcPr>
            <w:tcW w:w="567" w:type="dxa"/>
          </w:tcPr>
          <w:p w:rsidR="00A670E9" w:rsidRPr="00702A3B" w:rsidRDefault="00A670E9" w:rsidP="00702A3B">
            <w:pPr>
              <w:jc w:val="center"/>
              <w:rPr>
                <w:sz w:val="20"/>
                <w:szCs w:val="20"/>
              </w:rPr>
            </w:pPr>
            <w:r w:rsidRPr="00702A3B">
              <w:rPr>
                <w:sz w:val="20"/>
                <w:szCs w:val="20"/>
              </w:rPr>
              <w:t>X</w:t>
            </w:r>
          </w:p>
        </w:tc>
        <w:tc>
          <w:tcPr>
            <w:tcW w:w="3203" w:type="dxa"/>
          </w:tcPr>
          <w:p w:rsidR="00A670E9" w:rsidRDefault="00A670E9">
            <w:r w:rsidRPr="006102BE">
              <w:rPr>
                <w:sz w:val="20"/>
                <w:szCs w:val="20"/>
              </w:rPr>
              <w:t>No</w:t>
            </w:r>
          </w:p>
        </w:tc>
      </w:tr>
      <w:tr w:rsidR="00A670E9" w:rsidRPr="007942B7" w:rsidTr="00BA4354">
        <w:tc>
          <w:tcPr>
            <w:tcW w:w="2093" w:type="dxa"/>
            <w:vMerge/>
            <w:vAlign w:val="center"/>
          </w:tcPr>
          <w:p w:rsidR="00A670E9" w:rsidRPr="00AF196B" w:rsidRDefault="00A670E9" w:rsidP="006D4C90">
            <w:pPr>
              <w:rPr>
                <w:sz w:val="20"/>
                <w:szCs w:val="20"/>
              </w:rPr>
            </w:pPr>
          </w:p>
        </w:tc>
        <w:tc>
          <w:tcPr>
            <w:tcW w:w="4819" w:type="dxa"/>
          </w:tcPr>
          <w:p w:rsidR="00A670E9" w:rsidRDefault="00A670E9" w:rsidP="00E83650">
            <w:pPr>
              <w:rPr>
                <w:sz w:val="20"/>
                <w:szCs w:val="20"/>
              </w:rPr>
            </w:pPr>
            <w:r>
              <w:rPr>
                <w:sz w:val="20"/>
                <w:szCs w:val="20"/>
              </w:rPr>
              <w:t>Retribuciones</w:t>
            </w:r>
            <w:r w:rsidR="00B43C76">
              <w:rPr>
                <w:sz w:val="20"/>
                <w:szCs w:val="20"/>
              </w:rPr>
              <w:t xml:space="preserve"> de los máximos responsables</w:t>
            </w:r>
          </w:p>
        </w:tc>
        <w:tc>
          <w:tcPr>
            <w:tcW w:w="567" w:type="dxa"/>
          </w:tcPr>
          <w:p w:rsidR="00A670E9" w:rsidRPr="00702A3B" w:rsidRDefault="00A670E9" w:rsidP="00702A3B">
            <w:pPr>
              <w:jc w:val="center"/>
              <w:rPr>
                <w:sz w:val="20"/>
                <w:szCs w:val="20"/>
              </w:rPr>
            </w:pPr>
            <w:r w:rsidRPr="00702A3B">
              <w:rPr>
                <w:sz w:val="20"/>
                <w:szCs w:val="20"/>
              </w:rPr>
              <w:t>X</w:t>
            </w:r>
          </w:p>
        </w:tc>
        <w:tc>
          <w:tcPr>
            <w:tcW w:w="3203" w:type="dxa"/>
          </w:tcPr>
          <w:p w:rsidR="00A670E9" w:rsidRDefault="00A670E9">
            <w:r w:rsidRPr="006102BE">
              <w:rPr>
                <w:sz w:val="20"/>
                <w:szCs w:val="20"/>
              </w:rPr>
              <w:t>No</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865E5A">
            <w:pPr>
              <w:rPr>
                <w:sz w:val="20"/>
                <w:szCs w:val="20"/>
              </w:rPr>
            </w:pPr>
            <w:r w:rsidRPr="007942B7">
              <w:rPr>
                <w:sz w:val="20"/>
                <w:szCs w:val="20"/>
              </w:rPr>
              <w:t>Accesibilidad</w:t>
            </w:r>
            <w:r w:rsidR="00DF54AF">
              <w:rPr>
                <w:sz w:val="20"/>
                <w:szCs w:val="20"/>
              </w:rPr>
              <w:t xml:space="preserve"> </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F196B">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BA4354"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826275">
            <w:pPr>
              <w:rPr>
                <w:sz w:val="20"/>
                <w:szCs w:val="20"/>
              </w:rPr>
            </w:pPr>
            <w:r w:rsidRPr="007942B7">
              <w:rPr>
                <w:sz w:val="20"/>
                <w:szCs w:val="20"/>
              </w:rPr>
              <w:t>Datación y Actualización</w:t>
            </w:r>
            <w:r w:rsidR="00AF196B">
              <w:rPr>
                <w:sz w:val="20"/>
                <w:szCs w:val="20"/>
              </w:rPr>
              <w:t xml:space="preserve"> </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A670E9"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853CB9" w:rsidP="00865E5A">
            <w:pPr>
              <w:jc w:val="center"/>
              <w:rPr>
                <w:b/>
                <w:sz w:val="20"/>
                <w:szCs w:val="20"/>
              </w:rPr>
            </w:pPr>
            <w:r>
              <w:rPr>
                <w:b/>
                <w:sz w:val="20"/>
                <w:szCs w:val="20"/>
              </w:rPr>
              <w:t>13</w:t>
            </w:r>
          </w:p>
        </w:tc>
        <w:tc>
          <w:tcPr>
            <w:tcW w:w="3203" w:type="dxa"/>
          </w:tcPr>
          <w:p w:rsidR="001C7D84" w:rsidRPr="001C7D84" w:rsidRDefault="001C7D84" w:rsidP="00AC4A6F">
            <w:pPr>
              <w:rPr>
                <w:b/>
                <w:sz w:val="20"/>
                <w:szCs w:val="20"/>
              </w:rPr>
            </w:pPr>
          </w:p>
        </w:tc>
      </w:tr>
    </w:tbl>
    <w:p w:rsidR="003A1694" w:rsidRDefault="003A1694" w:rsidP="00AC4A6F"/>
    <w:p w:rsidR="00DF56A7" w:rsidRDefault="00DF56A7" w:rsidP="00DF56A7">
      <w:pPr>
        <w:jc w:val="both"/>
      </w:pPr>
    </w:p>
    <w:p w:rsidR="00E17DF6" w:rsidRDefault="00F21FA2" w:rsidP="00AC4A6F">
      <w:r>
        <w:t xml:space="preserve">La asociación 11 de Marzo </w:t>
      </w:r>
      <w:r w:rsidRPr="00F21FA2">
        <w:rPr>
          <w:b/>
        </w:rPr>
        <w:t>no ha aplicado ninguna</w:t>
      </w:r>
      <w:r>
        <w:t xml:space="preserve"> de las recomendaciones efectuadas en 2020.</w:t>
      </w:r>
    </w:p>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669EE" w:rsidRPr="00F31BC3" w:rsidRDefault="008669EE"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8669EE" w:rsidRPr="00F31BC3" w:rsidRDefault="008669EE"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F57370"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521C69" w:rsidRPr="006D4C90" w:rsidTr="00BB3652">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521C69" w:rsidRPr="006D4C90" w:rsidRDefault="00521C69" w:rsidP="00BB3652">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521C69" w:rsidRPr="006D4C90" w:rsidTr="00BB3652">
        <w:trPr>
          <w:trHeight w:val="1895"/>
        </w:trPr>
        <w:tc>
          <w:tcPr>
            <w:tcW w:w="2151" w:type="pct"/>
            <w:tcBorders>
              <w:top w:val="nil"/>
              <w:left w:val="nil"/>
              <w:right w:val="single" w:sz="8" w:space="0" w:color="auto"/>
            </w:tcBorders>
            <w:shd w:val="clear" w:color="000000" w:fill="65AD82"/>
            <w:noWrap/>
            <w:vAlign w:val="center"/>
            <w:hideMark/>
          </w:tcPr>
          <w:p w:rsidR="00521C69" w:rsidRPr="006D4C90" w:rsidRDefault="00521C69" w:rsidP="00BB3652">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521C69" w:rsidRPr="006D4C90" w:rsidRDefault="00521C69" w:rsidP="00BB3652">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521C69" w:rsidRPr="006D4C90" w:rsidRDefault="00521C69" w:rsidP="00BB3652">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521C69" w:rsidRPr="006D4C90" w:rsidRDefault="00521C69" w:rsidP="00BB3652">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521C69" w:rsidRPr="006D4C90" w:rsidRDefault="00521C69" w:rsidP="00BB3652">
            <w:pPr>
              <w:rPr>
                <w:rFonts w:eastAsia="Times New Roman" w:cs="Arial"/>
                <w:b/>
                <w:bCs/>
                <w:color w:val="FFFFFF"/>
                <w:sz w:val="18"/>
                <w:szCs w:val="18"/>
                <w:lang w:eastAsia="es-ES"/>
              </w:rPr>
            </w:pPr>
          </w:p>
        </w:tc>
      </w:tr>
      <w:tr w:rsidR="00521C69" w:rsidRPr="006D4C90" w:rsidTr="00BB3652">
        <w:trPr>
          <w:trHeight w:val="315"/>
        </w:trPr>
        <w:tc>
          <w:tcPr>
            <w:tcW w:w="5000" w:type="pct"/>
            <w:gridSpan w:val="9"/>
            <w:shd w:val="clear" w:color="000000" w:fill="F2F2F2"/>
            <w:vAlign w:val="center"/>
            <w:hideMark/>
          </w:tcPr>
          <w:p w:rsidR="00521C69" w:rsidRPr="006D4C90" w:rsidRDefault="004A14B1" w:rsidP="004A14B1">
            <w:pPr>
              <w:rPr>
                <w:rFonts w:eastAsia="Times New Roman" w:cs="Arial"/>
                <w:b/>
                <w:bCs/>
                <w:color w:val="000000"/>
                <w:sz w:val="18"/>
                <w:szCs w:val="18"/>
                <w:lang w:eastAsia="es-ES"/>
              </w:rPr>
            </w:pPr>
            <w:r>
              <w:rPr>
                <w:rFonts w:eastAsia="Times New Roman" w:cs="Arial"/>
                <w:b/>
                <w:bCs/>
                <w:color w:val="000000"/>
                <w:sz w:val="18"/>
                <w:szCs w:val="18"/>
                <w:lang w:eastAsia="es-ES"/>
              </w:rPr>
              <w:t xml:space="preserve">INFORMACIÓN </w:t>
            </w:r>
            <w:r w:rsidR="00521C69" w:rsidRPr="006D4C90">
              <w:rPr>
                <w:rFonts w:eastAsia="Times New Roman" w:cs="Arial"/>
                <w:b/>
                <w:bCs/>
                <w:color w:val="000000"/>
                <w:sz w:val="18"/>
                <w:szCs w:val="18"/>
                <w:lang w:eastAsia="es-ES"/>
              </w:rPr>
              <w:t>INSTITUCIONAL</w:t>
            </w:r>
            <w:r>
              <w:rPr>
                <w:rFonts w:eastAsia="Times New Roman" w:cs="Arial"/>
                <w:b/>
                <w:bCs/>
                <w:color w:val="000000"/>
                <w:sz w:val="18"/>
                <w:szCs w:val="18"/>
                <w:lang w:eastAsia="es-ES"/>
              </w:rPr>
              <w:t xml:space="preserve"> Y</w:t>
            </w:r>
            <w:r w:rsidR="00521C69" w:rsidRPr="006D4C90">
              <w:rPr>
                <w:rFonts w:eastAsia="Times New Roman" w:cs="Arial"/>
                <w:b/>
                <w:bCs/>
                <w:color w:val="000000"/>
                <w:sz w:val="18"/>
                <w:szCs w:val="18"/>
                <w:lang w:eastAsia="es-ES"/>
              </w:rPr>
              <w:t xml:space="preserve"> ORGANIZATIVA </w:t>
            </w:r>
          </w:p>
        </w:tc>
      </w:tr>
      <w:tr w:rsidR="00BB3652" w:rsidRPr="00BB3652" w:rsidTr="00BB3652">
        <w:trPr>
          <w:trHeight w:val="315"/>
        </w:trPr>
        <w:tc>
          <w:tcPr>
            <w:tcW w:w="2151" w:type="pct"/>
            <w:tcBorders>
              <w:left w:val="nil"/>
              <w:bottom w:val="nil"/>
              <w:right w:val="nil"/>
            </w:tcBorders>
            <w:shd w:val="clear" w:color="auto" w:fill="F5FDFA"/>
            <w:noWrap/>
            <w:hideMark/>
          </w:tcPr>
          <w:p w:rsidR="00BB3652" w:rsidRPr="006D4C90" w:rsidRDefault="00BB3652" w:rsidP="00BB3652">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BB3652" w:rsidRPr="00BB3652" w:rsidRDefault="00BB3652" w:rsidP="00BB3652">
            <w:pPr>
              <w:jc w:val="center"/>
              <w:rPr>
                <w:sz w:val="16"/>
                <w:szCs w:val="16"/>
              </w:rPr>
            </w:pPr>
            <w:r w:rsidRPr="00BB3652">
              <w:rPr>
                <w:sz w:val="16"/>
                <w:szCs w:val="16"/>
              </w:rPr>
              <w:t>75,0</w:t>
            </w:r>
          </w:p>
        </w:tc>
        <w:tc>
          <w:tcPr>
            <w:tcW w:w="398" w:type="pct"/>
            <w:tcBorders>
              <w:left w:val="nil"/>
              <w:bottom w:val="nil"/>
              <w:right w:val="nil"/>
            </w:tcBorders>
            <w:shd w:val="clear" w:color="auto" w:fill="F5FDFA"/>
            <w:noWrap/>
          </w:tcPr>
          <w:p w:rsidR="00BB3652" w:rsidRPr="00BB3652" w:rsidRDefault="00BB3652" w:rsidP="00BB3652">
            <w:pPr>
              <w:jc w:val="center"/>
              <w:rPr>
                <w:sz w:val="16"/>
                <w:szCs w:val="16"/>
              </w:rPr>
            </w:pPr>
            <w:r w:rsidRPr="00BB3652">
              <w:rPr>
                <w:sz w:val="16"/>
                <w:szCs w:val="16"/>
              </w:rPr>
              <w:t>100,0</w:t>
            </w:r>
          </w:p>
        </w:tc>
        <w:tc>
          <w:tcPr>
            <w:tcW w:w="458" w:type="pct"/>
            <w:tcBorders>
              <w:left w:val="nil"/>
              <w:bottom w:val="nil"/>
              <w:right w:val="nil"/>
            </w:tcBorders>
            <w:shd w:val="clear" w:color="auto" w:fill="F5FDFA"/>
            <w:noWrap/>
          </w:tcPr>
          <w:p w:rsidR="00BB3652" w:rsidRPr="00BB3652" w:rsidRDefault="00BB3652" w:rsidP="00BB3652">
            <w:pPr>
              <w:jc w:val="center"/>
              <w:rPr>
                <w:sz w:val="16"/>
                <w:szCs w:val="16"/>
              </w:rPr>
            </w:pPr>
            <w:r w:rsidRPr="00BB3652">
              <w:rPr>
                <w:sz w:val="16"/>
                <w:szCs w:val="16"/>
              </w:rPr>
              <w:t>100,0</w:t>
            </w:r>
          </w:p>
        </w:tc>
        <w:tc>
          <w:tcPr>
            <w:tcW w:w="292" w:type="pct"/>
            <w:tcBorders>
              <w:left w:val="nil"/>
              <w:bottom w:val="nil"/>
              <w:right w:val="nil"/>
            </w:tcBorders>
            <w:shd w:val="clear" w:color="auto" w:fill="F5FDFA"/>
            <w:noWrap/>
          </w:tcPr>
          <w:p w:rsidR="00BB3652" w:rsidRPr="00BB3652" w:rsidRDefault="00BB3652" w:rsidP="00BB3652">
            <w:pPr>
              <w:jc w:val="center"/>
              <w:rPr>
                <w:sz w:val="16"/>
                <w:szCs w:val="16"/>
              </w:rPr>
            </w:pPr>
            <w:r w:rsidRPr="00BB3652">
              <w:rPr>
                <w:sz w:val="16"/>
                <w:szCs w:val="16"/>
              </w:rPr>
              <w:t>100,0</w:t>
            </w:r>
          </w:p>
        </w:tc>
        <w:tc>
          <w:tcPr>
            <w:tcW w:w="292" w:type="pct"/>
            <w:tcBorders>
              <w:left w:val="nil"/>
              <w:bottom w:val="nil"/>
              <w:right w:val="nil"/>
            </w:tcBorders>
            <w:shd w:val="clear" w:color="auto" w:fill="F5FDFA"/>
            <w:noWrap/>
          </w:tcPr>
          <w:p w:rsidR="00BB3652" w:rsidRPr="00BB3652" w:rsidRDefault="00BB3652" w:rsidP="00BB3652">
            <w:pPr>
              <w:jc w:val="center"/>
              <w:rPr>
                <w:sz w:val="16"/>
                <w:szCs w:val="16"/>
              </w:rPr>
            </w:pPr>
            <w:r w:rsidRPr="00BB3652">
              <w:rPr>
                <w:sz w:val="16"/>
                <w:szCs w:val="16"/>
              </w:rPr>
              <w:t>100,0</w:t>
            </w:r>
          </w:p>
        </w:tc>
        <w:tc>
          <w:tcPr>
            <w:tcW w:w="292" w:type="pct"/>
            <w:tcBorders>
              <w:left w:val="nil"/>
              <w:bottom w:val="nil"/>
              <w:right w:val="nil"/>
            </w:tcBorders>
            <w:shd w:val="clear" w:color="auto" w:fill="F5FDFA"/>
            <w:noWrap/>
          </w:tcPr>
          <w:p w:rsidR="00BB3652" w:rsidRPr="00BB3652" w:rsidRDefault="00BB3652" w:rsidP="00BB3652">
            <w:pPr>
              <w:jc w:val="center"/>
              <w:rPr>
                <w:sz w:val="16"/>
                <w:szCs w:val="16"/>
              </w:rPr>
            </w:pPr>
            <w:r w:rsidRPr="00BB3652">
              <w:rPr>
                <w:sz w:val="16"/>
                <w:szCs w:val="16"/>
              </w:rPr>
              <w:t>100,0</w:t>
            </w:r>
          </w:p>
        </w:tc>
        <w:tc>
          <w:tcPr>
            <w:tcW w:w="298" w:type="pct"/>
            <w:tcBorders>
              <w:left w:val="nil"/>
              <w:bottom w:val="nil"/>
              <w:right w:val="nil"/>
            </w:tcBorders>
            <w:shd w:val="clear" w:color="auto" w:fill="F5FDFA"/>
            <w:noWrap/>
          </w:tcPr>
          <w:p w:rsidR="00BB3652" w:rsidRPr="00BB3652" w:rsidRDefault="00BB3652" w:rsidP="00BB3652">
            <w:pPr>
              <w:jc w:val="center"/>
              <w:rPr>
                <w:sz w:val="16"/>
                <w:szCs w:val="16"/>
              </w:rPr>
            </w:pPr>
            <w:r w:rsidRPr="00BB3652">
              <w:rPr>
                <w:sz w:val="16"/>
                <w:szCs w:val="16"/>
              </w:rPr>
              <w:t>0,0</w:t>
            </w:r>
          </w:p>
        </w:tc>
        <w:tc>
          <w:tcPr>
            <w:tcW w:w="354" w:type="pct"/>
            <w:tcBorders>
              <w:left w:val="nil"/>
              <w:bottom w:val="nil"/>
              <w:right w:val="nil"/>
            </w:tcBorders>
            <w:shd w:val="clear" w:color="auto" w:fill="F5FDFA"/>
            <w:noWrap/>
          </w:tcPr>
          <w:p w:rsidR="00BB3652" w:rsidRPr="00BB3652" w:rsidRDefault="00BB3652" w:rsidP="00BB3652">
            <w:pPr>
              <w:jc w:val="center"/>
              <w:rPr>
                <w:sz w:val="16"/>
                <w:szCs w:val="16"/>
              </w:rPr>
            </w:pPr>
            <w:r w:rsidRPr="00BB3652">
              <w:rPr>
                <w:sz w:val="16"/>
                <w:szCs w:val="16"/>
              </w:rPr>
              <w:t>82,1</w:t>
            </w:r>
          </w:p>
        </w:tc>
      </w:tr>
      <w:tr w:rsidR="00BB3652" w:rsidRPr="00BB3652" w:rsidTr="00BB3652">
        <w:trPr>
          <w:trHeight w:val="315"/>
        </w:trPr>
        <w:tc>
          <w:tcPr>
            <w:tcW w:w="2151" w:type="pct"/>
            <w:tcBorders>
              <w:top w:val="nil"/>
              <w:left w:val="nil"/>
              <w:bottom w:val="nil"/>
              <w:right w:val="nil"/>
            </w:tcBorders>
            <w:shd w:val="clear" w:color="auto" w:fill="F5FDFA"/>
            <w:noWrap/>
            <w:hideMark/>
          </w:tcPr>
          <w:p w:rsidR="00BB3652" w:rsidRPr="006D4C90" w:rsidRDefault="00BB3652" w:rsidP="00BB3652">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BB3652" w:rsidRPr="00BB3652" w:rsidRDefault="00BB3652" w:rsidP="00BB3652">
            <w:pPr>
              <w:jc w:val="center"/>
              <w:rPr>
                <w:sz w:val="16"/>
                <w:szCs w:val="16"/>
              </w:rPr>
            </w:pPr>
            <w:r w:rsidRPr="00BB3652">
              <w:rPr>
                <w:sz w:val="16"/>
                <w:szCs w:val="16"/>
              </w:rPr>
              <w:t>50,0</w:t>
            </w:r>
          </w:p>
        </w:tc>
        <w:tc>
          <w:tcPr>
            <w:tcW w:w="398" w:type="pct"/>
            <w:tcBorders>
              <w:top w:val="nil"/>
              <w:left w:val="nil"/>
              <w:bottom w:val="nil"/>
              <w:right w:val="nil"/>
            </w:tcBorders>
            <w:shd w:val="clear" w:color="auto" w:fill="F5FDFA"/>
            <w:noWrap/>
          </w:tcPr>
          <w:p w:rsidR="00BB3652" w:rsidRPr="00BB3652" w:rsidRDefault="00BB3652" w:rsidP="00BB3652">
            <w:pPr>
              <w:jc w:val="center"/>
              <w:rPr>
                <w:sz w:val="16"/>
                <w:szCs w:val="16"/>
              </w:rPr>
            </w:pPr>
            <w:r w:rsidRPr="00BB3652">
              <w:rPr>
                <w:sz w:val="16"/>
                <w:szCs w:val="16"/>
              </w:rPr>
              <w:t>50,0</w:t>
            </w:r>
          </w:p>
        </w:tc>
        <w:tc>
          <w:tcPr>
            <w:tcW w:w="458" w:type="pct"/>
            <w:tcBorders>
              <w:top w:val="nil"/>
              <w:left w:val="nil"/>
              <w:bottom w:val="nil"/>
              <w:right w:val="nil"/>
            </w:tcBorders>
            <w:shd w:val="clear" w:color="auto" w:fill="F5FDFA"/>
            <w:noWrap/>
          </w:tcPr>
          <w:p w:rsidR="00BB3652" w:rsidRPr="00BB3652" w:rsidRDefault="00BB3652" w:rsidP="00BB3652">
            <w:pPr>
              <w:jc w:val="center"/>
              <w:rPr>
                <w:sz w:val="16"/>
                <w:szCs w:val="16"/>
              </w:rPr>
            </w:pPr>
            <w:r w:rsidRPr="00BB3652">
              <w:rPr>
                <w:sz w:val="16"/>
                <w:szCs w:val="16"/>
              </w:rPr>
              <w:t>50,0</w:t>
            </w:r>
          </w:p>
        </w:tc>
        <w:tc>
          <w:tcPr>
            <w:tcW w:w="292" w:type="pct"/>
            <w:tcBorders>
              <w:top w:val="nil"/>
              <w:left w:val="nil"/>
              <w:bottom w:val="nil"/>
              <w:right w:val="nil"/>
            </w:tcBorders>
            <w:shd w:val="clear" w:color="auto" w:fill="F5FDFA"/>
            <w:noWrap/>
          </w:tcPr>
          <w:p w:rsidR="00BB3652" w:rsidRPr="00BB3652" w:rsidRDefault="00BB3652" w:rsidP="00BB3652">
            <w:pPr>
              <w:jc w:val="center"/>
              <w:rPr>
                <w:sz w:val="16"/>
                <w:szCs w:val="16"/>
              </w:rPr>
            </w:pPr>
            <w:r w:rsidRPr="00BB3652">
              <w:rPr>
                <w:sz w:val="16"/>
                <w:szCs w:val="16"/>
              </w:rPr>
              <w:t>50,0</w:t>
            </w:r>
          </w:p>
        </w:tc>
        <w:tc>
          <w:tcPr>
            <w:tcW w:w="292" w:type="pct"/>
            <w:tcBorders>
              <w:top w:val="nil"/>
              <w:left w:val="nil"/>
              <w:bottom w:val="nil"/>
              <w:right w:val="nil"/>
            </w:tcBorders>
            <w:shd w:val="clear" w:color="auto" w:fill="F5FDFA"/>
            <w:noWrap/>
          </w:tcPr>
          <w:p w:rsidR="00BB3652" w:rsidRPr="00BB3652" w:rsidRDefault="00BB3652" w:rsidP="00BB3652">
            <w:pPr>
              <w:jc w:val="center"/>
              <w:rPr>
                <w:sz w:val="16"/>
                <w:szCs w:val="16"/>
              </w:rPr>
            </w:pPr>
            <w:r w:rsidRPr="00BB3652">
              <w:rPr>
                <w:sz w:val="16"/>
                <w:szCs w:val="16"/>
              </w:rPr>
              <w:t>50,0</w:t>
            </w:r>
          </w:p>
        </w:tc>
        <w:tc>
          <w:tcPr>
            <w:tcW w:w="292" w:type="pct"/>
            <w:tcBorders>
              <w:top w:val="nil"/>
              <w:left w:val="nil"/>
              <w:bottom w:val="nil"/>
              <w:right w:val="nil"/>
            </w:tcBorders>
            <w:shd w:val="clear" w:color="auto" w:fill="F5FDFA"/>
            <w:noWrap/>
          </w:tcPr>
          <w:p w:rsidR="00BB3652" w:rsidRPr="00BB3652" w:rsidRDefault="00BB3652" w:rsidP="00BB3652">
            <w:pPr>
              <w:jc w:val="center"/>
              <w:rPr>
                <w:sz w:val="16"/>
                <w:szCs w:val="16"/>
              </w:rPr>
            </w:pPr>
            <w:r w:rsidRPr="00BB3652">
              <w:rPr>
                <w:sz w:val="16"/>
                <w:szCs w:val="16"/>
              </w:rPr>
              <w:t>50,0</w:t>
            </w:r>
          </w:p>
        </w:tc>
        <w:tc>
          <w:tcPr>
            <w:tcW w:w="298" w:type="pct"/>
            <w:tcBorders>
              <w:top w:val="nil"/>
              <w:left w:val="nil"/>
              <w:bottom w:val="nil"/>
              <w:right w:val="nil"/>
            </w:tcBorders>
            <w:shd w:val="clear" w:color="auto" w:fill="F5FDFA"/>
            <w:noWrap/>
          </w:tcPr>
          <w:p w:rsidR="00BB3652" w:rsidRPr="00BB3652" w:rsidRDefault="00BB3652" w:rsidP="00BB3652">
            <w:pPr>
              <w:jc w:val="center"/>
              <w:rPr>
                <w:sz w:val="16"/>
                <w:szCs w:val="16"/>
              </w:rPr>
            </w:pPr>
            <w:r w:rsidRPr="00BB3652">
              <w:rPr>
                <w:sz w:val="16"/>
                <w:szCs w:val="16"/>
              </w:rPr>
              <w:t>0,0</w:t>
            </w:r>
          </w:p>
        </w:tc>
        <w:tc>
          <w:tcPr>
            <w:tcW w:w="354" w:type="pct"/>
            <w:tcBorders>
              <w:top w:val="nil"/>
              <w:left w:val="nil"/>
              <w:bottom w:val="nil"/>
              <w:right w:val="nil"/>
            </w:tcBorders>
            <w:shd w:val="clear" w:color="auto" w:fill="F5FDFA"/>
            <w:noWrap/>
          </w:tcPr>
          <w:p w:rsidR="00BB3652" w:rsidRPr="00BB3652" w:rsidRDefault="00BB3652" w:rsidP="00BB3652">
            <w:pPr>
              <w:jc w:val="center"/>
              <w:rPr>
                <w:sz w:val="16"/>
                <w:szCs w:val="16"/>
              </w:rPr>
            </w:pPr>
            <w:r w:rsidRPr="00BB3652">
              <w:rPr>
                <w:sz w:val="16"/>
                <w:szCs w:val="16"/>
              </w:rPr>
              <w:t>42,9</w:t>
            </w:r>
          </w:p>
        </w:tc>
      </w:tr>
      <w:tr w:rsidR="00BB3652" w:rsidRPr="006D4C90" w:rsidTr="00BB3652">
        <w:trPr>
          <w:trHeight w:val="315"/>
        </w:trPr>
        <w:tc>
          <w:tcPr>
            <w:tcW w:w="2151" w:type="pct"/>
            <w:tcBorders>
              <w:top w:val="nil"/>
              <w:left w:val="nil"/>
              <w:bottom w:val="nil"/>
              <w:right w:val="nil"/>
            </w:tcBorders>
            <w:shd w:val="clear" w:color="auto" w:fill="65AD82"/>
            <w:noWrap/>
            <w:hideMark/>
          </w:tcPr>
          <w:p w:rsidR="00BB3652" w:rsidRPr="006D4C90" w:rsidRDefault="00BB3652" w:rsidP="00BB3652">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BB3652" w:rsidRPr="00BB3652" w:rsidRDefault="00BB3652" w:rsidP="00BB3652">
            <w:pPr>
              <w:jc w:val="center"/>
              <w:rPr>
                <w:b/>
                <w:color w:val="FFFFFF" w:themeColor="background1"/>
                <w:sz w:val="16"/>
                <w:szCs w:val="16"/>
              </w:rPr>
            </w:pPr>
            <w:r w:rsidRPr="00BB3652">
              <w:rPr>
                <w:b/>
                <w:color w:val="FFFFFF" w:themeColor="background1"/>
                <w:sz w:val="16"/>
                <w:szCs w:val="16"/>
              </w:rPr>
              <w:t>58,3</w:t>
            </w:r>
          </w:p>
        </w:tc>
        <w:tc>
          <w:tcPr>
            <w:tcW w:w="398" w:type="pct"/>
            <w:tcBorders>
              <w:top w:val="nil"/>
              <w:left w:val="nil"/>
              <w:bottom w:val="nil"/>
              <w:right w:val="nil"/>
            </w:tcBorders>
            <w:shd w:val="clear" w:color="auto" w:fill="65AD82"/>
            <w:noWrap/>
          </w:tcPr>
          <w:p w:rsidR="00BB3652" w:rsidRPr="00BB3652" w:rsidRDefault="00BB3652" w:rsidP="00BB3652">
            <w:pPr>
              <w:jc w:val="center"/>
              <w:rPr>
                <w:b/>
                <w:color w:val="FFFFFF" w:themeColor="background1"/>
                <w:sz w:val="16"/>
                <w:szCs w:val="16"/>
              </w:rPr>
            </w:pPr>
            <w:r w:rsidRPr="00BB3652">
              <w:rPr>
                <w:b/>
                <w:color w:val="FFFFFF" w:themeColor="background1"/>
                <w:sz w:val="16"/>
                <w:szCs w:val="16"/>
              </w:rPr>
              <w:t>66,7</w:t>
            </w:r>
          </w:p>
        </w:tc>
        <w:tc>
          <w:tcPr>
            <w:tcW w:w="458" w:type="pct"/>
            <w:tcBorders>
              <w:top w:val="nil"/>
              <w:left w:val="nil"/>
              <w:bottom w:val="nil"/>
              <w:right w:val="nil"/>
            </w:tcBorders>
            <w:shd w:val="clear" w:color="auto" w:fill="65AD82"/>
            <w:noWrap/>
          </w:tcPr>
          <w:p w:rsidR="00BB3652" w:rsidRPr="00BB3652" w:rsidRDefault="00BB3652" w:rsidP="00BB3652">
            <w:pPr>
              <w:jc w:val="center"/>
              <w:rPr>
                <w:b/>
                <w:color w:val="FFFFFF" w:themeColor="background1"/>
                <w:sz w:val="16"/>
                <w:szCs w:val="16"/>
              </w:rPr>
            </w:pPr>
            <w:r w:rsidRPr="00BB3652">
              <w:rPr>
                <w:b/>
                <w:color w:val="FFFFFF" w:themeColor="background1"/>
                <w:sz w:val="16"/>
                <w:szCs w:val="16"/>
              </w:rPr>
              <w:t>66,7</w:t>
            </w:r>
          </w:p>
        </w:tc>
        <w:tc>
          <w:tcPr>
            <w:tcW w:w="292" w:type="pct"/>
            <w:tcBorders>
              <w:top w:val="nil"/>
              <w:left w:val="nil"/>
              <w:bottom w:val="nil"/>
              <w:right w:val="nil"/>
            </w:tcBorders>
            <w:shd w:val="clear" w:color="auto" w:fill="65AD82"/>
            <w:noWrap/>
          </w:tcPr>
          <w:p w:rsidR="00BB3652" w:rsidRPr="00BB3652" w:rsidRDefault="00BB3652" w:rsidP="00BB3652">
            <w:pPr>
              <w:jc w:val="center"/>
              <w:rPr>
                <w:b/>
                <w:color w:val="FFFFFF" w:themeColor="background1"/>
                <w:sz w:val="16"/>
                <w:szCs w:val="16"/>
              </w:rPr>
            </w:pPr>
            <w:r w:rsidRPr="00BB3652">
              <w:rPr>
                <w:b/>
                <w:color w:val="FFFFFF" w:themeColor="background1"/>
                <w:sz w:val="16"/>
                <w:szCs w:val="16"/>
              </w:rPr>
              <w:t>66,7</w:t>
            </w:r>
          </w:p>
        </w:tc>
        <w:tc>
          <w:tcPr>
            <w:tcW w:w="292" w:type="pct"/>
            <w:tcBorders>
              <w:top w:val="nil"/>
              <w:left w:val="nil"/>
              <w:bottom w:val="nil"/>
              <w:right w:val="nil"/>
            </w:tcBorders>
            <w:shd w:val="clear" w:color="auto" w:fill="65AD82"/>
            <w:noWrap/>
          </w:tcPr>
          <w:p w:rsidR="00BB3652" w:rsidRPr="00BB3652" w:rsidRDefault="00BB3652" w:rsidP="00BB3652">
            <w:pPr>
              <w:jc w:val="center"/>
              <w:rPr>
                <w:b/>
                <w:color w:val="FFFFFF" w:themeColor="background1"/>
                <w:sz w:val="16"/>
                <w:szCs w:val="16"/>
              </w:rPr>
            </w:pPr>
            <w:r w:rsidRPr="00BB3652">
              <w:rPr>
                <w:b/>
                <w:color w:val="FFFFFF" w:themeColor="background1"/>
                <w:sz w:val="16"/>
                <w:szCs w:val="16"/>
              </w:rPr>
              <w:t>66,7</w:t>
            </w:r>
          </w:p>
        </w:tc>
        <w:tc>
          <w:tcPr>
            <w:tcW w:w="292" w:type="pct"/>
            <w:tcBorders>
              <w:top w:val="nil"/>
              <w:left w:val="nil"/>
              <w:bottom w:val="nil"/>
              <w:right w:val="nil"/>
            </w:tcBorders>
            <w:shd w:val="clear" w:color="auto" w:fill="65AD82"/>
            <w:noWrap/>
          </w:tcPr>
          <w:p w:rsidR="00BB3652" w:rsidRPr="00BB3652" w:rsidRDefault="00BB3652" w:rsidP="00BB3652">
            <w:pPr>
              <w:jc w:val="center"/>
              <w:rPr>
                <w:b/>
                <w:color w:val="FFFFFF" w:themeColor="background1"/>
                <w:sz w:val="16"/>
                <w:szCs w:val="16"/>
              </w:rPr>
            </w:pPr>
            <w:r w:rsidRPr="00BB3652">
              <w:rPr>
                <w:b/>
                <w:color w:val="FFFFFF" w:themeColor="background1"/>
                <w:sz w:val="16"/>
                <w:szCs w:val="16"/>
              </w:rPr>
              <w:t>66,7</w:t>
            </w:r>
          </w:p>
        </w:tc>
        <w:tc>
          <w:tcPr>
            <w:tcW w:w="298" w:type="pct"/>
            <w:tcBorders>
              <w:top w:val="nil"/>
              <w:left w:val="nil"/>
              <w:bottom w:val="nil"/>
              <w:right w:val="nil"/>
            </w:tcBorders>
            <w:shd w:val="clear" w:color="auto" w:fill="65AD82"/>
            <w:noWrap/>
          </w:tcPr>
          <w:p w:rsidR="00BB3652" w:rsidRPr="00BB3652" w:rsidRDefault="00BB3652" w:rsidP="00BB3652">
            <w:pPr>
              <w:jc w:val="center"/>
              <w:rPr>
                <w:b/>
                <w:color w:val="FFFFFF" w:themeColor="background1"/>
                <w:sz w:val="16"/>
                <w:szCs w:val="16"/>
              </w:rPr>
            </w:pPr>
            <w:r w:rsidRPr="00BB3652">
              <w:rPr>
                <w:b/>
                <w:color w:val="FFFFFF" w:themeColor="background1"/>
                <w:sz w:val="16"/>
                <w:szCs w:val="16"/>
              </w:rPr>
              <w:t>0,0</w:t>
            </w:r>
          </w:p>
        </w:tc>
        <w:tc>
          <w:tcPr>
            <w:tcW w:w="354" w:type="pct"/>
            <w:tcBorders>
              <w:top w:val="nil"/>
              <w:left w:val="nil"/>
              <w:bottom w:val="nil"/>
              <w:right w:val="nil"/>
            </w:tcBorders>
            <w:shd w:val="clear" w:color="auto" w:fill="65AD82"/>
            <w:noWrap/>
          </w:tcPr>
          <w:p w:rsidR="00BB3652" w:rsidRPr="00BB3652" w:rsidRDefault="00BB3652" w:rsidP="00BB3652">
            <w:pPr>
              <w:jc w:val="center"/>
              <w:rPr>
                <w:b/>
                <w:color w:val="FFFFFF" w:themeColor="background1"/>
                <w:sz w:val="16"/>
                <w:szCs w:val="16"/>
              </w:rPr>
            </w:pPr>
            <w:r w:rsidRPr="00BB3652">
              <w:rPr>
                <w:b/>
                <w:color w:val="FFFFFF" w:themeColor="background1"/>
                <w:sz w:val="16"/>
                <w:szCs w:val="16"/>
              </w:rPr>
              <w:t>56,0</w:t>
            </w:r>
          </w:p>
        </w:tc>
      </w:tr>
      <w:tr w:rsidR="004A14B1" w:rsidRPr="004A14B1" w:rsidTr="00BB3652">
        <w:trPr>
          <w:trHeight w:val="315"/>
        </w:trPr>
        <w:tc>
          <w:tcPr>
            <w:tcW w:w="5000" w:type="pct"/>
            <w:gridSpan w:val="9"/>
            <w:tcBorders>
              <w:top w:val="nil"/>
              <w:left w:val="nil"/>
              <w:bottom w:val="nil"/>
              <w:right w:val="nil"/>
            </w:tcBorders>
            <w:shd w:val="clear" w:color="auto" w:fill="F2F2F2" w:themeFill="background1" w:themeFillShade="F2"/>
            <w:noWrap/>
            <w:hideMark/>
          </w:tcPr>
          <w:p w:rsidR="00521C69" w:rsidRPr="004A14B1" w:rsidRDefault="00521C69" w:rsidP="004A14B1">
            <w:pPr>
              <w:rPr>
                <w:b/>
                <w:sz w:val="18"/>
                <w:szCs w:val="18"/>
              </w:rPr>
            </w:pPr>
            <w:r w:rsidRPr="004A14B1">
              <w:rPr>
                <w:b/>
                <w:sz w:val="18"/>
                <w:szCs w:val="18"/>
              </w:rPr>
              <w:t>INFORMACIÓN ECONÓMICA</w:t>
            </w:r>
          </w:p>
        </w:tc>
      </w:tr>
      <w:tr w:rsidR="002C41B4" w:rsidRPr="006D4C90" w:rsidTr="00BB3652">
        <w:trPr>
          <w:trHeight w:val="315"/>
        </w:trPr>
        <w:tc>
          <w:tcPr>
            <w:tcW w:w="2151" w:type="pct"/>
            <w:tcBorders>
              <w:top w:val="nil"/>
              <w:left w:val="nil"/>
              <w:bottom w:val="nil"/>
              <w:right w:val="nil"/>
            </w:tcBorders>
            <w:shd w:val="clear" w:color="auto" w:fill="F5FDFA"/>
            <w:noWrap/>
          </w:tcPr>
          <w:p w:rsidR="002C41B4" w:rsidRPr="006D4C90" w:rsidRDefault="002C41B4" w:rsidP="00BB3652">
            <w:pPr>
              <w:rPr>
                <w:rFonts w:eastAsia="Times New Roman" w:cs="Arial"/>
                <w:sz w:val="18"/>
                <w:szCs w:val="18"/>
                <w:lang w:eastAsia="es-ES"/>
              </w:rPr>
            </w:pPr>
            <w:r w:rsidRPr="002C41B4">
              <w:rPr>
                <w:rFonts w:eastAsia="Times New Roman" w:cs="Arial"/>
                <w:sz w:val="18"/>
                <w:szCs w:val="18"/>
                <w:lang w:eastAsia="es-ES"/>
              </w:rPr>
              <w:t>Contratos</w:t>
            </w:r>
          </w:p>
        </w:tc>
        <w:tc>
          <w:tcPr>
            <w:tcW w:w="465"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398"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458"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292"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292"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292"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298"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354"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r>
      <w:tr w:rsidR="00521C69" w:rsidRPr="006D4C90" w:rsidTr="00BB3652">
        <w:trPr>
          <w:trHeight w:val="315"/>
        </w:trPr>
        <w:tc>
          <w:tcPr>
            <w:tcW w:w="2151" w:type="pct"/>
            <w:tcBorders>
              <w:top w:val="nil"/>
              <w:left w:val="nil"/>
              <w:bottom w:val="nil"/>
              <w:right w:val="nil"/>
            </w:tcBorders>
            <w:shd w:val="clear" w:color="auto" w:fill="F5FDFA"/>
            <w:noWrap/>
            <w:hideMark/>
          </w:tcPr>
          <w:p w:rsidR="00521C69" w:rsidRPr="006D4C90" w:rsidRDefault="00521C69" w:rsidP="00BB3652">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521C69" w:rsidRPr="004061BC" w:rsidRDefault="00521C69" w:rsidP="00BB3652">
            <w:pPr>
              <w:jc w:val="center"/>
              <w:rPr>
                <w:sz w:val="16"/>
                <w:szCs w:val="16"/>
              </w:rPr>
            </w:pPr>
            <w:r>
              <w:rPr>
                <w:sz w:val="16"/>
                <w:szCs w:val="16"/>
              </w:rPr>
              <w:t>0,0</w:t>
            </w:r>
          </w:p>
        </w:tc>
        <w:tc>
          <w:tcPr>
            <w:tcW w:w="398" w:type="pct"/>
            <w:tcBorders>
              <w:top w:val="nil"/>
              <w:left w:val="nil"/>
              <w:bottom w:val="nil"/>
              <w:right w:val="nil"/>
            </w:tcBorders>
            <w:shd w:val="clear" w:color="auto" w:fill="F5FDFA"/>
            <w:noWrap/>
          </w:tcPr>
          <w:p w:rsidR="00521C69" w:rsidRPr="002C41B4" w:rsidRDefault="00521C69" w:rsidP="00BB3652">
            <w:pPr>
              <w:jc w:val="center"/>
              <w:rPr>
                <w:sz w:val="16"/>
                <w:szCs w:val="16"/>
              </w:rPr>
            </w:pPr>
            <w:r w:rsidRPr="00E76141">
              <w:rPr>
                <w:sz w:val="16"/>
                <w:szCs w:val="16"/>
              </w:rPr>
              <w:t>0,0</w:t>
            </w:r>
          </w:p>
        </w:tc>
        <w:tc>
          <w:tcPr>
            <w:tcW w:w="458" w:type="pct"/>
            <w:tcBorders>
              <w:top w:val="nil"/>
              <w:left w:val="nil"/>
              <w:bottom w:val="nil"/>
              <w:right w:val="nil"/>
            </w:tcBorders>
            <w:shd w:val="clear" w:color="auto" w:fill="F5FDFA"/>
            <w:noWrap/>
          </w:tcPr>
          <w:p w:rsidR="00521C69" w:rsidRPr="002C41B4" w:rsidRDefault="00521C69" w:rsidP="00BB3652">
            <w:pPr>
              <w:jc w:val="center"/>
              <w:rPr>
                <w:sz w:val="16"/>
                <w:szCs w:val="16"/>
              </w:rPr>
            </w:pPr>
            <w:r w:rsidRPr="00E76141">
              <w:rPr>
                <w:sz w:val="16"/>
                <w:szCs w:val="16"/>
              </w:rPr>
              <w:t>0,0</w:t>
            </w:r>
          </w:p>
        </w:tc>
        <w:tc>
          <w:tcPr>
            <w:tcW w:w="292" w:type="pct"/>
            <w:tcBorders>
              <w:top w:val="nil"/>
              <w:left w:val="nil"/>
              <w:bottom w:val="nil"/>
              <w:right w:val="nil"/>
            </w:tcBorders>
            <w:shd w:val="clear" w:color="auto" w:fill="F5FDFA"/>
            <w:noWrap/>
          </w:tcPr>
          <w:p w:rsidR="00521C69" w:rsidRPr="002C41B4" w:rsidRDefault="00521C69" w:rsidP="00BB3652">
            <w:pPr>
              <w:jc w:val="center"/>
              <w:rPr>
                <w:sz w:val="16"/>
                <w:szCs w:val="16"/>
              </w:rPr>
            </w:pPr>
            <w:r w:rsidRPr="00E76141">
              <w:rPr>
                <w:sz w:val="16"/>
                <w:szCs w:val="16"/>
              </w:rPr>
              <w:t>0,0</w:t>
            </w:r>
          </w:p>
        </w:tc>
        <w:tc>
          <w:tcPr>
            <w:tcW w:w="292" w:type="pct"/>
            <w:tcBorders>
              <w:top w:val="nil"/>
              <w:left w:val="nil"/>
              <w:bottom w:val="nil"/>
              <w:right w:val="nil"/>
            </w:tcBorders>
            <w:shd w:val="clear" w:color="auto" w:fill="F5FDFA"/>
            <w:noWrap/>
          </w:tcPr>
          <w:p w:rsidR="00521C69" w:rsidRPr="002C41B4" w:rsidRDefault="00521C69" w:rsidP="00BB3652">
            <w:pPr>
              <w:jc w:val="center"/>
              <w:rPr>
                <w:sz w:val="16"/>
                <w:szCs w:val="16"/>
              </w:rPr>
            </w:pPr>
            <w:r w:rsidRPr="00E76141">
              <w:rPr>
                <w:sz w:val="16"/>
                <w:szCs w:val="16"/>
              </w:rPr>
              <w:t>0,0</w:t>
            </w:r>
          </w:p>
        </w:tc>
        <w:tc>
          <w:tcPr>
            <w:tcW w:w="292" w:type="pct"/>
            <w:tcBorders>
              <w:top w:val="nil"/>
              <w:left w:val="nil"/>
              <w:bottom w:val="nil"/>
              <w:right w:val="nil"/>
            </w:tcBorders>
            <w:shd w:val="clear" w:color="auto" w:fill="F5FDFA"/>
            <w:noWrap/>
          </w:tcPr>
          <w:p w:rsidR="00521C69" w:rsidRPr="002C41B4" w:rsidRDefault="00521C69" w:rsidP="00BB3652">
            <w:pPr>
              <w:jc w:val="center"/>
              <w:rPr>
                <w:sz w:val="16"/>
                <w:szCs w:val="16"/>
              </w:rPr>
            </w:pPr>
            <w:r w:rsidRPr="00E76141">
              <w:rPr>
                <w:sz w:val="16"/>
                <w:szCs w:val="16"/>
              </w:rPr>
              <w:t>0,0</w:t>
            </w:r>
          </w:p>
        </w:tc>
        <w:tc>
          <w:tcPr>
            <w:tcW w:w="298" w:type="pct"/>
            <w:tcBorders>
              <w:top w:val="nil"/>
              <w:left w:val="nil"/>
              <w:bottom w:val="nil"/>
              <w:right w:val="nil"/>
            </w:tcBorders>
            <w:shd w:val="clear" w:color="auto" w:fill="F5FDFA"/>
            <w:noWrap/>
          </w:tcPr>
          <w:p w:rsidR="00521C69" w:rsidRPr="002C41B4" w:rsidRDefault="00521C69" w:rsidP="00BB3652">
            <w:pPr>
              <w:jc w:val="center"/>
              <w:rPr>
                <w:sz w:val="16"/>
                <w:szCs w:val="16"/>
              </w:rPr>
            </w:pPr>
            <w:r w:rsidRPr="00E76141">
              <w:rPr>
                <w:sz w:val="16"/>
                <w:szCs w:val="16"/>
              </w:rPr>
              <w:t>0,0</w:t>
            </w:r>
          </w:p>
        </w:tc>
        <w:tc>
          <w:tcPr>
            <w:tcW w:w="354" w:type="pct"/>
            <w:tcBorders>
              <w:top w:val="nil"/>
              <w:left w:val="nil"/>
              <w:bottom w:val="nil"/>
              <w:right w:val="nil"/>
            </w:tcBorders>
            <w:shd w:val="clear" w:color="auto" w:fill="F5FDFA"/>
            <w:noWrap/>
          </w:tcPr>
          <w:p w:rsidR="00521C69" w:rsidRPr="002C41B4" w:rsidRDefault="00521C69" w:rsidP="00BB3652">
            <w:pPr>
              <w:jc w:val="center"/>
              <w:rPr>
                <w:sz w:val="16"/>
                <w:szCs w:val="16"/>
              </w:rPr>
            </w:pPr>
            <w:r w:rsidRPr="00E76141">
              <w:rPr>
                <w:sz w:val="16"/>
                <w:szCs w:val="16"/>
              </w:rPr>
              <w:t>0,0</w:t>
            </w:r>
          </w:p>
        </w:tc>
      </w:tr>
      <w:tr w:rsidR="00521C69" w:rsidRPr="006D4C90" w:rsidTr="00BB3652">
        <w:trPr>
          <w:trHeight w:val="315"/>
        </w:trPr>
        <w:tc>
          <w:tcPr>
            <w:tcW w:w="2151" w:type="pct"/>
            <w:tcBorders>
              <w:top w:val="nil"/>
              <w:left w:val="nil"/>
              <w:bottom w:val="nil"/>
              <w:right w:val="nil"/>
            </w:tcBorders>
            <w:shd w:val="clear" w:color="auto" w:fill="F5FDFA"/>
            <w:noWrap/>
          </w:tcPr>
          <w:p w:rsidR="00521C69" w:rsidRPr="006D4C90" w:rsidRDefault="00521C69" w:rsidP="00BB3652">
            <w:pPr>
              <w:rPr>
                <w:rFonts w:eastAsia="Times New Roman" w:cs="Arial"/>
                <w:sz w:val="18"/>
                <w:szCs w:val="18"/>
                <w:lang w:eastAsia="es-ES"/>
              </w:rPr>
            </w:pPr>
            <w:r w:rsidRPr="003543A0">
              <w:rPr>
                <w:rFonts w:eastAsia="Times New Roman" w:cs="Arial"/>
                <w:sz w:val="18"/>
                <w:szCs w:val="18"/>
                <w:lang w:eastAsia="es-ES"/>
              </w:rPr>
              <w:t>Subvenciones</w:t>
            </w:r>
            <w:r w:rsidRPr="003543A0">
              <w:rPr>
                <w:rFonts w:eastAsia="Times New Roman" w:cs="Arial"/>
                <w:sz w:val="18"/>
                <w:szCs w:val="18"/>
                <w:lang w:eastAsia="es-ES"/>
              </w:rPr>
              <w:tab/>
            </w:r>
          </w:p>
        </w:tc>
        <w:tc>
          <w:tcPr>
            <w:tcW w:w="465" w:type="pct"/>
            <w:tcBorders>
              <w:top w:val="nil"/>
              <w:left w:val="nil"/>
              <w:bottom w:val="nil"/>
              <w:right w:val="nil"/>
            </w:tcBorders>
            <w:shd w:val="clear" w:color="auto" w:fill="F5FDFA"/>
            <w:noWrap/>
          </w:tcPr>
          <w:p w:rsidR="00521C69" w:rsidRPr="003543A0" w:rsidRDefault="00521C69" w:rsidP="00BB3652">
            <w:pPr>
              <w:jc w:val="center"/>
              <w:rPr>
                <w:sz w:val="16"/>
                <w:szCs w:val="16"/>
              </w:rPr>
            </w:pPr>
            <w:r w:rsidRPr="003543A0">
              <w:rPr>
                <w:sz w:val="16"/>
                <w:szCs w:val="16"/>
              </w:rPr>
              <w:t>0,0</w:t>
            </w:r>
          </w:p>
        </w:tc>
        <w:tc>
          <w:tcPr>
            <w:tcW w:w="398" w:type="pct"/>
            <w:tcBorders>
              <w:top w:val="nil"/>
              <w:left w:val="nil"/>
              <w:bottom w:val="nil"/>
              <w:right w:val="nil"/>
            </w:tcBorders>
            <w:shd w:val="clear" w:color="auto" w:fill="F5FDFA"/>
            <w:noWrap/>
          </w:tcPr>
          <w:p w:rsidR="00521C69" w:rsidRPr="003543A0" w:rsidRDefault="00521C69" w:rsidP="00BB3652">
            <w:pPr>
              <w:jc w:val="center"/>
              <w:rPr>
                <w:sz w:val="16"/>
                <w:szCs w:val="16"/>
              </w:rPr>
            </w:pPr>
            <w:r w:rsidRPr="003543A0">
              <w:rPr>
                <w:sz w:val="16"/>
                <w:szCs w:val="16"/>
              </w:rPr>
              <w:t>0,0</w:t>
            </w:r>
          </w:p>
        </w:tc>
        <w:tc>
          <w:tcPr>
            <w:tcW w:w="458" w:type="pct"/>
            <w:tcBorders>
              <w:top w:val="nil"/>
              <w:left w:val="nil"/>
              <w:bottom w:val="nil"/>
              <w:right w:val="nil"/>
            </w:tcBorders>
            <w:shd w:val="clear" w:color="auto" w:fill="F5FDFA"/>
            <w:noWrap/>
          </w:tcPr>
          <w:p w:rsidR="00521C69" w:rsidRPr="003543A0" w:rsidRDefault="00521C69" w:rsidP="00BB3652">
            <w:pPr>
              <w:jc w:val="center"/>
              <w:rPr>
                <w:sz w:val="16"/>
                <w:szCs w:val="16"/>
              </w:rPr>
            </w:pPr>
            <w:r w:rsidRPr="003543A0">
              <w:rPr>
                <w:sz w:val="16"/>
                <w:szCs w:val="16"/>
              </w:rPr>
              <w:t>0,0</w:t>
            </w:r>
          </w:p>
        </w:tc>
        <w:tc>
          <w:tcPr>
            <w:tcW w:w="292" w:type="pct"/>
            <w:tcBorders>
              <w:top w:val="nil"/>
              <w:left w:val="nil"/>
              <w:bottom w:val="nil"/>
              <w:right w:val="nil"/>
            </w:tcBorders>
            <w:shd w:val="clear" w:color="auto" w:fill="F5FDFA"/>
            <w:noWrap/>
          </w:tcPr>
          <w:p w:rsidR="00521C69" w:rsidRPr="003543A0" w:rsidRDefault="00521C69" w:rsidP="00BB3652">
            <w:pPr>
              <w:jc w:val="center"/>
              <w:rPr>
                <w:sz w:val="16"/>
                <w:szCs w:val="16"/>
              </w:rPr>
            </w:pPr>
            <w:r w:rsidRPr="003543A0">
              <w:rPr>
                <w:sz w:val="16"/>
                <w:szCs w:val="16"/>
              </w:rPr>
              <w:t>0,0</w:t>
            </w:r>
          </w:p>
        </w:tc>
        <w:tc>
          <w:tcPr>
            <w:tcW w:w="292" w:type="pct"/>
            <w:tcBorders>
              <w:top w:val="nil"/>
              <w:left w:val="nil"/>
              <w:bottom w:val="nil"/>
              <w:right w:val="nil"/>
            </w:tcBorders>
            <w:shd w:val="clear" w:color="auto" w:fill="F5FDFA"/>
            <w:noWrap/>
          </w:tcPr>
          <w:p w:rsidR="00521C69" w:rsidRPr="003543A0" w:rsidRDefault="00521C69" w:rsidP="00BB3652">
            <w:pPr>
              <w:jc w:val="center"/>
              <w:rPr>
                <w:sz w:val="16"/>
                <w:szCs w:val="16"/>
              </w:rPr>
            </w:pPr>
            <w:r w:rsidRPr="003543A0">
              <w:rPr>
                <w:sz w:val="16"/>
                <w:szCs w:val="16"/>
              </w:rPr>
              <w:t>0,0</w:t>
            </w:r>
          </w:p>
        </w:tc>
        <w:tc>
          <w:tcPr>
            <w:tcW w:w="292" w:type="pct"/>
            <w:tcBorders>
              <w:top w:val="nil"/>
              <w:left w:val="nil"/>
              <w:bottom w:val="nil"/>
              <w:right w:val="nil"/>
            </w:tcBorders>
            <w:shd w:val="clear" w:color="auto" w:fill="F5FDFA"/>
            <w:noWrap/>
          </w:tcPr>
          <w:p w:rsidR="00521C69" w:rsidRPr="003543A0" w:rsidRDefault="00521C69" w:rsidP="00BB3652">
            <w:pPr>
              <w:jc w:val="center"/>
              <w:rPr>
                <w:sz w:val="16"/>
                <w:szCs w:val="16"/>
              </w:rPr>
            </w:pPr>
            <w:r w:rsidRPr="003543A0">
              <w:rPr>
                <w:sz w:val="16"/>
                <w:szCs w:val="16"/>
              </w:rPr>
              <w:t>0,0</w:t>
            </w:r>
          </w:p>
        </w:tc>
        <w:tc>
          <w:tcPr>
            <w:tcW w:w="298" w:type="pct"/>
            <w:tcBorders>
              <w:top w:val="nil"/>
              <w:left w:val="nil"/>
              <w:bottom w:val="nil"/>
              <w:right w:val="nil"/>
            </w:tcBorders>
            <w:shd w:val="clear" w:color="auto" w:fill="F5FDFA"/>
            <w:noWrap/>
          </w:tcPr>
          <w:p w:rsidR="00521C69" w:rsidRPr="003543A0" w:rsidRDefault="00521C69" w:rsidP="00BB3652">
            <w:pPr>
              <w:jc w:val="center"/>
              <w:rPr>
                <w:sz w:val="16"/>
                <w:szCs w:val="16"/>
              </w:rPr>
            </w:pPr>
            <w:r w:rsidRPr="003543A0">
              <w:rPr>
                <w:sz w:val="16"/>
                <w:szCs w:val="16"/>
              </w:rPr>
              <w:t>0,0</w:t>
            </w:r>
          </w:p>
        </w:tc>
        <w:tc>
          <w:tcPr>
            <w:tcW w:w="354" w:type="pct"/>
            <w:tcBorders>
              <w:top w:val="nil"/>
              <w:left w:val="nil"/>
              <w:bottom w:val="nil"/>
              <w:right w:val="nil"/>
            </w:tcBorders>
            <w:shd w:val="clear" w:color="auto" w:fill="F5FDFA"/>
            <w:noWrap/>
          </w:tcPr>
          <w:p w:rsidR="00521C69" w:rsidRPr="003543A0" w:rsidRDefault="00521C69" w:rsidP="00BB3652">
            <w:pPr>
              <w:jc w:val="center"/>
              <w:rPr>
                <w:sz w:val="16"/>
                <w:szCs w:val="16"/>
              </w:rPr>
            </w:pPr>
            <w:r w:rsidRPr="003543A0">
              <w:rPr>
                <w:sz w:val="16"/>
                <w:szCs w:val="16"/>
              </w:rPr>
              <w:t>0,0</w:t>
            </w:r>
          </w:p>
        </w:tc>
      </w:tr>
      <w:tr w:rsidR="00521C69" w:rsidRPr="003543A0" w:rsidTr="00BB3652">
        <w:trPr>
          <w:trHeight w:val="315"/>
        </w:trPr>
        <w:tc>
          <w:tcPr>
            <w:tcW w:w="2151" w:type="pct"/>
            <w:tcBorders>
              <w:top w:val="nil"/>
              <w:left w:val="nil"/>
              <w:bottom w:val="nil"/>
              <w:right w:val="nil"/>
            </w:tcBorders>
            <w:shd w:val="clear" w:color="auto" w:fill="F5FDFA"/>
            <w:noWrap/>
          </w:tcPr>
          <w:p w:rsidR="00521C69" w:rsidRPr="003543A0" w:rsidRDefault="00521C69" w:rsidP="00BB3652">
            <w:pPr>
              <w:rPr>
                <w:rFonts w:eastAsia="Times New Roman" w:cs="Arial"/>
                <w:sz w:val="18"/>
                <w:szCs w:val="18"/>
                <w:lang w:eastAsia="es-ES"/>
              </w:rPr>
            </w:pPr>
            <w:r w:rsidRPr="003543A0">
              <w:rPr>
                <w:rFonts w:eastAsia="Times New Roman" w:cs="Arial"/>
                <w:sz w:val="18"/>
                <w:szCs w:val="18"/>
                <w:lang w:eastAsia="es-ES"/>
              </w:rPr>
              <w:t>Presupuestos</w:t>
            </w:r>
          </w:p>
        </w:tc>
        <w:tc>
          <w:tcPr>
            <w:tcW w:w="465" w:type="pct"/>
            <w:tcBorders>
              <w:top w:val="nil"/>
              <w:left w:val="nil"/>
              <w:bottom w:val="nil"/>
              <w:right w:val="nil"/>
            </w:tcBorders>
            <w:shd w:val="clear" w:color="auto" w:fill="F5FDFA"/>
            <w:noWrap/>
          </w:tcPr>
          <w:p w:rsidR="00521C69" w:rsidRPr="003543A0" w:rsidRDefault="00521C69" w:rsidP="00BB3652">
            <w:pPr>
              <w:jc w:val="center"/>
              <w:rPr>
                <w:sz w:val="16"/>
                <w:szCs w:val="16"/>
              </w:rPr>
            </w:pPr>
            <w:r w:rsidRPr="003543A0">
              <w:rPr>
                <w:sz w:val="16"/>
                <w:szCs w:val="16"/>
              </w:rPr>
              <w:t>0,0</w:t>
            </w:r>
          </w:p>
        </w:tc>
        <w:tc>
          <w:tcPr>
            <w:tcW w:w="398" w:type="pct"/>
            <w:tcBorders>
              <w:top w:val="nil"/>
              <w:left w:val="nil"/>
              <w:bottom w:val="nil"/>
              <w:right w:val="nil"/>
            </w:tcBorders>
            <w:shd w:val="clear" w:color="auto" w:fill="F5FDFA"/>
            <w:noWrap/>
          </w:tcPr>
          <w:p w:rsidR="00521C69" w:rsidRPr="003543A0" w:rsidRDefault="00521C69" w:rsidP="00BB3652">
            <w:pPr>
              <w:jc w:val="center"/>
              <w:rPr>
                <w:sz w:val="16"/>
                <w:szCs w:val="16"/>
              </w:rPr>
            </w:pPr>
            <w:r w:rsidRPr="003543A0">
              <w:rPr>
                <w:sz w:val="16"/>
                <w:szCs w:val="16"/>
              </w:rPr>
              <w:t>0,0</w:t>
            </w:r>
          </w:p>
        </w:tc>
        <w:tc>
          <w:tcPr>
            <w:tcW w:w="458" w:type="pct"/>
            <w:tcBorders>
              <w:top w:val="nil"/>
              <w:left w:val="nil"/>
              <w:bottom w:val="nil"/>
              <w:right w:val="nil"/>
            </w:tcBorders>
            <w:shd w:val="clear" w:color="auto" w:fill="F5FDFA"/>
            <w:noWrap/>
          </w:tcPr>
          <w:p w:rsidR="00521C69" w:rsidRPr="003543A0" w:rsidRDefault="00521C69" w:rsidP="00BB3652">
            <w:pPr>
              <w:jc w:val="center"/>
              <w:rPr>
                <w:sz w:val="16"/>
                <w:szCs w:val="16"/>
              </w:rPr>
            </w:pPr>
            <w:r w:rsidRPr="003543A0">
              <w:rPr>
                <w:sz w:val="16"/>
                <w:szCs w:val="16"/>
              </w:rPr>
              <w:t>0,0</w:t>
            </w:r>
          </w:p>
        </w:tc>
        <w:tc>
          <w:tcPr>
            <w:tcW w:w="292" w:type="pct"/>
            <w:tcBorders>
              <w:top w:val="nil"/>
              <w:left w:val="nil"/>
              <w:bottom w:val="nil"/>
              <w:right w:val="nil"/>
            </w:tcBorders>
            <w:shd w:val="clear" w:color="auto" w:fill="F5FDFA"/>
            <w:noWrap/>
          </w:tcPr>
          <w:p w:rsidR="00521C69" w:rsidRPr="003543A0" w:rsidRDefault="00521C69" w:rsidP="00BB3652">
            <w:pPr>
              <w:jc w:val="center"/>
              <w:rPr>
                <w:sz w:val="16"/>
                <w:szCs w:val="16"/>
              </w:rPr>
            </w:pPr>
            <w:r w:rsidRPr="003543A0">
              <w:rPr>
                <w:sz w:val="16"/>
                <w:szCs w:val="16"/>
              </w:rPr>
              <w:t>0,0</w:t>
            </w:r>
          </w:p>
        </w:tc>
        <w:tc>
          <w:tcPr>
            <w:tcW w:w="292" w:type="pct"/>
            <w:tcBorders>
              <w:top w:val="nil"/>
              <w:left w:val="nil"/>
              <w:bottom w:val="nil"/>
              <w:right w:val="nil"/>
            </w:tcBorders>
            <w:shd w:val="clear" w:color="auto" w:fill="F5FDFA"/>
            <w:noWrap/>
          </w:tcPr>
          <w:p w:rsidR="00521C69" w:rsidRPr="003543A0" w:rsidRDefault="00521C69" w:rsidP="00BB3652">
            <w:pPr>
              <w:jc w:val="center"/>
              <w:rPr>
                <w:sz w:val="16"/>
                <w:szCs w:val="16"/>
              </w:rPr>
            </w:pPr>
            <w:r w:rsidRPr="003543A0">
              <w:rPr>
                <w:sz w:val="16"/>
                <w:szCs w:val="16"/>
              </w:rPr>
              <w:t>0,0</w:t>
            </w:r>
          </w:p>
        </w:tc>
        <w:tc>
          <w:tcPr>
            <w:tcW w:w="292" w:type="pct"/>
            <w:tcBorders>
              <w:top w:val="nil"/>
              <w:left w:val="nil"/>
              <w:bottom w:val="nil"/>
              <w:right w:val="nil"/>
            </w:tcBorders>
            <w:shd w:val="clear" w:color="auto" w:fill="F5FDFA"/>
            <w:noWrap/>
          </w:tcPr>
          <w:p w:rsidR="00521C69" w:rsidRPr="003543A0" w:rsidRDefault="00521C69" w:rsidP="00BB3652">
            <w:pPr>
              <w:jc w:val="center"/>
              <w:rPr>
                <w:sz w:val="16"/>
                <w:szCs w:val="16"/>
              </w:rPr>
            </w:pPr>
            <w:r w:rsidRPr="003543A0">
              <w:rPr>
                <w:sz w:val="16"/>
                <w:szCs w:val="16"/>
              </w:rPr>
              <w:t>0,0</w:t>
            </w:r>
          </w:p>
        </w:tc>
        <w:tc>
          <w:tcPr>
            <w:tcW w:w="298" w:type="pct"/>
            <w:tcBorders>
              <w:top w:val="nil"/>
              <w:left w:val="nil"/>
              <w:bottom w:val="nil"/>
              <w:right w:val="nil"/>
            </w:tcBorders>
            <w:shd w:val="clear" w:color="auto" w:fill="F5FDFA"/>
            <w:noWrap/>
          </w:tcPr>
          <w:p w:rsidR="00521C69" w:rsidRPr="003543A0" w:rsidRDefault="00521C69" w:rsidP="00BB3652">
            <w:pPr>
              <w:jc w:val="center"/>
              <w:rPr>
                <w:sz w:val="16"/>
                <w:szCs w:val="16"/>
              </w:rPr>
            </w:pPr>
            <w:r w:rsidRPr="003543A0">
              <w:rPr>
                <w:sz w:val="16"/>
                <w:szCs w:val="16"/>
              </w:rPr>
              <w:t>0,0</w:t>
            </w:r>
          </w:p>
        </w:tc>
        <w:tc>
          <w:tcPr>
            <w:tcW w:w="354" w:type="pct"/>
            <w:tcBorders>
              <w:top w:val="nil"/>
              <w:left w:val="nil"/>
              <w:bottom w:val="nil"/>
              <w:right w:val="nil"/>
            </w:tcBorders>
            <w:shd w:val="clear" w:color="auto" w:fill="F5FDFA"/>
            <w:noWrap/>
          </w:tcPr>
          <w:p w:rsidR="00521C69" w:rsidRPr="003543A0" w:rsidRDefault="00521C69" w:rsidP="00BB3652">
            <w:pPr>
              <w:jc w:val="center"/>
              <w:rPr>
                <w:sz w:val="16"/>
                <w:szCs w:val="16"/>
              </w:rPr>
            </w:pPr>
            <w:r w:rsidRPr="003543A0">
              <w:rPr>
                <w:sz w:val="16"/>
                <w:szCs w:val="16"/>
              </w:rPr>
              <w:t>0,0</w:t>
            </w:r>
          </w:p>
        </w:tc>
      </w:tr>
      <w:tr w:rsidR="002C41B4" w:rsidRPr="003543A0" w:rsidTr="00BB3652">
        <w:trPr>
          <w:trHeight w:val="315"/>
        </w:trPr>
        <w:tc>
          <w:tcPr>
            <w:tcW w:w="2151" w:type="pct"/>
            <w:tcBorders>
              <w:top w:val="nil"/>
              <w:left w:val="nil"/>
              <w:bottom w:val="nil"/>
              <w:right w:val="nil"/>
            </w:tcBorders>
            <w:shd w:val="clear" w:color="auto" w:fill="F5FDFA"/>
            <w:noWrap/>
          </w:tcPr>
          <w:p w:rsidR="002C41B4" w:rsidRPr="003543A0" w:rsidRDefault="002C41B4" w:rsidP="00BB3652">
            <w:pPr>
              <w:rPr>
                <w:rFonts w:eastAsia="Times New Roman" w:cs="Arial"/>
                <w:sz w:val="18"/>
                <w:szCs w:val="18"/>
                <w:lang w:eastAsia="es-ES"/>
              </w:rPr>
            </w:pPr>
            <w:r w:rsidRPr="003543A0">
              <w:rPr>
                <w:rFonts w:eastAsia="Times New Roman" w:cs="Arial"/>
                <w:sz w:val="18"/>
                <w:szCs w:val="18"/>
                <w:lang w:eastAsia="es-ES"/>
              </w:rPr>
              <w:t>Cuentas</w:t>
            </w:r>
          </w:p>
        </w:tc>
        <w:tc>
          <w:tcPr>
            <w:tcW w:w="465"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398"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458"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292"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292"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292"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298"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354"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r>
      <w:tr w:rsidR="002C41B4" w:rsidRPr="003543A0" w:rsidTr="00BB3652">
        <w:trPr>
          <w:trHeight w:val="315"/>
        </w:trPr>
        <w:tc>
          <w:tcPr>
            <w:tcW w:w="2151" w:type="pct"/>
            <w:tcBorders>
              <w:top w:val="nil"/>
              <w:left w:val="nil"/>
              <w:bottom w:val="nil"/>
              <w:right w:val="nil"/>
            </w:tcBorders>
            <w:shd w:val="clear" w:color="auto" w:fill="F5FDFA"/>
            <w:noWrap/>
          </w:tcPr>
          <w:p w:rsidR="002C41B4" w:rsidRPr="003543A0" w:rsidRDefault="002C41B4" w:rsidP="00BB3652">
            <w:pPr>
              <w:rPr>
                <w:rFonts w:eastAsia="Times New Roman" w:cs="Arial"/>
                <w:sz w:val="18"/>
                <w:szCs w:val="18"/>
                <w:lang w:eastAsia="es-ES"/>
              </w:rPr>
            </w:pPr>
            <w:r w:rsidRPr="002C41B4">
              <w:rPr>
                <w:rFonts w:eastAsia="Times New Roman" w:cs="Arial"/>
                <w:sz w:val="18"/>
                <w:szCs w:val="18"/>
                <w:lang w:eastAsia="es-ES"/>
              </w:rPr>
              <w:t>Retribuciones</w:t>
            </w:r>
          </w:p>
        </w:tc>
        <w:tc>
          <w:tcPr>
            <w:tcW w:w="465"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398"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458"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292"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292"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292"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298"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c>
          <w:tcPr>
            <w:tcW w:w="354" w:type="pct"/>
            <w:tcBorders>
              <w:top w:val="nil"/>
              <w:left w:val="nil"/>
              <w:bottom w:val="nil"/>
              <w:right w:val="nil"/>
            </w:tcBorders>
            <w:shd w:val="clear" w:color="auto" w:fill="F5FDFA"/>
            <w:noWrap/>
          </w:tcPr>
          <w:p w:rsidR="002C41B4" w:rsidRPr="002C41B4" w:rsidRDefault="002C41B4" w:rsidP="002C41B4">
            <w:pPr>
              <w:jc w:val="center"/>
              <w:rPr>
                <w:sz w:val="16"/>
                <w:szCs w:val="16"/>
              </w:rPr>
            </w:pPr>
            <w:r w:rsidRPr="002C41B4">
              <w:rPr>
                <w:sz w:val="16"/>
                <w:szCs w:val="16"/>
              </w:rPr>
              <w:t>0,0</w:t>
            </w:r>
          </w:p>
        </w:tc>
      </w:tr>
      <w:tr w:rsidR="00BB3652" w:rsidRPr="003543A0" w:rsidTr="00BB3652">
        <w:trPr>
          <w:trHeight w:val="315"/>
        </w:trPr>
        <w:tc>
          <w:tcPr>
            <w:tcW w:w="2151" w:type="pct"/>
            <w:tcBorders>
              <w:top w:val="nil"/>
              <w:left w:val="nil"/>
              <w:bottom w:val="nil"/>
              <w:right w:val="nil"/>
            </w:tcBorders>
            <w:shd w:val="clear" w:color="auto" w:fill="65AD82"/>
            <w:noWrap/>
            <w:hideMark/>
          </w:tcPr>
          <w:p w:rsidR="00BB3652" w:rsidRPr="006D4C90" w:rsidRDefault="00BB3652" w:rsidP="00BB3652">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BB3652" w:rsidRPr="003543A0" w:rsidRDefault="00BB3652" w:rsidP="00BB3652">
            <w:pPr>
              <w:jc w:val="center"/>
              <w:rPr>
                <w:b/>
                <w:color w:val="FFFFFF" w:themeColor="background1"/>
                <w:sz w:val="16"/>
                <w:szCs w:val="16"/>
              </w:rPr>
            </w:pPr>
            <w:r w:rsidRPr="00BB3652">
              <w:rPr>
                <w:b/>
                <w:color w:val="FFFFFF" w:themeColor="background1"/>
                <w:sz w:val="16"/>
                <w:szCs w:val="16"/>
              </w:rPr>
              <w:t>0,0</w:t>
            </w:r>
          </w:p>
        </w:tc>
        <w:tc>
          <w:tcPr>
            <w:tcW w:w="398" w:type="pct"/>
            <w:tcBorders>
              <w:top w:val="nil"/>
              <w:left w:val="nil"/>
              <w:bottom w:val="nil"/>
              <w:right w:val="nil"/>
            </w:tcBorders>
            <w:shd w:val="clear" w:color="auto" w:fill="65AD82"/>
            <w:noWrap/>
          </w:tcPr>
          <w:p w:rsidR="00BB3652" w:rsidRDefault="00BB3652" w:rsidP="00BB3652">
            <w:pPr>
              <w:jc w:val="center"/>
            </w:pPr>
            <w:r w:rsidRPr="006C76FC">
              <w:rPr>
                <w:b/>
                <w:color w:val="FFFFFF" w:themeColor="background1"/>
                <w:sz w:val="16"/>
                <w:szCs w:val="16"/>
              </w:rPr>
              <w:t>0,0</w:t>
            </w:r>
          </w:p>
        </w:tc>
        <w:tc>
          <w:tcPr>
            <w:tcW w:w="458" w:type="pct"/>
            <w:tcBorders>
              <w:top w:val="nil"/>
              <w:left w:val="nil"/>
              <w:bottom w:val="nil"/>
              <w:right w:val="nil"/>
            </w:tcBorders>
            <w:shd w:val="clear" w:color="auto" w:fill="65AD82"/>
            <w:noWrap/>
          </w:tcPr>
          <w:p w:rsidR="00BB3652" w:rsidRDefault="00BB3652" w:rsidP="00BB3652">
            <w:pPr>
              <w:jc w:val="center"/>
            </w:pPr>
            <w:r w:rsidRPr="006C76FC">
              <w:rPr>
                <w:b/>
                <w:color w:val="FFFFFF" w:themeColor="background1"/>
                <w:sz w:val="16"/>
                <w:szCs w:val="16"/>
              </w:rPr>
              <w:t>0,0</w:t>
            </w:r>
          </w:p>
        </w:tc>
        <w:tc>
          <w:tcPr>
            <w:tcW w:w="292" w:type="pct"/>
            <w:tcBorders>
              <w:top w:val="nil"/>
              <w:left w:val="nil"/>
              <w:bottom w:val="nil"/>
              <w:right w:val="nil"/>
            </w:tcBorders>
            <w:shd w:val="clear" w:color="auto" w:fill="65AD82"/>
            <w:noWrap/>
          </w:tcPr>
          <w:p w:rsidR="00BB3652" w:rsidRDefault="00BB3652" w:rsidP="00BB3652">
            <w:pPr>
              <w:jc w:val="center"/>
            </w:pPr>
            <w:r w:rsidRPr="006C76FC">
              <w:rPr>
                <w:b/>
                <w:color w:val="FFFFFF" w:themeColor="background1"/>
                <w:sz w:val="16"/>
                <w:szCs w:val="16"/>
              </w:rPr>
              <w:t>0,0</w:t>
            </w:r>
          </w:p>
        </w:tc>
        <w:tc>
          <w:tcPr>
            <w:tcW w:w="292" w:type="pct"/>
            <w:tcBorders>
              <w:top w:val="nil"/>
              <w:left w:val="nil"/>
              <w:bottom w:val="nil"/>
              <w:right w:val="nil"/>
            </w:tcBorders>
            <w:shd w:val="clear" w:color="auto" w:fill="65AD82"/>
            <w:noWrap/>
          </w:tcPr>
          <w:p w:rsidR="00BB3652" w:rsidRDefault="00BB3652" w:rsidP="00BB3652">
            <w:pPr>
              <w:jc w:val="center"/>
            </w:pPr>
            <w:r w:rsidRPr="006C76FC">
              <w:rPr>
                <w:b/>
                <w:color w:val="FFFFFF" w:themeColor="background1"/>
                <w:sz w:val="16"/>
                <w:szCs w:val="16"/>
              </w:rPr>
              <w:t>0,0</w:t>
            </w:r>
          </w:p>
        </w:tc>
        <w:tc>
          <w:tcPr>
            <w:tcW w:w="292" w:type="pct"/>
            <w:tcBorders>
              <w:top w:val="nil"/>
              <w:left w:val="nil"/>
              <w:bottom w:val="nil"/>
              <w:right w:val="nil"/>
            </w:tcBorders>
            <w:shd w:val="clear" w:color="auto" w:fill="65AD82"/>
            <w:noWrap/>
          </w:tcPr>
          <w:p w:rsidR="00BB3652" w:rsidRDefault="00BB3652" w:rsidP="00BB3652">
            <w:pPr>
              <w:jc w:val="center"/>
            </w:pPr>
            <w:r w:rsidRPr="006C76FC">
              <w:rPr>
                <w:b/>
                <w:color w:val="FFFFFF" w:themeColor="background1"/>
                <w:sz w:val="16"/>
                <w:szCs w:val="16"/>
              </w:rPr>
              <w:t>0,0</w:t>
            </w:r>
          </w:p>
        </w:tc>
        <w:tc>
          <w:tcPr>
            <w:tcW w:w="298" w:type="pct"/>
            <w:tcBorders>
              <w:top w:val="nil"/>
              <w:left w:val="nil"/>
              <w:bottom w:val="nil"/>
              <w:right w:val="nil"/>
            </w:tcBorders>
            <w:shd w:val="clear" w:color="auto" w:fill="65AD82"/>
            <w:noWrap/>
          </w:tcPr>
          <w:p w:rsidR="00BB3652" w:rsidRDefault="00BB3652" w:rsidP="00BB3652">
            <w:pPr>
              <w:jc w:val="center"/>
            </w:pPr>
            <w:r w:rsidRPr="006C76FC">
              <w:rPr>
                <w:b/>
                <w:color w:val="FFFFFF" w:themeColor="background1"/>
                <w:sz w:val="16"/>
                <w:szCs w:val="16"/>
              </w:rPr>
              <w:t>0,0</w:t>
            </w:r>
          </w:p>
        </w:tc>
        <w:tc>
          <w:tcPr>
            <w:tcW w:w="354" w:type="pct"/>
            <w:tcBorders>
              <w:top w:val="nil"/>
              <w:left w:val="nil"/>
              <w:bottom w:val="nil"/>
              <w:right w:val="nil"/>
            </w:tcBorders>
            <w:shd w:val="clear" w:color="auto" w:fill="65AD82"/>
            <w:noWrap/>
          </w:tcPr>
          <w:p w:rsidR="00BB3652" w:rsidRDefault="00BB3652" w:rsidP="00BB3652">
            <w:pPr>
              <w:jc w:val="center"/>
            </w:pPr>
            <w:r w:rsidRPr="006C76FC">
              <w:rPr>
                <w:b/>
                <w:color w:val="FFFFFF" w:themeColor="background1"/>
                <w:sz w:val="16"/>
                <w:szCs w:val="16"/>
              </w:rPr>
              <w:t>0,0</w:t>
            </w:r>
          </w:p>
        </w:tc>
      </w:tr>
      <w:tr w:rsidR="00521C69" w:rsidRPr="006D4C90" w:rsidTr="00BB3652">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521C69" w:rsidRPr="006D4C90" w:rsidRDefault="00521C69" w:rsidP="00BB3652">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 (ICIO)</w:t>
            </w:r>
          </w:p>
        </w:tc>
        <w:tc>
          <w:tcPr>
            <w:tcW w:w="354" w:type="pct"/>
            <w:tcBorders>
              <w:top w:val="single" w:sz="4" w:space="0" w:color="333333"/>
              <w:left w:val="single" w:sz="4" w:space="0" w:color="993366"/>
              <w:bottom w:val="single" w:sz="4" w:space="0" w:color="333333"/>
              <w:right w:val="nil"/>
            </w:tcBorders>
            <w:shd w:val="clear" w:color="auto" w:fill="auto"/>
            <w:noWrap/>
          </w:tcPr>
          <w:p w:rsidR="00521C69" w:rsidRPr="006D4C90" w:rsidRDefault="00BB3652" w:rsidP="00BB3652">
            <w:pPr>
              <w:jc w:val="right"/>
              <w:rPr>
                <w:rFonts w:eastAsia="Times New Roman" w:cs="Arial"/>
                <w:b/>
                <w:sz w:val="18"/>
                <w:szCs w:val="18"/>
                <w:lang w:eastAsia="es-ES"/>
              </w:rPr>
            </w:pPr>
            <w:r>
              <w:rPr>
                <w:rFonts w:eastAsia="Times New Roman" w:cs="Arial"/>
                <w:b/>
                <w:sz w:val="18"/>
                <w:szCs w:val="18"/>
                <w:lang w:eastAsia="es-ES"/>
              </w:rPr>
              <w:t>30,1</w:t>
            </w:r>
          </w:p>
        </w:tc>
      </w:tr>
    </w:tbl>
    <w:p w:rsidR="00FA5AFD" w:rsidRDefault="00FA5AFD" w:rsidP="00F05E2C">
      <w:pPr>
        <w:pStyle w:val="Cuerpodelboletn"/>
        <w:rPr>
          <w:lang w:bidi="es-ES"/>
        </w:rPr>
      </w:pPr>
    </w:p>
    <w:p w:rsidR="00BB3652" w:rsidRDefault="004061BC" w:rsidP="00BB3652">
      <w:pPr>
        <w:pStyle w:val="Cuerpodelboletn"/>
        <w:rPr>
          <w:lang w:bidi="es-ES"/>
        </w:rPr>
      </w:pPr>
      <w:r>
        <w:rPr>
          <w:lang w:bidi="es-ES"/>
        </w:rPr>
        <w:t xml:space="preserve">El Índice de Cumplimiento de la Información Obligatoria (ICIO) se sitúa en el </w:t>
      </w:r>
      <w:r w:rsidR="00BB3652">
        <w:rPr>
          <w:lang w:bidi="es-ES"/>
        </w:rPr>
        <w:t>30,1</w:t>
      </w:r>
      <w:r>
        <w:rPr>
          <w:lang w:bidi="es-ES"/>
        </w:rPr>
        <w:t>%.</w:t>
      </w:r>
      <w:r w:rsidR="00BB3652">
        <w:rPr>
          <w:lang w:bidi="es-ES"/>
        </w:rPr>
        <w:t xml:space="preserve"> Respecto de 2020 se produce un incremento de 4,9 puntos porcentuales </w:t>
      </w:r>
      <w:r w:rsidR="00BB3652" w:rsidRPr="001D21D9">
        <w:rPr>
          <w:u w:val="single"/>
          <w:lang w:bidi="es-ES"/>
        </w:rPr>
        <w:t>atribuible exclusivamente</w:t>
      </w:r>
      <w:r w:rsidR="00BB3652">
        <w:rPr>
          <w:lang w:bidi="es-ES"/>
        </w:rPr>
        <w:t xml:space="preserve"> a la revisión efectuada de oficio de la obligación de publicar información sobre ejecución presupuestaria y del cumplimiento del atributo de publicación de la información en formatos reutilizables.</w:t>
      </w:r>
    </w:p>
    <w:p w:rsidR="00BB3652" w:rsidRDefault="00BB3652" w:rsidP="00BB3652">
      <w:pPr>
        <w:pStyle w:val="Cuerpodelboletn"/>
        <w:rPr>
          <w:lang w:bidi="es-ES"/>
        </w:rPr>
      </w:pPr>
      <w:r>
        <w:rPr>
          <w:lang w:bidi="es-ES"/>
        </w:rPr>
        <w:t xml:space="preserve">Por otra parte se ha revisado a la baja el cumplimiento de la obligación de publicar información sobre </w:t>
      </w:r>
      <w:r w:rsidR="00A670E9">
        <w:rPr>
          <w:lang w:bidi="es-ES"/>
        </w:rPr>
        <w:t>los informes de auditoría</w:t>
      </w:r>
      <w:r>
        <w:rPr>
          <w:lang w:bidi="es-ES"/>
        </w:rPr>
        <w:t xml:space="preserve">, dado que la última información publicada se corresponde con </w:t>
      </w:r>
      <w:r w:rsidR="00A670E9">
        <w:rPr>
          <w:lang w:bidi="es-ES"/>
        </w:rPr>
        <w:t>el</w:t>
      </w:r>
      <w:r>
        <w:rPr>
          <w:lang w:bidi="es-ES"/>
        </w:rPr>
        <w:t xml:space="preserve"> año 2018.</w:t>
      </w:r>
    </w:p>
    <w:p w:rsidR="00A670E9" w:rsidRDefault="00A670E9" w:rsidP="00F05E2C">
      <w:pPr>
        <w:pStyle w:val="Cuerpodelboletn"/>
      </w:pPr>
    </w:p>
    <w:p w:rsidR="00A670E9" w:rsidRDefault="00A670E9" w:rsidP="00F05E2C">
      <w:pPr>
        <w:pStyle w:val="Cuerpodelboletn"/>
        <w:sectPr w:rsidR="00A670E9"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BB3652" w:rsidP="00BB3652">
      <w:pPr>
        <w:pStyle w:val="Cuerpodelboletn"/>
      </w:pPr>
      <w:r>
        <w:t xml:space="preserve">Este CTBG no puede menos que </w:t>
      </w:r>
      <w:r w:rsidRPr="00BB3652">
        <w:rPr>
          <w:b/>
        </w:rPr>
        <w:t>valorar negativamente</w:t>
      </w:r>
      <w:r>
        <w:t xml:space="preserve"> la evolución del cumplimiento de las obligaciones de publicidad activa por parte de la Asociación 11 de Marzo. No se ha aplicado ninguna de las recomendaciones </w:t>
      </w:r>
      <w:r w:rsidR="001D21D9">
        <w:t>derivadas</w:t>
      </w:r>
      <w:r>
        <w:t xml:space="preserve"> de la evaluación realizada en 2020.</w:t>
      </w:r>
    </w:p>
    <w:p w:rsidR="004061BC" w:rsidRDefault="00BB3652" w:rsidP="00A670E9">
      <w:pPr>
        <w:pStyle w:val="Cuerpodelboletn"/>
      </w:pPr>
      <w:r>
        <w:t>Como consecuencia de esto persisten los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w:lastRenderedPageBreak/>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669EE" w:rsidRPr="00F31BC3" w:rsidRDefault="008669EE"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8669EE" w:rsidRPr="00F31BC3" w:rsidRDefault="008669EE"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A670E9" w:rsidRDefault="00A670E9" w:rsidP="004061BC">
      <w:pPr>
        <w:pStyle w:val="Sinespaciado"/>
        <w:numPr>
          <w:ilvl w:val="0"/>
          <w:numId w:val="18"/>
        </w:numPr>
        <w:spacing w:line="276" w:lineRule="auto"/>
        <w:jc w:val="both"/>
        <w:rPr>
          <w:rFonts w:ascii="Century Gothic" w:hAnsi="Century Gothic"/>
        </w:rPr>
      </w:pPr>
      <w:r>
        <w:rPr>
          <w:rFonts w:ascii="Century Gothic" w:hAnsi="Century Gothic"/>
        </w:rPr>
        <w:t>La mayor parte de la información publicada que se corresponde con obligaciones de publicidad activa, se localiza fuera del Portal de Transparencia. De hecho en el Portal de Transparencia sólo se publican los informes de auditoría.</w:t>
      </w:r>
    </w:p>
    <w:p w:rsidR="00B71F57" w:rsidRDefault="00B71F57" w:rsidP="00B71F57">
      <w:pPr>
        <w:pStyle w:val="Sinespaciado"/>
        <w:spacing w:line="276" w:lineRule="auto"/>
        <w:ind w:left="720"/>
        <w:jc w:val="both"/>
        <w:rPr>
          <w:rFonts w:ascii="Century Gothic" w:hAnsi="Century Gothic"/>
        </w:rPr>
      </w:pPr>
    </w:p>
    <w:p w:rsidR="00A670E9" w:rsidRDefault="00A670E9" w:rsidP="004061BC">
      <w:pPr>
        <w:pStyle w:val="Sinespaciado"/>
        <w:numPr>
          <w:ilvl w:val="0"/>
          <w:numId w:val="18"/>
        </w:numPr>
        <w:spacing w:line="276" w:lineRule="auto"/>
        <w:jc w:val="both"/>
        <w:rPr>
          <w:rFonts w:ascii="Century Gothic" w:hAnsi="Century Gothic"/>
        </w:rPr>
      </w:pPr>
      <w:r>
        <w:rPr>
          <w:rFonts w:ascii="Century Gothic" w:hAnsi="Century Gothic"/>
        </w:rPr>
        <w:t>No se ha estructurado la información conforme al patrón definido por la LTAIBG.</w:t>
      </w:r>
    </w:p>
    <w:p w:rsidR="00B71F57" w:rsidRDefault="00B71F57" w:rsidP="00B71F57">
      <w:pPr>
        <w:pStyle w:val="Prrafodelista"/>
      </w:pPr>
    </w:p>
    <w:p w:rsidR="004D4B3E" w:rsidRDefault="00B71F57" w:rsidP="00B71F57">
      <w:pPr>
        <w:pStyle w:val="Sinespaciado"/>
        <w:numPr>
          <w:ilvl w:val="0"/>
          <w:numId w:val="18"/>
        </w:numPr>
        <w:spacing w:line="276" w:lineRule="auto"/>
        <w:jc w:val="both"/>
        <w:rPr>
          <w:rFonts w:ascii="Century Gothic" w:hAnsi="Century Gothic"/>
        </w:rPr>
      </w:pPr>
      <w:r w:rsidRPr="00B71F57">
        <w:rPr>
          <w:rFonts w:ascii="Century Gothic" w:hAnsi="Century Gothic"/>
        </w:rPr>
        <w:t>Respecto de la publicación de contenidos, sigue sin localizarse la siguiente información</w:t>
      </w:r>
      <w:r w:rsidR="00A670E9">
        <w:rPr>
          <w:rFonts w:ascii="Century Gothic" w:hAnsi="Century Gothic"/>
        </w:rPr>
        <w:t>:</w:t>
      </w:r>
    </w:p>
    <w:p w:rsidR="00B71F57" w:rsidRDefault="00B71F57" w:rsidP="00B71F57">
      <w:pPr>
        <w:pStyle w:val="Prrafodelista"/>
      </w:pPr>
    </w:p>
    <w:p w:rsidR="00A670E9" w:rsidRDefault="00A670E9" w:rsidP="00A670E9">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las normas de carácter general que regulan la actividad de la asociación, el organigrama y el perfil y trayectoria profesional de </w:t>
      </w:r>
      <w:r w:rsidR="001D21D9">
        <w:rPr>
          <w:rFonts w:ascii="Century Gothic" w:hAnsi="Century Gothic"/>
        </w:rPr>
        <w:t>sus</w:t>
      </w:r>
      <w:r>
        <w:rPr>
          <w:rFonts w:ascii="Century Gothic" w:hAnsi="Century Gothic"/>
        </w:rPr>
        <w:t xml:space="preserve"> máximos responsables.  </w:t>
      </w:r>
    </w:p>
    <w:p w:rsidR="004D4B3E" w:rsidRDefault="00A670E9" w:rsidP="00A670E9">
      <w:pPr>
        <w:pStyle w:val="Sinespaciado"/>
        <w:numPr>
          <w:ilvl w:val="0"/>
          <w:numId w:val="20"/>
        </w:numPr>
        <w:spacing w:line="276" w:lineRule="auto"/>
        <w:jc w:val="both"/>
        <w:rPr>
          <w:rFonts w:ascii="Century Gothic" w:hAnsi="Century Gothic"/>
        </w:rPr>
      </w:pPr>
      <w:r>
        <w:rPr>
          <w:rFonts w:ascii="Century Gothic" w:hAnsi="Century Gothic"/>
        </w:rPr>
        <w:t xml:space="preserve">No se publica ninguna delas informaciones obligatorias del bloque Información Económica. De hecho </w:t>
      </w:r>
      <w:r w:rsidR="000F0DA5">
        <w:rPr>
          <w:rFonts w:ascii="Century Gothic" w:hAnsi="Century Gothic"/>
        </w:rPr>
        <w:t xml:space="preserve">se ha dado por incumplida </w:t>
      </w:r>
      <w:r>
        <w:rPr>
          <w:rFonts w:ascii="Century Gothic" w:hAnsi="Century Gothic"/>
        </w:rPr>
        <w:t>la publicación de los informes de auditoría</w:t>
      </w:r>
      <w:r w:rsidR="000F0DA5">
        <w:rPr>
          <w:rFonts w:ascii="Century Gothic" w:hAnsi="Century Gothic"/>
        </w:rPr>
        <w:t>,</w:t>
      </w:r>
      <w:r>
        <w:rPr>
          <w:rFonts w:ascii="Century Gothic" w:hAnsi="Century Gothic"/>
        </w:rPr>
        <w:t xml:space="preserve"> </w:t>
      </w:r>
      <w:r w:rsidR="000F0DA5">
        <w:rPr>
          <w:rFonts w:ascii="Century Gothic" w:hAnsi="Century Gothic"/>
        </w:rPr>
        <w:t xml:space="preserve">que si fue considerada en 2020, dado el desfase temporal de la última información </w:t>
      </w:r>
      <w:r w:rsidR="001D21D9">
        <w:rPr>
          <w:rFonts w:ascii="Century Gothic" w:hAnsi="Century Gothic"/>
        </w:rPr>
        <w:t>publicada</w:t>
      </w:r>
      <w:r w:rsidR="000F0DA5">
        <w:rPr>
          <w:rFonts w:ascii="Century Gothic" w:hAnsi="Century Gothic"/>
        </w:rPr>
        <w:t>.</w:t>
      </w:r>
    </w:p>
    <w:p w:rsidR="004D4B3E" w:rsidRDefault="004D4B3E" w:rsidP="004D4B3E">
      <w:pPr>
        <w:pStyle w:val="Sinespaciado"/>
        <w:spacing w:line="276" w:lineRule="auto"/>
        <w:ind w:left="720"/>
        <w:jc w:val="both"/>
        <w:rPr>
          <w:rFonts w:ascii="Century Gothic" w:hAnsi="Century Gothic"/>
        </w:rPr>
      </w:pPr>
    </w:p>
    <w:p w:rsidR="004061BC" w:rsidRDefault="000F0DA5" w:rsidP="004061BC">
      <w:pPr>
        <w:pStyle w:val="Sinespaciado"/>
        <w:numPr>
          <w:ilvl w:val="0"/>
          <w:numId w:val="18"/>
        </w:numPr>
        <w:spacing w:line="276" w:lineRule="auto"/>
        <w:jc w:val="both"/>
        <w:rPr>
          <w:rFonts w:ascii="Century Gothic" w:hAnsi="Century Gothic"/>
        </w:rPr>
      </w:pPr>
      <w:r>
        <w:rPr>
          <w:rFonts w:ascii="Century Gothic" w:hAnsi="Century Gothic"/>
        </w:rPr>
        <w:t>Respecto del cumplimiento de los</w:t>
      </w:r>
      <w:r w:rsidR="001D21D9">
        <w:rPr>
          <w:rFonts w:ascii="Century Gothic" w:hAnsi="Century Gothic"/>
        </w:rPr>
        <w:t xml:space="preserve"> </w:t>
      </w:r>
      <w:r>
        <w:rPr>
          <w:rFonts w:ascii="Century Gothic" w:hAnsi="Century Gothic"/>
        </w:rPr>
        <w:t xml:space="preserve">criterios de calidad en la publicación de la información, sigue sin </w:t>
      </w:r>
      <w:r w:rsidR="001D21D9">
        <w:rPr>
          <w:rFonts w:ascii="Century Gothic" w:hAnsi="Century Gothic"/>
        </w:rPr>
        <w:t xml:space="preserve">incorporarse </w:t>
      </w:r>
      <w:r w:rsidR="004D4B3E">
        <w:rPr>
          <w:rFonts w:ascii="Century Gothic" w:hAnsi="Century Gothic"/>
        </w:rPr>
        <w:t xml:space="preserve">la fecha </w:t>
      </w:r>
      <w:r>
        <w:rPr>
          <w:rFonts w:ascii="Century Gothic" w:hAnsi="Century Gothic"/>
        </w:rPr>
        <w:t xml:space="preserve">en </w:t>
      </w:r>
      <w:r w:rsidR="004D4B3E">
        <w:rPr>
          <w:rFonts w:ascii="Century Gothic" w:hAnsi="Century Gothic"/>
        </w:rPr>
        <w:t>que se revisó o actualizó por última vez la información publicada en el Portal.</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0F0DA5">
        <w:rPr>
          <w:rFonts w:ascii="Century Gothic" w:hAnsi="Century Gothic"/>
        </w:rPr>
        <w:t>octubre</w:t>
      </w:r>
      <w:r>
        <w:rPr>
          <w:rFonts w:ascii="Century Gothic" w:hAnsi="Century Gothic"/>
        </w:rPr>
        <w:t xml:space="preserve"> de 2021</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669EE" w:rsidRPr="00F31BC3" w:rsidRDefault="008669EE"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8669EE" w:rsidRPr="00F31BC3" w:rsidRDefault="008669EE"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8669EE" w:rsidRPr="00F31BC3" w:rsidRDefault="008669EE"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8669EE" w:rsidRPr="00F31BC3" w:rsidRDefault="008669EE"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9EE" w:rsidRDefault="008669EE" w:rsidP="00F31BC3">
      <w:r>
        <w:separator/>
      </w:r>
    </w:p>
  </w:endnote>
  <w:endnote w:type="continuationSeparator" w:id="0">
    <w:p w:rsidR="008669EE" w:rsidRDefault="008669E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9EE" w:rsidRDefault="008669EE" w:rsidP="00F31BC3">
      <w:r>
        <w:separator/>
      </w:r>
    </w:p>
  </w:footnote>
  <w:footnote w:type="continuationSeparator" w:id="0">
    <w:p w:rsidR="008669EE" w:rsidRDefault="008669EE"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31E45CA4"/>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D21D9"/>
    <w:rsid w:val="001E5AAD"/>
    <w:rsid w:val="0021682B"/>
    <w:rsid w:val="00231D61"/>
    <w:rsid w:val="00243294"/>
    <w:rsid w:val="00244EDA"/>
    <w:rsid w:val="002467FA"/>
    <w:rsid w:val="00263F79"/>
    <w:rsid w:val="002C41B4"/>
    <w:rsid w:val="002D0702"/>
    <w:rsid w:val="002D27E4"/>
    <w:rsid w:val="002E409F"/>
    <w:rsid w:val="002E644A"/>
    <w:rsid w:val="002F06DC"/>
    <w:rsid w:val="0031769F"/>
    <w:rsid w:val="00347877"/>
    <w:rsid w:val="00352994"/>
    <w:rsid w:val="00355DC0"/>
    <w:rsid w:val="00393F48"/>
    <w:rsid w:val="003A1694"/>
    <w:rsid w:val="003A390C"/>
    <w:rsid w:val="003B399C"/>
    <w:rsid w:val="003B5216"/>
    <w:rsid w:val="003B57E6"/>
    <w:rsid w:val="003B6B96"/>
    <w:rsid w:val="003D2C4A"/>
    <w:rsid w:val="003E564B"/>
    <w:rsid w:val="003E5D2F"/>
    <w:rsid w:val="003F6EDC"/>
    <w:rsid w:val="004061BC"/>
    <w:rsid w:val="00415DBD"/>
    <w:rsid w:val="00422B18"/>
    <w:rsid w:val="004720A5"/>
    <w:rsid w:val="0047735C"/>
    <w:rsid w:val="004859CC"/>
    <w:rsid w:val="004A14B1"/>
    <w:rsid w:val="004A1663"/>
    <w:rsid w:val="004C6440"/>
    <w:rsid w:val="004D4B3E"/>
    <w:rsid w:val="004D50CC"/>
    <w:rsid w:val="004D7037"/>
    <w:rsid w:val="004E7B33"/>
    <w:rsid w:val="00506864"/>
    <w:rsid w:val="00521C69"/>
    <w:rsid w:val="005301DF"/>
    <w:rsid w:val="00536832"/>
    <w:rsid w:val="00563295"/>
    <w:rsid w:val="00564E23"/>
    <w:rsid w:val="00582A8C"/>
    <w:rsid w:val="005B1544"/>
    <w:rsid w:val="005C4778"/>
    <w:rsid w:val="005E2505"/>
    <w:rsid w:val="005E6704"/>
    <w:rsid w:val="00603DFC"/>
    <w:rsid w:val="00607613"/>
    <w:rsid w:val="006266A5"/>
    <w:rsid w:val="00633EAA"/>
    <w:rsid w:val="0069673B"/>
    <w:rsid w:val="006B75D8"/>
    <w:rsid w:val="006C0CDD"/>
    <w:rsid w:val="006D49E7"/>
    <w:rsid w:val="006D4C90"/>
    <w:rsid w:val="006E75DE"/>
    <w:rsid w:val="00702A3B"/>
    <w:rsid w:val="007071A8"/>
    <w:rsid w:val="00707515"/>
    <w:rsid w:val="00707C14"/>
    <w:rsid w:val="00714C54"/>
    <w:rsid w:val="00717272"/>
    <w:rsid w:val="0073626B"/>
    <w:rsid w:val="00751FAA"/>
    <w:rsid w:val="00760E4B"/>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7495"/>
    <w:rsid w:val="00821526"/>
    <w:rsid w:val="0082470D"/>
    <w:rsid w:val="00825ACB"/>
    <w:rsid w:val="00826275"/>
    <w:rsid w:val="008514EC"/>
    <w:rsid w:val="00853CB9"/>
    <w:rsid w:val="00865E5A"/>
    <w:rsid w:val="008669EE"/>
    <w:rsid w:val="00882A5B"/>
    <w:rsid w:val="00891E6F"/>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06BF1"/>
    <w:rsid w:val="00A1361E"/>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43C76"/>
    <w:rsid w:val="00B5314A"/>
    <w:rsid w:val="00B56A3A"/>
    <w:rsid w:val="00B71F57"/>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91330"/>
    <w:rsid w:val="00CB6837"/>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7DF6"/>
    <w:rsid w:val="00E33169"/>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1FA2"/>
    <w:rsid w:val="00F24BAF"/>
    <w:rsid w:val="00F25044"/>
    <w:rsid w:val="00F31BC3"/>
    <w:rsid w:val="00F36022"/>
    <w:rsid w:val="00F57370"/>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43EA4"/>
    <w:rsid w:val="00583D19"/>
    <w:rsid w:val="00722728"/>
    <w:rsid w:val="00787EBD"/>
    <w:rsid w:val="008E118A"/>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946AF624-B8CC-49B5-9944-1A274D5C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5483</TotalTime>
  <Pages>5</Pages>
  <Words>930</Words>
  <Characters>5118</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8</cp:revision>
  <cp:lastPrinted>2008-09-27T00:14:00Z</cp:lastPrinted>
  <dcterms:created xsi:type="dcterms:W3CDTF">2021-10-29T12:33:00Z</dcterms:created>
  <dcterms:modified xsi:type="dcterms:W3CDTF">2022-01-12T10:40:00Z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