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3543A0" w:rsidRDefault="003543A0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  <w:r w:rsidRPr="00F60820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Confederación Autismo España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3543A0" w:rsidRDefault="003543A0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  <w:r w:rsidRPr="00F60820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Confederación Autismo España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543A0" w:rsidRDefault="003543A0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3543A0" w:rsidRDefault="003543A0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68392D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7942B7">
            <w:pPr>
              <w:rPr>
                <w:sz w:val="20"/>
                <w:szCs w:val="20"/>
              </w:rPr>
            </w:pP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8C546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68392D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C5461" w:rsidRPr="007942B7" w:rsidTr="008C5461">
        <w:trPr>
          <w:trHeight w:val="500"/>
        </w:trPr>
        <w:tc>
          <w:tcPr>
            <w:tcW w:w="2093" w:type="dxa"/>
            <w:vMerge w:val="restart"/>
            <w:vAlign w:val="center"/>
          </w:tcPr>
          <w:p w:rsidR="008C5461" w:rsidRPr="00AF196B" w:rsidRDefault="008C5461" w:rsidP="006D4C90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8C5461" w:rsidRDefault="008C5461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desde el Portal de Transparencia a la información sobre funciones </w:t>
            </w:r>
          </w:p>
        </w:tc>
        <w:tc>
          <w:tcPr>
            <w:tcW w:w="567" w:type="dxa"/>
          </w:tcPr>
          <w:p w:rsidR="008C5461" w:rsidRDefault="008C5461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C5461" w:rsidRPr="007942B7" w:rsidRDefault="008C546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C5461" w:rsidRPr="007942B7" w:rsidTr="008C5461">
        <w:trPr>
          <w:trHeight w:val="812"/>
        </w:trPr>
        <w:tc>
          <w:tcPr>
            <w:tcW w:w="2093" w:type="dxa"/>
            <w:vMerge/>
            <w:vAlign w:val="center"/>
          </w:tcPr>
          <w:p w:rsidR="008C5461" w:rsidRPr="00AF196B" w:rsidRDefault="008C5461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C5461" w:rsidRDefault="008C5461" w:rsidP="008C5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Convenios independientemente de la memoria</w:t>
            </w:r>
          </w:p>
        </w:tc>
        <w:tc>
          <w:tcPr>
            <w:tcW w:w="567" w:type="dxa"/>
          </w:tcPr>
          <w:p w:rsidR="008C5461" w:rsidRDefault="008C5461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C5461" w:rsidRPr="007942B7" w:rsidRDefault="008C546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además la última memoria publicada corresponde a 2019</w:t>
            </w:r>
          </w:p>
        </w:tc>
      </w:tr>
      <w:tr w:rsidR="002E644A" w:rsidRPr="007942B7" w:rsidTr="00BA4354">
        <w:tc>
          <w:tcPr>
            <w:tcW w:w="2093" w:type="dxa"/>
            <w:vMerge/>
            <w:vAlign w:val="center"/>
          </w:tcPr>
          <w:p w:rsidR="002E644A" w:rsidRPr="00AF196B" w:rsidRDefault="002E644A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E644A" w:rsidRDefault="008C5461" w:rsidP="00E83650">
            <w:pPr>
              <w:rPr>
                <w:sz w:val="20"/>
                <w:szCs w:val="20"/>
              </w:rPr>
            </w:pPr>
            <w:r w:rsidRPr="008C5461">
              <w:rPr>
                <w:sz w:val="20"/>
                <w:szCs w:val="20"/>
              </w:rPr>
              <w:t>Publicación Convenios independientemente de la memoria</w:t>
            </w:r>
          </w:p>
        </w:tc>
        <w:tc>
          <w:tcPr>
            <w:tcW w:w="567" w:type="dxa"/>
          </w:tcPr>
          <w:p w:rsidR="002E644A" w:rsidRDefault="008C5461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E644A" w:rsidRPr="007942B7" w:rsidRDefault="008C5461" w:rsidP="00AC4A6F">
            <w:pPr>
              <w:rPr>
                <w:sz w:val="20"/>
                <w:szCs w:val="20"/>
              </w:rPr>
            </w:pPr>
            <w:r w:rsidRPr="008C5461">
              <w:rPr>
                <w:sz w:val="20"/>
                <w:szCs w:val="20"/>
              </w:rPr>
              <w:t>No, además la última memoria publicada corresponde a 2019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865E5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 w:rsidR="00DF5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F196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80749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BA4354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82627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 w:rsidR="00AF19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D4C90" w:rsidRPr="007942B7" w:rsidRDefault="0018330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F60820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8C5461" w:rsidP="00865E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FA5AFD" w:rsidRDefault="008C5461" w:rsidP="006707F5">
      <w:pPr>
        <w:jc w:val="both"/>
      </w:pPr>
      <w:r>
        <w:t xml:space="preserve">La Confederación Autismo </w:t>
      </w:r>
      <w:r w:rsidRPr="008C5461">
        <w:rPr>
          <w:b/>
        </w:rPr>
        <w:t>no</w:t>
      </w:r>
      <w:r w:rsidR="00DF56A7" w:rsidRPr="008C5461">
        <w:rPr>
          <w:b/>
        </w:rPr>
        <w:t xml:space="preserve"> ha aplicado</w:t>
      </w:r>
      <w:r w:rsidR="00DF56A7">
        <w:t xml:space="preserve"> </w:t>
      </w:r>
      <w:r>
        <w:t xml:space="preserve">ninguna </w:t>
      </w:r>
      <w:r w:rsidR="00DF56A7">
        <w:t xml:space="preserve">de las recomendaciones derivadas de la evaluación realizada en 2020. </w:t>
      </w:r>
    </w:p>
    <w:p w:rsidR="006707F5" w:rsidRDefault="006707F5" w:rsidP="006707F5">
      <w:pPr>
        <w:jc w:val="both"/>
      </w:pPr>
    </w:p>
    <w:p w:rsidR="00E17DF6" w:rsidRDefault="00E17DF6" w:rsidP="00AC4A6F"/>
    <w:p w:rsidR="00E17DF6" w:rsidRDefault="00E17DF6" w:rsidP="00AC4A6F"/>
    <w:p w:rsidR="008C5461" w:rsidRDefault="008C5461" w:rsidP="00AC4A6F"/>
    <w:p w:rsidR="008C5461" w:rsidRDefault="008C5461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543A0" w:rsidRPr="00F31BC3" w:rsidRDefault="003543A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3543A0" w:rsidRPr="00F31BC3" w:rsidRDefault="003543A0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68392D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6D4C90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6D4C90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6D4C90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6D4C90" w:rsidRDefault="00560FE3" w:rsidP="00560FE3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FA5AFD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FA5AFD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DB5EC7" w:rsidRPr="006D4C90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DB5EC7" w:rsidRPr="006D4C90" w:rsidRDefault="00DB5EC7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B5EC7" w:rsidRPr="00DB5EC7" w:rsidRDefault="00DB5EC7" w:rsidP="00DB5EC7">
            <w:pPr>
              <w:jc w:val="center"/>
              <w:rPr>
                <w:sz w:val="16"/>
                <w:szCs w:val="16"/>
              </w:rPr>
            </w:pPr>
            <w:r w:rsidRPr="00DB5EC7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B5EC7" w:rsidRPr="00DB5EC7" w:rsidRDefault="00DB5EC7" w:rsidP="00DB5EC7">
            <w:pPr>
              <w:jc w:val="center"/>
              <w:rPr>
                <w:sz w:val="16"/>
                <w:szCs w:val="16"/>
              </w:rPr>
            </w:pPr>
            <w:r w:rsidRPr="00DB5EC7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B5EC7" w:rsidRPr="00DB5EC7" w:rsidRDefault="00DB5EC7" w:rsidP="00DB5EC7">
            <w:pPr>
              <w:jc w:val="center"/>
              <w:rPr>
                <w:sz w:val="16"/>
                <w:szCs w:val="16"/>
              </w:rPr>
            </w:pPr>
            <w:r w:rsidRPr="00DB5EC7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B5EC7" w:rsidRPr="00DB5EC7" w:rsidRDefault="00DB5EC7" w:rsidP="00DB5EC7">
            <w:pPr>
              <w:jc w:val="center"/>
              <w:rPr>
                <w:sz w:val="16"/>
                <w:szCs w:val="16"/>
              </w:rPr>
            </w:pPr>
            <w:r w:rsidRPr="00DB5EC7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B5EC7" w:rsidRPr="00DB5EC7" w:rsidRDefault="00DB5EC7" w:rsidP="00DB5EC7">
            <w:pPr>
              <w:jc w:val="center"/>
              <w:rPr>
                <w:sz w:val="16"/>
                <w:szCs w:val="16"/>
              </w:rPr>
            </w:pPr>
            <w:r w:rsidRPr="00DB5EC7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B5EC7" w:rsidRPr="00DB5EC7" w:rsidRDefault="00DB5EC7" w:rsidP="00DB5EC7">
            <w:pPr>
              <w:jc w:val="center"/>
              <w:rPr>
                <w:sz w:val="16"/>
                <w:szCs w:val="16"/>
              </w:rPr>
            </w:pPr>
            <w:r w:rsidRPr="00DB5EC7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B5EC7" w:rsidRPr="00DB5EC7" w:rsidRDefault="00DB5EC7" w:rsidP="00DB5EC7">
            <w:pPr>
              <w:jc w:val="center"/>
              <w:rPr>
                <w:sz w:val="16"/>
                <w:szCs w:val="16"/>
              </w:rPr>
            </w:pPr>
            <w:r w:rsidRPr="00DB5EC7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B5EC7" w:rsidRPr="00DB5EC7" w:rsidRDefault="00DB5EC7" w:rsidP="00DB5EC7">
            <w:pPr>
              <w:jc w:val="center"/>
              <w:rPr>
                <w:sz w:val="16"/>
                <w:szCs w:val="16"/>
              </w:rPr>
            </w:pPr>
            <w:r w:rsidRPr="00DB5EC7">
              <w:rPr>
                <w:sz w:val="16"/>
                <w:szCs w:val="16"/>
              </w:rPr>
              <w:t>92,9</w:t>
            </w:r>
          </w:p>
        </w:tc>
      </w:tr>
      <w:tr w:rsidR="00DB5EC7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DB5EC7" w:rsidRPr="006D4C90" w:rsidRDefault="00DB5EC7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5EC7" w:rsidRPr="00DB5EC7" w:rsidRDefault="00DB5EC7" w:rsidP="00DB5EC7">
            <w:pPr>
              <w:jc w:val="center"/>
              <w:rPr>
                <w:sz w:val="16"/>
                <w:szCs w:val="16"/>
              </w:rPr>
            </w:pPr>
            <w:r w:rsidRPr="00DB5EC7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5EC7" w:rsidRPr="00DB5EC7" w:rsidRDefault="00DB5EC7" w:rsidP="00DB5EC7">
            <w:pPr>
              <w:jc w:val="center"/>
              <w:rPr>
                <w:sz w:val="16"/>
                <w:szCs w:val="16"/>
              </w:rPr>
            </w:pPr>
            <w:r w:rsidRPr="00DB5EC7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5EC7" w:rsidRPr="00DB5EC7" w:rsidRDefault="00DB5EC7" w:rsidP="00DB5EC7">
            <w:pPr>
              <w:jc w:val="center"/>
              <w:rPr>
                <w:sz w:val="16"/>
                <w:szCs w:val="16"/>
              </w:rPr>
            </w:pPr>
            <w:r w:rsidRPr="00DB5EC7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5EC7" w:rsidRPr="00DB5EC7" w:rsidRDefault="00DB5EC7" w:rsidP="00DB5EC7">
            <w:pPr>
              <w:jc w:val="center"/>
              <w:rPr>
                <w:sz w:val="16"/>
                <w:szCs w:val="16"/>
              </w:rPr>
            </w:pPr>
            <w:r w:rsidRPr="00DB5EC7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5EC7" w:rsidRPr="00DB5EC7" w:rsidRDefault="00DB5EC7" w:rsidP="00DB5EC7">
            <w:pPr>
              <w:jc w:val="center"/>
              <w:rPr>
                <w:sz w:val="16"/>
                <w:szCs w:val="16"/>
              </w:rPr>
            </w:pPr>
            <w:r w:rsidRPr="00DB5EC7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5EC7" w:rsidRPr="00DB5EC7" w:rsidRDefault="00DB5EC7" w:rsidP="00DB5EC7">
            <w:pPr>
              <w:jc w:val="center"/>
              <w:rPr>
                <w:sz w:val="16"/>
                <w:szCs w:val="16"/>
              </w:rPr>
            </w:pPr>
            <w:r w:rsidRPr="00DB5EC7">
              <w:rPr>
                <w:sz w:val="16"/>
                <w:szCs w:val="16"/>
              </w:rPr>
              <w:t>75,0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5EC7" w:rsidRPr="00DB5EC7" w:rsidRDefault="00DB5EC7" w:rsidP="00DB5EC7">
            <w:pPr>
              <w:jc w:val="center"/>
              <w:rPr>
                <w:sz w:val="16"/>
                <w:szCs w:val="16"/>
              </w:rPr>
            </w:pPr>
            <w:r w:rsidRPr="00DB5EC7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5EC7" w:rsidRPr="00DB5EC7" w:rsidRDefault="00DB5EC7" w:rsidP="00DB5EC7">
            <w:pPr>
              <w:jc w:val="center"/>
              <w:rPr>
                <w:sz w:val="16"/>
                <w:szCs w:val="16"/>
              </w:rPr>
            </w:pPr>
            <w:r w:rsidRPr="00DB5EC7">
              <w:rPr>
                <w:sz w:val="16"/>
                <w:szCs w:val="16"/>
              </w:rPr>
              <w:t>82,1</w:t>
            </w:r>
          </w:p>
        </w:tc>
      </w:tr>
      <w:tr w:rsidR="00DB5EC7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DB5EC7" w:rsidRPr="006D4C90" w:rsidRDefault="00DB5EC7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5EC7" w:rsidRPr="00DB5EC7" w:rsidRDefault="00DB5EC7" w:rsidP="00DB5EC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5EC7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5EC7" w:rsidRPr="00DB5EC7" w:rsidRDefault="00DB5EC7" w:rsidP="00DB5EC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5EC7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5EC7" w:rsidRPr="00DB5EC7" w:rsidRDefault="00DB5EC7" w:rsidP="00DB5EC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5EC7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5EC7" w:rsidRPr="00DB5EC7" w:rsidRDefault="00DB5EC7" w:rsidP="00DB5EC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5EC7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5EC7" w:rsidRPr="00DB5EC7" w:rsidRDefault="00DB5EC7" w:rsidP="00DB5EC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5EC7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5EC7" w:rsidRPr="00DB5EC7" w:rsidRDefault="00DB5EC7" w:rsidP="00DB5EC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5EC7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5EC7" w:rsidRPr="00DB5EC7" w:rsidRDefault="00DB5EC7" w:rsidP="00DB5EC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5EC7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5EC7" w:rsidRPr="00DB5EC7" w:rsidRDefault="00DB5EC7" w:rsidP="00DB5EC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5EC7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</w:tr>
      <w:tr w:rsidR="00CC48E8" w:rsidRPr="006D4C90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6D4C90" w:rsidRDefault="00CC48E8" w:rsidP="00560FE3">
            <w:pPr>
              <w:rPr>
                <w:b/>
                <w:sz w:val="18"/>
                <w:szCs w:val="18"/>
              </w:rPr>
            </w:pPr>
            <w:r w:rsidRPr="006D4C90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</w:t>
            </w:r>
          </w:p>
        </w:tc>
      </w:tr>
      <w:tr w:rsidR="004061BC" w:rsidRPr="006D4C90" w:rsidTr="004061BC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4061BC" w:rsidRPr="006D4C90" w:rsidRDefault="004061BC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1" w:name="RANGE!C12"/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1"/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061BC" w:rsidRPr="006D4C90" w:rsidRDefault="004061BC" w:rsidP="0040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aplicable</w:t>
            </w:r>
          </w:p>
        </w:tc>
      </w:tr>
      <w:tr w:rsidR="003543A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3543A0" w:rsidRPr="006D4C90" w:rsidRDefault="003543A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4061BC" w:rsidRDefault="003543A0" w:rsidP="00406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Default="003543A0" w:rsidP="003543A0">
            <w:pPr>
              <w:jc w:val="center"/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Default="003543A0" w:rsidP="003543A0">
            <w:pPr>
              <w:jc w:val="center"/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Default="003543A0" w:rsidP="003543A0">
            <w:pPr>
              <w:jc w:val="center"/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Default="003543A0" w:rsidP="003543A0">
            <w:pPr>
              <w:jc w:val="center"/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Default="003543A0" w:rsidP="003543A0">
            <w:pPr>
              <w:jc w:val="center"/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Default="003543A0" w:rsidP="003543A0">
            <w:pPr>
              <w:jc w:val="center"/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Default="003543A0" w:rsidP="003543A0">
            <w:pPr>
              <w:jc w:val="center"/>
            </w:pPr>
            <w:r w:rsidRPr="00E76141">
              <w:rPr>
                <w:sz w:val="16"/>
                <w:szCs w:val="16"/>
              </w:rPr>
              <w:t>0,0</w:t>
            </w:r>
          </w:p>
        </w:tc>
      </w:tr>
      <w:tr w:rsidR="003543A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6D4C90" w:rsidRDefault="003543A0" w:rsidP="003543A0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</w:tr>
      <w:tr w:rsidR="003543A0" w:rsidRPr="003543A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</w:tr>
      <w:tr w:rsidR="003543A0" w:rsidRPr="003543A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3543A0" w:rsidRDefault="003543A0" w:rsidP="003543A0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92,9</w:t>
            </w:r>
          </w:p>
        </w:tc>
      </w:tr>
      <w:tr w:rsidR="003543A0" w:rsidRPr="006D4C90" w:rsidTr="003543A0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075A7F" w:rsidRDefault="003543A0" w:rsidP="003543A0">
            <w:r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543A0" w:rsidRPr="008E6894" w:rsidRDefault="003543A0" w:rsidP="004061BC">
            <w:pPr>
              <w:jc w:val="center"/>
            </w:pPr>
            <w:r>
              <w:rPr>
                <w:sz w:val="16"/>
                <w:szCs w:val="16"/>
              </w:rPr>
              <w:t>No aplicable</w:t>
            </w:r>
          </w:p>
        </w:tc>
      </w:tr>
      <w:tr w:rsidR="00DB5EC7" w:rsidRPr="003543A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DB5EC7" w:rsidRPr="006D4C90" w:rsidRDefault="00DB5EC7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5EC7" w:rsidRPr="00DB5EC7" w:rsidRDefault="00DB5EC7" w:rsidP="00DB5EC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5EC7">
              <w:rPr>
                <w:b/>
                <w:color w:val="FFFFFF" w:themeColor="background1"/>
                <w:sz w:val="16"/>
                <w:szCs w:val="16"/>
              </w:rPr>
              <w:t>40,0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5EC7" w:rsidRPr="00DB5EC7" w:rsidRDefault="00DB5EC7" w:rsidP="00DB5EC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5EC7">
              <w:rPr>
                <w:b/>
                <w:color w:val="FFFFFF" w:themeColor="background1"/>
                <w:sz w:val="16"/>
                <w:szCs w:val="16"/>
              </w:rPr>
              <w:t>40,0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5EC7" w:rsidRPr="00DB5EC7" w:rsidRDefault="00DB5EC7" w:rsidP="00DB5EC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5EC7">
              <w:rPr>
                <w:b/>
                <w:color w:val="FFFFFF" w:themeColor="background1"/>
                <w:sz w:val="16"/>
                <w:szCs w:val="16"/>
              </w:rPr>
              <w:t>40,0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5EC7" w:rsidRPr="00DB5EC7" w:rsidRDefault="00DB5EC7" w:rsidP="00DB5EC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5EC7">
              <w:rPr>
                <w:b/>
                <w:color w:val="FFFFFF" w:themeColor="background1"/>
                <w:sz w:val="16"/>
                <w:szCs w:val="16"/>
              </w:rPr>
              <w:t>40,0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5EC7" w:rsidRPr="00DB5EC7" w:rsidRDefault="00DB5EC7" w:rsidP="00DB5EC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5EC7">
              <w:rPr>
                <w:b/>
                <w:color w:val="FFFFFF" w:themeColor="background1"/>
                <w:sz w:val="16"/>
                <w:szCs w:val="16"/>
              </w:rPr>
              <w:t>40,0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5EC7" w:rsidRPr="00DB5EC7" w:rsidRDefault="00DB5EC7" w:rsidP="00DB5EC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5EC7">
              <w:rPr>
                <w:b/>
                <w:color w:val="FFFFFF" w:themeColor="background1"/>
                <w:sz w:val="16"/>
                <w:szCs w:val="16"/>
              </w:rPr>
              <w:t>20,0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5EC7" w:rsidRPr="00DB5EC7" w:rsidRDefault="00DB5EC7" w:rsidP="00DB5EC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5EC7">
              <w:rPr>
                <w:b/>
                <w:color w:val="FFFFFF" w:themeColor="background1"/>
                <w:sz w:val="16"/>
                <w:szCs w:val="16"/>
              </w:rPr>
              <w:t>40,0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5EC7" w:rsidRPr="00DB5EC7" w:rsidRDefault="00DB5EC7" w:rsidP="00DB5EC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5EC7">
              <w:rPr>
                <w:b/>
                <w:color w:val="FFFFFF" w:themeColor="background1"/>
                <w:sz w:val="16"/>
                <w:szCs w:val="16"/>
              </w:rPr>
              <w:t>37,1</w:t>
            </w:r>
          </w:p>
        </w:tc>
      </w:tr>
      <w:tr w:rsidR="00FA5AFD" w:rsidRPr="006D4C90" w:rsidTr="00E17DF6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FA5AFD" w:rsidRPr="006D4C90" w:rsidRDefault="00DB5EC7" w:rsidP="00BA3611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64,9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4061BC" w:rsidRDefault="004061BC" w:rsidP="00F05E2C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DB5EC7">
        <w:rPr>
          <w:lang w:bidi="es-ES"/>
        </w:rPr>
        <w:t>64,9</w:t>
      </w:r>
      <w:r>
        <w:rPr>
          <w:lang w:bidi="es-ES"/>
        </w:rPr>
        <w:t>%.</w:t>
      </w:r>
      <w:r w:rsidR="003543A0">
        <w:rPr>
          <w:lang w:bidi="es-ES"/>
        </w:rPr>
        <w:t xml:space="preserve"> Respecto de 2020 se produce un incremento de </w:t>
      </w:r>
      <w:r w:rsidR="00DB5EC7">
        <w:rPr>
          <w:lang w:bidi="es-ES"/>
        </w:rPr>
        <w:t>6,2</w:t>
      </w:r>
      <w:r w:rsidR="003543A0">
        <w:rPr>
          <w:lang w:bidi="es-ES"/>
        </w:rPr>
        <w:t xml:space="preserve"> puntos porcentuales debido exclusivamente a la revisión efectuada de oficio de la obligación de publicar </w:t>
      </w:r>
      <w:r w:rsidR="0080522A">
        <w:rPr>
          <w:lang w:bidi="es-ES"/>
        </w:rPr>
        <w:t>la información en formatos reutilizables.</w:t>
      </w:r>
    </w:p>
    <w:p w:rsidR="0080522A" w:rsidRDefault="0080522A" w:rsidP="00F05E2C">
      <w:pPr>
        <w:pStyle w:val="Cuerpodelboletn"/>
        <w:rPr>
          <w:lang w:bidi="es-ES"/>
        </w:rPr>
      </w:pPr>
      <w:r>
        <w:rPr>
          <w:lang w:bidi="es-ES"/>
        </w:rPr>
        <w:t>Por otra parte se ha revisado a la baja el cumplimiento de la obligación de publicar información sobre las subvenciones percibidas, dado que la última información publicada se corresponde con los años 2017/2018.</w:t>
      </w:r>
    </w:p>
    <w:p w:rsidR="00714C54" w:rsidRDefault="00714C54" w:rsidP="00F05E2C">
      <w:pPr>
        <w:pStyle w:val="Cuerpodelboletn"/>
      </w:pP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80522A" w:rsidRDefault="0080522A" w:rsidP="0080522A">
      <w:pPr>
        <w:pStyle w:val="Cuerpodelboletn"/>
      </w:pPr>
      <w:r w:rsidRPr="0080522A">
        <w:t xml:space="preserve">Este CTBG no puede menos que </w:t>
      </w:r>
      <w:r w:rsidRPr="0080522A">
        <w:rPr>
          <w:b/>
        </w:rPr>
        <w:t>valorar negativamente</w:t>
      </w:r>
      <w:r w:rsidRPr="0080522A">
        <w:t xml:space="preserve"> la evolución del cumplimiento de las obligaciones de publicidad activa por parte de </w:t>
      </w:r>
      <w:r>
        <w:t>La Confederación Autismo</w:t>
      </w:r>
      <w:r w:rsidR="004061BC">
        <w:t xml:space="preserve">. </w:t>
      </w:r>
      <w:r>
        <w:t>No se ha aplicado ninguna de las recomendaciones efectuadas como consecuencia de la evaluación realizada en 2020.</w:t>
      </w:r>
    </w:p>
    <w:p w:rsidR="0080522A" w:rsidRDefault="0080522A" w:rsidP="0080522A">
      <w:pPr>
        <w:pStyle w:val="Cuerpodelboletn"/>
      </w:pPr>
      <w:r>
        <w:t xml:space="preserve">Como consecuencia de esto persisten los déficits evidenciados en dicha evaluación: </w:t>
      </w:r>
    </w:p>
    <w:p w:rsidR="0080522A" w:rsidRDefault="0080522A" w:rsidP="0080522A">
      <w:pPr>
        <w:pStyle w:val="Cuerpodelboletn"/>
      </w:pPr>
      <w:r>
        <w:t xml:space="preserve"> </w:t>
      </w:r>
      <w:r>
        <w:tab/>
      </w:r>
    </w:p>
    <w:p w:rsidR="0080522A" w:rsidRDefault="0080522A" w:rsidP="0080522A">
      <w:pPr>
        <w:pStyle w:val="Cuerpodelboletn"/>
        <w:numPr>
          <w:ilvl w:val="0"/>
          <w:numId w:val="19"/>
        </w:numPr>
      </w:pPr>
      <w:r>
        <w:lastRenderedPageBreak/>
        <w:t>Sigue sin enlazarse desde el Portal de Transparencia a la información sobre las funciones de la entidad a la que se accede a través del enlace “Qué hacemos” ubicado fuera del Portal de Transparencia.</w:t>
      </w:r>
    </w:p>
    <w:p w:rsidR="0080522A" w:rsidRDefault="0080522A" w:rsidP="0080522A">
      <w:pPr>
        <w:pStyle w:val="Cuerpodelboletn"/>
        <w:numPr>
          <w:ilvl w:val="0"/>
          <w:numId w:val="19"/>
        </w:numPr>
      </w:pPr>
      <w:r>
        <w:t xml:space="preserve">La información sobre Convenios y Presupuestos sigue publicándose en la Memoria de actividades de la entidad y no de manera individualizada en el Portal de Transparencia. </w:t>
      </w:r>
    </w:p>
    <w:p w:rsidR="0080522A" w:rsidRDefault="0080522A" w:rsidP="0080522A">
      <w:pPr>
        <w:pStyle w:val="Cuerpodelboletn"/>
        <w:numPr>
          <w:ilvl w:val="0"/>
          <w:numId w:val="19"/>
        </w:numPr>
      </w:pPr>
      <w:r>
        <w:t xml:space="preserve">La información sobre </w:t>
      </w:r>
      <w:r w:rsidR="00DB5EC7">
        <w:t>subvenciones</w:t>
      </w:r>
      <w:r>
        <w:t xml:space="preserve"> está muy desactualizada.</w:t>
      </w:r>
    </w:p>
    <w:p w:rsidR="0080522A" w:rsidRDefault="0080522A" w:rsidP="0080522A">
      <w:pPr>
        <w:pStyle w:val="Cuerpodelboletn"/>
        <w:numPr>
          <w:ilvl w:val="0"/>
          <w:numId w:val="19"/>
        </w:numPr>
      </w:pPr>
      <w:r>
        <w:t>Sigue sin publicarse la fecha en que se revisó o actualizó por última vez la información contenida en el Portal de Transparencia.</w:t>
      </w:r>
    </w:p>
    <w:p w:rsidR="0080522A" w:rsidRDefault="0080522A" w:rsidP="0080522A">
      <w:pPr>
        <w:pStyle w:val="Cuerpodelboletn"/>
      </w:pPr>
    </w:p>
    <w:p w:rsidR="0080522A" w:rsidRDefault="0080522A" w:rsidP="0080522A">
      <w:pPr>
        <w:pStyle w:val="Cuerpodelboletn"/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80522A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543A0" w:rsidRPr="00F31BC3" w:rsidRDefault="003543A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3543A0" w:rsidRPr="00F31BC3" w:rsidRDefault="003543A0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3543A0" w:rsidRPr="00F31BC3" w:rsidRDefault="003543A0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3543A0" w:rsidRPr="00F31BC3" w:rsidRDefault="003543A0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A0" w:rsidRDefault="003543A0" w:rsidP="00F31BC3">
      <w:r>
        <w:separator/>
      </w:r>
    </w:p>
  </w:endnote>
  <w:endnote w:type="continuationSeparator" w:id="0">
    <w:p w:rsidR="003543A0" w:rsidRDefault="003543A0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A0" w:rsidRDefault="003543A0" w:rsidP="00F31BC3">
      <w:r>
        <w:separator/>
      </w:r>
    </w:p>
  </w:footnote>
  <w:footnote w:type="continuationSeparator" w:id="0">
    <w:p w:rsidR="003543A0" w:rsidRDefault="003543A0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966A9"/>
    <w:multiLevelType w:val="hybridMultilevel"/>
    <w:tmpl w:val="F31C1CEA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0"/>
  </w:num>
  <w:num w:numId="5">
    <w:abstractNumId w:val="13"/>
  </w:num>
  <w:num w:numId="6">
    <w:abstractNumId w:val="14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6"/>
  </w:num>
  <w:num w:numId="12">
    <w:abstractNumId w:val="11"/>
  </w:num>
  <w:num w:numId="13">
    <w:abstractNumId w:val="6"/>
  </w:num>
  <w:num w:numId="14">
    <w:abstractNumId w:val="17"/>
  </w:num>
  <w:num w:numId="15">
    <w:abstractNumId w:val="2"/>
  </w:num>
  <w:num w:numId="16">
    <w:abstractNumId w:val="18"/>
  </w:num>
  <w:num w:numId="17">
    <w:abstractNumId w:val="9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D0702"/>
    <w:rsid w:val="002D27E4"/>
    <w:rsid w:val="002E409F"/>
    <w:rsid w:val="002E644A"/>
    <w:rsid w:val="002F06DC"/>
    <w:rsid w:val="0031769F"/>
    <w:rsid w:val="00347877"/>
    <w:rsid w:val="00352994"/>
    <w:rsid w:val="003543A0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301DF"/>
    <w:rsid w:val="00536832"/>
    <w:rsid w:val="00560FE3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707F5"/>
    <w:rsid w:val="0068392D"/>
    <w:rsid w:val="0069673B"/>
    <w:rsid w:val="006B75D8"/>
    <w:rsid w:val="006C0CDD"/>
    <w:rsid w:val="006D49E7"/>
    <w:rsid w:val="006D4C90"/>
    <w:rsid w:val="006E75DE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22A"/>
    <w:rsid w:val="00807495"/>
    <w:rsid w:val="00821526"/>
    <w:rsid w:val="0082470D"/>
    <w:rsid w:val="00825ACB"/>
    <w:rsid w:val="00826275"/>
    <w:rsid w:val="008514EC"/>
    <w:rsid w:val="00865E5A"/>
    <w:rsid w:val="00882A5B"/>
    <w:rsid w:val="00891E6F"/>
    <w:rsid w:val="00894358"/>
    <w:rsid w:val="0089455A"/>
    <w:rsid w:val="00897D04"/>
    <w:rsid w:val="008A5AAE"/>
    <w:rsid w:val="008C5461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361E"/>
    <w:rsid w:val="00A24E51"/>
    <w:rsid w:val="00A51AAD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91330"/>
    <w:rsid w:val="00CB6837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B5EC7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0820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583D19"/>
    <w:rsid w:val="005F6603"/>
    <w:rsid w:val="00722728"/>
    <w:rsid w:val="00787EBD"/>
    <w:rsid w:val="008E118A"/>
    <w:rsid w:val="00A104A7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6FA2A1-3A1E-4982-8EE5-96D5621C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7</TotalTime>
  <Pages>5</Pages>
  <Words>821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2021-10-29T10:37:00Z</dcterms:created>
  <dcterms:modified xsi:type="dcterms:W3CDTF">2021-11-04T11:25:00Z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