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1B4E96" w:rsidRPr="00006957" w:rsidRDefault="001B4E9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1B4E96" w:rsidRPr="00006957" w:rsidRDefault="001B4E9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4E96" w:rsidRDefault="001B4E9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C745E" w:rsidRDefault="00AC745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0A1239" w:rsidP="002A3BD9">
            <w:pPr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FENADISMER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0A123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24 de septiembre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0A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41FAE">
              <w:rPr>
                <w:sz w:val="24"/>
                <w:szCs w:val="24"/>
              </w:rPr>
              <w:t>ttps://www.fenadismer.e</w:t>
            </w:r>
            <w:r w:rsidR="00506854">
              <w:rPr>
                <w:sz w:val="24"/>
                <w:szCs w:val="24"/>
              </w:rPr>
              <w:t>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13AFC">
        <w:tc>
          <w:tcPr>
            <w:tcW w:w="1760" w:type="dxa"/>
            <w:shd w:val="clear" w:color="auto" w:fill="4D7F52"/>
          </w:tcPr>
          <w:p w:rsidR="00C43711" w:rsidRPr="00F14DA4" w:rsidRDefault="00C43711" w:rsidP="00E13AF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13AF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13AF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13AF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13AFC">
        <w:tc>
          <w:tcPr>
            <w:tcW w:w="1760" w:type="dxa"/>
          </w:tcPr>
          <w:p w:rsidR="002A3BD9" w:rsidRDefault="002A3BD9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13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13AFC">
        <w:tc>
          <w:tcPr>
            <w:tcW w:w="1760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13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13AFC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13AFC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13AF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13AF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13AF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13AF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13AF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3AFC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B4E9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672097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BA03B3" w:rsidRDefault="00CB5511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BA03B3" w:rsidRDefault="00BA03B3" w:rsidP="00672097">
            <w:pPr>
              <w:spacing w:before="660"/>
              <w:rPr>
                <w:sz w:val="20"/>
                <w:szCs w:val="20"/>
              </w:rPr>
            </w:pPr>
            <w:r w:rsidRPr="00BA03B3">
              <w:rPr>
                <w:sz w:val="20"/>
                <w:szCs w:val="20"/>
              </w:rPr>
              <w:t>FENADISMER dispone de un espacio denominado “Transparencia”</w:t>
            </w:r>
            <w:r>
              <w:rPr>
                <w:sz w:val="20"/>
                <w:szCs w:val="20"/>
              </w:rPr>
              <w:t xml:space="preserve"> accesible a través del apartado “La Organización”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BA03B3" w:rsidRDefault="00BA03B3" w:rsidP="00CB5511">
            <w:pPr>
              <w:jc w:val="center"/>
              <w:rPr>
                <w:sz w:val="20"/>
                <w:szCs w:val="20"/>
              </w:rPr>
            </w:pPr>
            <w:r w:rsidRPr="00BA03B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37"/>
        <w:gridCol w:w="3977"/>
      </w:tblGrid>
      <w:tr w:rsidR="00932008" w:rsidRPr="00932008" w:rsidTr="008F4C2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37" w:type="dxa"/>
            <w:vAlign w:val="center"/>
          </w:tcPr>
          <w:p w:rsidR="00932008" w:rsidRPr="00CB5511" w:rsidRDefault="00BA03B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8F4C25" w:rsidRPr="00932008" w:rsidRDefault="008F4C25" w:rsidP="008F4C25">
            <w:pPr>
              <w:rPr>
                <w:sz w:val="20"/>
                <w:szCs w:val="20"/>
              </w:rPr>
            </w:pPr>
          </w:p>
        </w:tc>
      </w:tr>
      <w:tr w:rsidR="00932008" w:rsidRPr="00932008" w:rsidTr="008F4C2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3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8F4C2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37" w:type="dxa"/>
            <w:vAlign w:val="center"/>
          </w:tcPr>
          <w:p w:rsidR="00932008" w:rsidRPr="00450343" w:rsidRDefault="00932008" w:rsidP="00450343">
            <w:pPr>
              <w:pStyle w:val="Cuerpodelboletn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8F4C25" w:rsidRDefault="008F4C25"/>
    <w:p w:rsidR="008F4C25" w:rsidRDefault="008F4C25" w:rsidP="008F4C25">
      <w:pPr>
        <w:spacing w:after="0" w:line="240" w:lineRule="auto"/>
      </w:pPr>
    </w:p>
    <w:p w:rsidR="008F4C25" w:rsidRDefault="008F4C25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  <w:rPr>
          <w:noProof/>
        </w:rPr>
      </w:pPr>
    </w:p>
    <w:p w:rsidR="00BA03B3" w:rsidRDefault="00BA03B3" w:rsidP="008F4C25">
      <w:pPr>
        <w:spacing w:after="0" w:line="240" w:lineRule="auto"/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6532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6532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F4C25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A03B3" w:rsidP="00784B3E">
            <w:pPr>
              <w:pStyle w:val="Cuerpodelboletn"/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Existe una referencia a la creación de la asociación </w:t>
            </w:r>
            <w:r w:rsidRPr="00BA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amparo de la Ley 19/1977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pero no se da acceso al texto de esta norma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nni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han localizado los Estatutos de la Asociación</w:t>
            </w:r>
          </w:p>
        </w:tc>
      </w:tr>
      <w:tr w:rsidR="00E34195" w:rsidRPr="00CB5511" w:rsidTr="00BA03B3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242CB">
            <w:pPr>
              <w:spacing w:before="48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BA03B3" w:rsidP="00BA03B3">
            <w:pPr>
              <w:pStyle w:val="Cuerpodelboletn"/>
              <w:spacing w:before="4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242CB" w:rsidRPr="00CB5511" w:rsidRDefault="007242CB" w:rsidP="007242CB">
            <w:pPr>
              <w:pStyle w:val="Cuerpodelboletn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BA03B3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BA03B3" w:rsidP="00BA0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242CB">
            <w:pPr>
              <w:pStyle w:val="Cuerpodelboletn"/>
              <w:spacing w:before="56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BA03B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BA0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A03B3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BA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BA03B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BA03B3" w:rsidRDefault="00BA03B3" w:rsidP="00BA03B3">
            <w:pPr>
              <w:pStyle w:val="Cuerpodelboletn"/>
              <w:spacing w:before="240"/>
              <w:jc w:val="center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BA03B3">
              <w:rPr>
                <w:rStyle w:val="Ttulo2Car"/>
                <w:b w:val="0"/>
                <w:sz w:val="32"/>
                <w:szCs w:val="32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242CB">
            <w:pPr>
              <w:pStyle w:val="Cuerpodelboletn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BA03B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BA0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A03B3" w:rsidP="00BA03B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BA03B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96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B4E96" w:rsidRPr="00ED29AA" w:rsidRDefault="001B4E96" w:rsidP="00BA03B3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B4E96" w:rsidRDefault="001B4E96" w:rsidP="00BA03B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>No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 sobre la normativa que le resulta de aplicación (Estatutos y normativa de carácter general que regula las actividades de la asociación)</w:t>
                            </w:r>
                          </w:p>
                          <w:p w:rsidR="001B4E96" w:rsidRDefault="001B4E96" w:rsidP="00BA03B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1B4E96" w:rsidRPr="00843035" w:rsidRDefault="001B4E96" w:rsidP="00BA03B3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1B4E96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B4E96" w:rsidRPr="00ED29AA" w:rsidRDefault="001B4E96" w:rsidP="00AC745E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Salvo la identificación de los máximos responsables, e general l</w:t>
                            </w:r>
                            <w:r w:rsidRPr="00794454">
                              <w:rPr>
                                <w:sz w:val="20"/>
                                <w:szCs w:val="20"/>
                              </w:rPr>
                              <w:t>a información no está datada y no existen 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4E96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B4E96" w:rsidRPr="00BD4582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C745E" w:rsidRDefault="00AC745E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C745E" w:rsidRPr="00ED29AA" w:rsidRDefault="00AC745E" w:rsidP="00BA03B3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AC745E" w:rsidRDefault="00AC745E" w:rsidP="00BA03B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>No se</w:t>
                      </w:r>
                      <w:r>
                        <w:rPr>
                          <w:sz w:val="20"/>
                          <w:szCs w:val="20"/>
                        </w:rPr>
                        <w:t xml:space="preserve"> informa sobre la normativa que le resulta de aplicación (Estatutos y normativa de carácter general que regula las actividades de la asociación)</w:t>
                      </w:r>
                    </w:p>
                    <w:p w:rsidR="00AC745E" w:rsidRDefault="00AC745E" w:rsidP="00BA03B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AC745E" w:rsidRPr="00843035" w:rsidRDefault="00AC745E" w:rsidP="00BA03B3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AC745E" w:rsidRDefault="00AC745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C745E" w:rsidRPr="00ED29AA" w:rsidRDefault="00AC745E" w:rsidP="00AC745E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Salvo la identificación de los máximos responsables, e general l</w:t>
                      </w:r>
                      <w:r w:rsidRPr="00794454">
                        <w:rPr>
                          <w:sz w:val="20"/>
                          <w:szCs w:val="20"/>
                        </w:rPr>
                        <w:t>a información no está datada y no existen 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C745E" w:rsidRDefault="00AC745E">
                      <w:pPr>
                        <w:rPr>
                          <w:b/>
                          <w:color w:val="00642D"/>
                        </w:rPr>
                      </w:pPr>
                    </w:p>
                    <w:p w:rsidR="00AC745E" w:rsidRPr="00BD4582" w:rsidRDefault="00AC745E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5A15F0" w:rsidRPr="00E34195" w:rsidTr="00B6532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5A15F0" w:rsidRPr="00E34195" w:rsidRDefault="005A15F0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A15F0" w:rsidRPr="00E34195" w:rsidRDefault="005A15F0" w:rsidP="00B6532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5A15F0" w:rsidRPr="00E34195" w:rsidRDefault="005A15F0" w:rsidP="00BA03B3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A15F0" w:rsidRPr="00E34195" w:rsidRDefault="005A15F0" w:rsidP="00B6532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A6AE3" w:rsidRPr="00CB5511" w:rsidTr="00EA6AE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Pr="00E34195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Pr="00CB5511" w:rsidRDefault="00EA6AE3" w:rsidP="00BA03B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A6AE3" w:rsidRPr="00CB5511" w:rsidTr="00EA6AE3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A6AE3" w:rsidRPr="00E34195" w:rsidRDefault="00EA6AE3" w:rsidP="00BA03B3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Default="00EA6AE3" w:rsidP="00BA03B3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A6AE3" w:rsidRPr="00CB5511" w:rsidTr="00EA6AE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Pr="00E34195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Pr="00CB5511" w:rsidRDefault="00EA6AE3" w:rsidP="00BA03B3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A6AE3" w:rsidRPr="00CB5511" w:rsidTr="00EA6AE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Default="00EA6AE3" w:rsidP="00BA03B3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de una subvención de la Comunidad de Madrid pero no se ha incluido la concedida en octubre de 2020 por el Ministerio de Transportes, Movilidad y Agenda Urbana.</w:t>
            </w:r>
          </w:p>
        </w:tc>
      </w:tr>
      <w:tr w:rsidR="00EA6AE3" w:rsidRPr="00CB5511" w:rsidTr="00EA6AE3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Default="00EA6AE3" w:rsidP="00BA03B3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A6AE3" w:rsidRPr="00CB5511" w:rsidTr="00EA6AE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Default="00EA6AE3" w:rsidP="00BA03B3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A6AE3" w:rsidRPr="00CB5511" w:rsidTr="00EA6AE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Default="00EA6AE3" w:rsidP="00BA03B3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A6AE3" w:rsidRPr="00CB5511" w:rsidTr="00EA6AE3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A6AE3" w:rsidRDefault="00EA6AE3" w:rsidP="00BA03B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A6AE3" w:rsidRDefault="00EA6AE3" w:rsidP="00BA03B3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A6AE3" w:rsidRPr="00EA6AE3" w:rsidRDefault="00EA6AE3" w:rsidP="00EA6AE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A6A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:rsidR="005A15F0" w:rsidRDefault="005A15F0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96" w:rsidRDefault="001B4E9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B4E96" w:rsidRDefault="001B4E96" w:rsidP="00AC745E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1B4E96" w:rsidRDefault="001B4E96" w:rsidP="00AC74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contratos adjudicados por administraciones públicas.</w:t>
                            </w:r>
                          </w:p>
                          <w:p w:rsidR="001B4E96" w:rsidRDefault="001B4E96" w:rsidP="00AC74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:rsidR="001B4E96" w:rsidRDefault="001B4E96" w:rsidP="00AC74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:rsidR="001B4E96" w:rsidRDefault="001B4E96" w:rsidP="00AC74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publican las cuentas anuales y los informes de auditoría</w:t>
                            </w:r>
                          </w:p>
                          <w:p w:rsidR="001B4E96" w:rsidRDefault="001B4E96" w:rsidP="00AC74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retribuciones percibidas por los máximos responsables</w:t>
                            </w:r>
                          </w:p>
                          <w:p w:rsidR="001B4E96" w:rsidRPr="00AC745E" w:rsidRDefault="001B4E96" w:rsidP="00AC74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sobre subvenciones está incompleta.</w:t>
                            </w:r>
                          </w:p>
                          <w:p w:rsidR="001B4E96" w:rsidRPr="00BD4582" w:rsidRDefault="001B4E9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B4E96" w:rsidRDefault="001B4E96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C745E" w:rsidRDefault="00AC745E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C745E" w:rsidRDefault="00AC745E" w:rsidP="00AC745E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AC745E" w:rsidRDefault="00AC745E" w:rsidP="00AC74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contratos adjudicados por administraciones públicas.</w:t>
                      </w:r>
                    </w:p>
                    <w:p w:rsidR="00AC745E" w:rsidRDefault="00AC745E" w:rsidP="00AC74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:rsidR="00AC745E" w:rsidRDefault="00AC745E" w:rsidP="00AC74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:rsidR="00AC745E" w:rsidRDefault="00AC745E" w:rsidP="00AC74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publican las cuentas anuales y los informes de auditoría</w:t>
                      </w:r>
                    </w:p>
                    <w:p w:rsidR="00AC745E" w:rsidRDefault="00AC745E" w:rsidP="00AC74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retribuciones percibidas por los máximos responsables</w:t>
                      </w:r>
                    </w:p>
                    <w:p w:rsidR="00AC745E" w:rsidRPr="00AC745E" w:rsidRDefault="00AC745E" w:rsidP="00AC74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sobre subvenciones está incompleta.</w:t>
                      </w:r>
                    </w:p>
                    <w:p w:rsidR="00AC745E" w:rsidRPr="00BD4582" w:rsidRDefault="00AC745E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C745E" w:rsidRDefault="00AC745E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AC745E" w:rsidRDefault="00AC745E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A6AE3" w:rsidRPr="00FD0689" w:rsidTr="00EA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A6AE3" w:rsidRPr="00FD0689" w:rsidRDefault="00EA6AE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50,0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50,0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50,0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50,0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50,0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50,0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0,0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0A99">
              <w:t>42,9</w:t>
            </w:r>
          </w:p>
        </w:tc>
      </w:tr>
      <w:tr w:rsidR="00EA6AE3" w:rsidRPr="00FD0689" w:rsidTr="00EA6AE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A6AE3" w:rsidRPr="00FD0689" w:rsidRDefault="00EA6AE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12,5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12,5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12,5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12,5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12,5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12,5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6,3</w:t>
            </w:r>
          </w:p>
        </w:tc>
        <w:tc>
          <w:tcPr>
            <w:tcW w:w="0" w:type="auto"/>
            <w:noWrap/>
            <w:vAlign w:val="center"/>
          </w:tcPr>
          <w:p w:rsidR="00EA6AE3" w:rsidRPr="009D0A99" w:rsidRDefault="00EA6AE3" w:rsidP="00EA6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0A99">
              <w:t>11,6</w:t>
            </w:r>
          </w:p>
        </w:tc>
      </w:tr>
      <w:tr w:rsidR="00EA6AE3" w:rsidRPr="00A94BCA" w:rsidTr="00EA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A6AE3" w:rsidRPr="002A154B" w:rsidRDefault="00EA6AE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EA6AE3" w:rsidRPr="00EA6AE3" w:rsidRDefault="00EA6AE3" w:rsidP="00EA6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A6AE3">
              <w:rPr>
                <w:b/>
                <w:i/>
              </w:rPr>
              <w:t>25,0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AC745E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25%. Los factores que explican el nivel de cumplimiento alcanzado son la omisión de la publicación de contenidos obligatorios – sólo se publica el 28,6%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C745E" w:rsidRDefault="00AC745E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382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96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B4E96" w:rsidRPr="00794454" w:rsidRDefault="001B4E96" w:rsidP="00AC745E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FENADISMER</w:t>
                            </w:r>
                            <w:r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 </w:t>
                            </w:r>
                          </w:p>
                          <w:p w:rsidR="001B4E96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B4E96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B4E96" w:rsidRPr="002A154B" w:rsidRDefault="001B4E9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7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U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ZZxYa&#10;kmhzAOmQScWC6gOyPJLUtb6g2IeWokP/FnsSOxXs23sU3z2zuKnB7tWtc9jVCiQlOYk3s6urA46P&#10;ILvuI0p6DQ4BE1BfuSYySJwwQiexHi8CUR5M0OE8n0+XE3IJ8k3y14t8liTMoDhfb50P7xU2LG5K&#10;7qgDEjwc732I6UBxDomveTRabrUxyXD73cY4dgTqlm36UgXPwoxlXcmXs3w2MPBXiHH6/gTR6EBt&#10;b3RT8sUlCIrI2zsrU1MG0GbYU8rGnoiM3A0shn7XJ+GmZ312KB+JWYdDl9NU0qZG95Ozjjq85P7H&#10;AZzizHywpM5yMp3GkUjGdPYmJ8Nde3bXHrCCoEoeOBu2m5DGKPJm8ZZUrHTiN8o9ZHJKmTo30X6a&#10;sjga13aK+vUvWD8BAAD//wMAUEsDBBQABgAIAAAAIQC4hYZi3AAAAAUBAAAPAAAAZHJzL2Rvd25y&#10;ZXYueG1sTI/NTsMwEITvSLyDtUhcEHX4C0mIUyEkEL1BQXB1420SYa+D7abh7Vm4wGWk1Yxmvq2X&#10;s7NiwhAHTwrOFhkIpNabgToFry/3pwWImDQZbT2hgi+MsGwOD2pdGb+nZ5zWqRNcQrHSCvqUxkrK&#10;2PbodFz4EYm9rQ9OJz5DJ03Qey53Vp5nWS6dHogXej3iXY/tx3rnFBSXj9N7XF08vbX51pbp5Hp6&#10;+AxKHR/NtzcgEs7pLww/+IwODTNt/I5MFFYBP5J+lb2yyHMQGw6VVxnIppb/6ZtvAAAA//8DAFBL&#10;AQItABQABgAIAAAAIQC2gziS/gAAAOEBAAATAAAAAAAAAAAAAAAAAAAAAABbQ29udGVudF9UeXBl&#10;c10ueG1sUEsBAi0AFAAGAAgAAAAhADj9If/WAAAAlAEAAAsAAAAAAAAAAAAAAAAALwEAAF9yZWxz&#10;Ly5yZWxzUEsBAi0AFAAGAAgAAAAhAJkAh1QsAgAAUwQAAA4AAAAAAAAAAAAAAAAALgIAAGRycy9l&#10;Mm9Eb2MueG1sUEsBAi0AFAAGAAgAAAAhALiFhmLcAAAABQEAAA8AAAAAAAAAAAAAAAAAhgQAAGRy&#10;cy9kb3ducmV2LnhtbFBLBQYAAAAABAAEAPMAAACPBQAAAAA=&#10;">
                <v:textbox>
                  <w:txbxContent>
                    <w:p w:rsidR="00AC745E" w:rsidRDefault="00AC745E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C745E" w:rsidRPr="00794454" w:rsidRDefault="00AC745E" w:rsidP="00AC745E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FENADISMER</w:t>
                      </w:r>
                      <w:r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 </w:t>
                      </w:r>
                    </w:p>
                    <w:p w:rsidR="00AC745E" w:rsidRDefault="00AC745E">
                      <w:pPr>
                        <w:rPr>
                          <w:b/>
                          <w:color w:val="00642D"/>
                        </w:rPr>
                      </w:pPr>
                    </w:p>
                    <w:p w:rsidR="00AC745E" w:rsidRDefault="00AC745E">
                      <w:pPr>
                        <w:rPr>
                          <w:b/>
                          <w:color w:val="00642D"/>
                        </w:rPr>
                      </w:pPr>
                    </w:p>
                    <w:p w:rsidR="00AC745E" w:rsidRPr="002A154B" w:rsidRDefault="00AC745E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D33B91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88488" wp14:editId="6AE141AD">
                <wp:simplePos x="0" y="0"/>
                <wp:positionH relativeFrom="column">
                  <wp:posOffset>133350</wp:posOffset>
                </wp:positionH>
                <wp:positionV relativeFrom="paragraph">
                  <wp:posOffset>73660</wp:posOffset>
                </wp:positionV>
                <wp:extent cx="6264910" cy="14763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96" w:rsidRDefault="001B4E9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B4E96" w:rsidRDefault="001B4E96" w:rsidP="002A154B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AC745E">
                              <w:rPr>
                                <w:rFonts w:eastAsia="Times New Roman" w:cs="Times New Roman"/>
                              </w:rPr>
                              <w:t xml:space="preserve">Como buenas prácticas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que podrían ser aplicables por otras organizaciones sujetas a obligaciones de publicidad activa, cabe destacar:</w:t>
                            </w:r>
                          </w:p>
                          <w:p w:rsidR="001B4E96" w:rsidRPr="00AC745E" w:rsidRDefault="001B4E96" w:rsidP="002A154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AC745E">
                              <w:rPr>
                                <w:rFonts w:eastAsia="Times New Roman" w:cs="Times New Roman"/>
                              </w:rPr>
                              <w:t>La creación de un Portal de Transparencia en la web institucional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5.8pt;width:493.3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gqKwIAAFMEAAAOAAAAZHJzL2Uyb0RvYy54bWysVNtu2zAMfR+wfxD0vjjJkrQx4hRdugwD&#10;ugvQ7QNoSY6FyaInKbGzry8lp2l2exnmB0EUqaPDQ9Krm74x7KCc12gLPhmNOVNWoNR2V/CvX7av&#10;rjnzAawEg1YV/Kg8v1m/fLHq2lxNsUYjlWMEYn3etQWvQ2jzLPOiVg34EbbKkrNC10Ag0+0y6aAj&#10;9MZk0/F4kXXoZOtQKO/p9G5w8nXCryolwqeq8iowU3DiFtLq0lrGNVuvIN85aGstTjTgH1g0oC09&#10;eoa6gwBs7/RvUI0WDj1WYSSwybCqtFApB8pmMv4lm4caWpVyIXF8e5bJ/z9Y8fHw2TEtC77gzEJD&#10;JdrsQTpkUrGg+oBsGkXqWp9T7ENL0aF/gz0VOyXs23sU3zyzuKnB7tStc9jVCiSRnMSb2cXVAcdH&#10;kLL7gJJeg33ABNRXrokKkiaM0KlYx3OBiAcTdLiYLmbLCbkE+Sazq8Xrq3l6A/Kn663z4Z3ChsVN&#10;wR11QIKHw70PkQ7kTyHxNY9Gy602JhluV26MYwegbtmm74T+U5ixrCv4cj6dDwr8FWKcvj9BNDpQ&#10;2xvdFPz6HAR51O2tlakpA2gz7ImysScho3aDiqEv+1S4pEAUuUR5JGUdDl1OU0mbGt0Pzjrq8IL7&#10;73twijPz3lJ1lpPZLI5EMmbzqykZ7tJTXnrACoIqeOBs2G5CGqOom8VbqmKlk77PTE6UqXOT7Kcp&#10;i6Nxaaeo53/B+hEAAP//AwBQSwMEFAAGAAgAAAAhAIgi9C7fAAAACgEAAA8AAABkcnMvZG93bnJl&#10;di54bWxMj8FOwzAQRO9I/IO1SFwQtVOitIQ4FUICwa2Uqlzd2E0i7HWw3TT8PdsT3HZ3RrNvqtXk&#10;LBtNiL1HCdlMADPYeN1jK2H78Xy7BBaTQq2sRyPhx0RY1ZcXlSq1P+G7GTepZRSCsVQSupSGkvPY&#10;dMapOPODQdIOPjiVaA0t10GdKNxZPhei4E71SB86NZinzjRfm6OTsMxfx8/4drfeNcXB3qebxfjy&#10;HaS8vpoeH4AlM6U/M5zxCR1qYtr7I+rIrIR5RlUS3bMC2FkXYkHTnpQ8z4DXFf9fof4FAAD//wMA&#10;UEsBAi0AFAAGAAgAAAAhALaDOJL+AAAA4QEAABMAAAAAAAAAAAAAAAAAAAAAAFtDb250ZW50X1R5&#10;cGVzXS54bWxQSwECLQAUAAYACAAAACEAOP0h/9YAAACUAQAACwAAAAAAAAAAAAAAAAAvAQAAX3Jl&#10;bHMvLnJlbHNQSwECLQAUAAYACAAAACEADQcIKisCAABTBAAADgAAAAAAAAAAAAAAAAAuAgAAZHJz&#10;L2Uyb0RvYy54bWxQSwECLQAUAAYACAAAACEAiCL0Lt8AAAAKAQAADwAAAAAAAAAAAAAAAACFBAAA&#10;ZHJzL2Rvd25yZXYueG1sUEsFBgAAAAAEAAQA8wAAAJEFAAAAAA==&#10;">
                <v:textbox>
                  <w:txbxContent>
                    <w:p w:rsidR="00AC745E" w:rsidRDefault="00AC745E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C745E" w:rsidRDefault="00AC745E" w:rsidP="002A154B">
                      <w:pPr>
                        <w:rPr>
                          <w:rFonts w:eastAsia="Times New Roman" w:cs="Times New Roman"/>
                        </w:rPr>
                      </w:pPr>
                      <w:r w:rsidRPr="00AC745E">
                        <w:rPr>
                          <w:rFonts w:eastAsia="Times New Roman" w:cs="Times New Roman"/>
                        </w:rPr>
                        <w:t xml:space="preserve">Como buenas prácticas </w:t>
                      </w:r>
                      <w:r>
                        <w:rPr>
                          <w:rFonts w:eastAsia="Times New Roman" w:cs="Times New Roman"/>
                        </w:rPr>
                        <w:t>que podrían ser aplicables por otras organizaciones sujetas a obligaciones de publicidad activa, cabe destacar:</w:t>
                      </w:r>
                    </w:p>
                    <w:p w:rsidR="00AC745E" w:rsidRPr="00AC745E" w:rsidRDefault="00AC745E" w:rsidP="002A154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AC745E">
                        <w:rPr>
                          <w:rFonts w:eastAsia="Times New Roman" w:cs="Times New Roman"/>
                        </w:rPr>
                        <w:t>La creación de un Portal de Transparencia en la web institucional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B40246" w:rsidRDefault="00B40246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AC745E" w:rsidRPr="00993AC2" w:rsidRDefault="00AC745E" w:rsidP="00AC745E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FENADISMER</w:t>
      </w:r>
      <w:r w:rsidRPr="00993AC2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25</w:t>
      </w:r>
      <w:r w:rsidRPr="00993AC2">
        <w:rPr>
          <w:rFonts w:eastAsia="Times New Roman" w:cs="Arial"/>
        </w:rPr>
        <w:t xml:space="preserve">%. </w:t>
      </w:r>
    </w:p>
    <w:p w:rsidR="00AC745E" w:rsidRPr="008017C0" w:rsidRDefault="00AC745E" w:rsidP="00AC745E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Pr="00AC745E">
        <w:rPr>
          <w:rFonts w:eastAsia="Times New Roman" w:cs="Arial"/>
        </w:rPr>
        <w:t>FENADISMER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AC745E" w:rsidRPr="008017C0" w:rsidRDefault="00AC745E" w:rsidP="00AC745E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AC745E" w:rsidRDefault="00AC745E" w:rsidP="00AC745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AC745E" w:rsidRDefault="00AC745E" w:rsidP="00AC745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AC745E" w:rsidRPr="00794454" w:rsidRDefault="00AC745E" w:rsidP="00AC745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>
        <w:rPr>
          <w:rFonts w:eastAsiaTheme="minorHAnsi" w:cs="Arial"/>
          <w:lang w:eastAsia="en-US" w:bidi="es-ES"/>
        </w:rPr>
        <w:t xml:space="preserve">a que le resulta de aplicación </w:t>
      </w:r>
    </w:p>
    <w:p w:rsidR="00AC745E" w:rsidRPr="00794454" w:rsidRDefault="00AC745E" w:rsidP="00AC745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el organigrama </w:t>
      </w:r>
      <w:r w:rsidR="00E963B3">
        <w:rPr>
          <w:rFonts w:eastAsiaTheme="minorHAnsi" w:cs="Arial"/>
          <w:szCs w:val="24"/>
          <w:lang w:eastAsia="en-US" w:bidi="es-ES"/>
        </w:rPr>
        <w:t xml:space="preserve">de </w:t>
      </w:r>
      <w:r w:rsidRPr="00794454">
        <w:rPr>
          <w:rFonts w:eastAsiaTheme="minorHAnsi" w:cs="Arial"/>
          <w:szCs w:val="24"/>
          <w:lang w:eastAsia="en-US" w:bidi="es-ES"/>
        </w:rPr>
        <w:t xml:space="preserve"> </w:t>
      </w:r>
      <w:r w:rsidR="00E963B3">
        <w:rPr>
          <w:rFonts w:eastAsia="Times New Roman" w:cs="Arial"/>
        </w:rPr>
        <w:t>FENADISMER</w:t>
      </w:r>
    </w:p>
    <w:p w:rsidR="00AC745E" w:rsidRPr="00794454" w:rsidRDefault="00AC745E" w:rsidP="00AC745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publicarse información sobre los perfiles y trayectorias profesionales de sus responsables.</w:t>
      </w:r>
    </w:p>
    <w:p w:rsidR="00AC745E" w:rsidRDefault="00AC745E" w:rsidP="00AC745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</w:t>
      </w:r>
      <w:r w:rsidR="00E963B3">
        <w:rPr>
          <w:rFonts w:eastAsia="Times New Roman" w:cs="Arial"/>
          <w:bCs/>
          <w:szCs w:val="36"/>
        </w:rPr>
        <w:t xml:space="preserve">ampliarse la información publicada sobre subvenciones y ayudas públicas, incorporando la subvención concedida por el Ministerio de Transportes, Movilidad y Agenda Urbana. </w:t>
      </w:r>
      <w:r w:rsidRPr="00805C29">
        <w:rPr>
          <w:rFonts w:eastAsia="Times New Roman" w:cs="Arial"/>
          <w:bCs/>
          <w:szCs w:val="36"/>
        </w:rPr>
        <w:t>.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805C29">
        <w:rPr>
          <w:rFonts w:cs="Arial"/>
          <w:bCs/>
        </w:rPr>
        <w:t>Deben publicarse las cuentas anuales.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AC745E" w:rsidRPr="00805C29" w:rsidRDefault="00AC745E" w:rsidP="00AC745E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AC745E" w:rsidRPr="008017C0" w:rsidRDefault="00AC745E" w:rsidP="00AC745E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AC745E" w:rsidRPr="008017C0" w:rsidRDefault="00AC745E" w:rsidP="00AC745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AC745E" w:rsidRPr="00E963B3" w:rsidRDefault="00AC745E" w:rsidP="00AC745E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AC745E" w:rsidRPr="00E963B3" w:rsidRDefault="00E963B3" w:rsidP="00E963B3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rFonts w:eastAsiaTheme="minorHAnsi"/>
          <w:color w:val="FF0000"/>
          <w:szCs w:val="24"/>
          <w:lang w:eastAsia="en-US"/>
        </w:rPr>
      </w:pPr>
      <w:r w:rsidRPr="00E963B3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</w:p>
    <w:p w:rsidR="00AC745E" w:rsidRPr="00380060" w:rsidRDefault="00AC745E" w:rsidP="00AC745E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AC745E" w:rsidRPr="008017C0" w:rsidRDefault="00AC745E" w:rsidP="00AC745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C745E" w:rsidRPr="008017C0" w:rsidRDefault="00AC745E" w:rsidP="00AC745E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121C30" w:rsidRDefault="00121C30">
      <w:r>
        <w:br w:type="page"/>
      </w:r>
    </w:p>
    <w:p w:rsidR="00121C30" w:rsidRPr="00121C30" w:rsidRDefault="001B4E96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13AF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13AFC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13AFC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13AF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13AFC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13AFC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13AFC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13AFC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13AFC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13AFC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13AFC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13AFC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13AF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13AFC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13AFC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13AFC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13AF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13AFC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13AFC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13AFC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13AFC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13AFC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13AF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13AF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13AFC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13AFC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13AFC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96" w:rsidRDefault="001B4E96" w:rsidP="00932008">
      <w:pPr>
        <w:spacing w:after="0" w:line="240" w:lineRule="auto"/>
      </w:pPr>
      <w:r>
        <w:separator/>
      </w:r>
    </w:p>
  </w:endnote>
  <w:endnote w:type="continuationSeparator" w:id="0">
    <w:p w:rsidR="001B4E96" w:rsidRDefault="001B4E9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6" w:rsidRDefault="001B4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6" w:rsidRDefault="001B4E9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6" w:rsidRDefault="001B4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96" w:rsidRDefault="001B4E96" w:rsidP="00932008">
      <w:pPr>
        <w:spacing w:after="0" w:line="240" w:lineRule="auto"/>
      </w:pPr>
      <w:r>
        <w:separator/>
      </w:r>
    </w:p>
  </w:footnote>
  <w:footnote w:type="continuationSeparator" w:id="0">
    <w:p w:rsidR="001B4E96" w:rsidRDefault="001B4E9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6" w:rsidRDefault="001B4E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6" w:rsidRDefault="001B4E9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96" w:rsidRDefault="001B4E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00A1D"/>
    <w:multiLevelType w:val="hybridMultilevel"/>
    <w:tmpl w:val="390847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E70080E"/>
    <w:multiLevelType w:val="hybridMultilevel"/>
    <w:tmpl w:val="13F0226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6666A"/>
    <w:rsid w:val="000965B3"/>
    <w:rsid w:val="000A1239"/>
    <w:rsid w:val="000C6CFF"/>
    <w:rsid w:val="00102733"/>
    <w:rsid w:val="00121C30"/>
    <w:rsid w:val="001561A4"/>
    <w:rsid w:val="0019518C"/>
    <w:rsid w:val="001B4E96"/>
    <w:rsid w:val="001B614A"/>
    <w:rsid w:val="00241FAE"/>
    <w:rsid w:val="00245F37"/>
    <w:rsid w:val="002A154B"/>
    <w:rsid w:val="002A3BD9"/>
    <w:rsid w:val="00316B14"/>
    <w:rsid w:val="003E155F"/>
    <w:rsid w:val="003F271E"/>
    <w:rsid w:val="003F572A"/>
    <w:rsid w:val="00450343"/>
    <w:rsid w:val="004F2655"/>
    <w:rsid w:val="00506854"/>
    <w:rsid w:val="00521DA9"/>
    <w:rsid w:val="00544E0C"/>
    <w:rsid w:val="0056132B"/>
    <w:rsid w:val="00561402"/>
    <w:rsid w:val="0057532F"/>
    <w:rsid w:val="005A15F0"/>
    <w:rsid w:val="005A426D"/>
    <w:rsid w:val="005B13BD"/>
    <w:rsid w:val="005B6CF5"/>
    <w:rsid w:val="005F29B8"/>
    <w:rsid w:val="00672097"/>
    <w:rsid w:val="006A2766"/>
    <w:rsid w:val="00710031"/>
    <w:rsid w:val="007242CB"/>
    <w:rsid w:val="00743756"/>
    <w:rsid w:val="00784B3E"/>
    <w:rsid w:val="007B0F99"/>
    <w:rsid w:val="00843911"/>
    <w:rsid w:val="00844FA9"/>
    <w:rsid w:val="00875AA7"/>
    <w:rsid w:val="008C1E1E"/>
    <w:rsid w:val="008F4C25"/>
    <w:rsid w:val="00932008"/>
    <w:rsid w:val="009609E9"/>
    <w:rsid w:val="009E1D68"/>
    <w:rsid w:val="00A8146B"/>
    <w:rsid w:val="00AC4F51"/>
    <w:rsid w:val="00AC745E"/>
    <w:rsid w:val="00AD2022"/>
    <w:rsid w:val="00AD2591"/>
    <w:rsid w:val="00AF6C05"/>
    <w:rsid w:val="00B0673F"/>
    <w:rsid w:val="00B40246"/>
    <w:rsid w:val="00B62F91"/>
    <w:rsid w:val="00B6532E"/>
    <w:rsid w:val="00B841AE"/>
    <w:rsid w:val="00BA03B3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D17F0A"/>
    <w:rsid w:val="00D22945"/>
    <w:rsid w:val="00D33B91"/>
    <w:rsid w:val="00D96F84"/>
    <w:rsid w:val="00DD58B3"/>
    <w:rsid w:val="00DF63E7"/>
    <w:rsid w:val="00E13AFC"/>
    <w:rsid w:val="00E3088D"/>
    <w:rsid w:val="00E34195"/>
    <w:rsid w:val="00E47613"/>
    <w:rsid w:val="00E963B3"/>
    <w:rsid w:val="00EA6AE3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AC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AC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57408F"/>
    <w:rsid w:val="00A07C79"/>
    <w:rsid w:val="00B26E06"/>
    <w:rsid w:val="00BF2C04"/>
    <w:rsid w:val="00D35513"/>
    <w:rsid w:val="00DB51FE"/>
    <w:rsid w:val="00DC084A"/>
    <w:rsid w:val="00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3F974-73AF-44D7-8FBB-36A4A9D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91</TotalTime>
  <Pages>9</Pages>
  <Words>1768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16</cp:revision>
  <cp:lastPrinted>2007-10-26T10:03:00Z</cp:lastPrinted>
  <dcterms:created xsi:type="dcterms:W3CDTF">2021-09-24T11:06:00Z</dcterms:created>
  <dcterms:modified xsi:type="dcterms:W3CDTF">2022-01-12T10:45:00Z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