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72F37" w:rsidRPr="00006957" w:rsidRDefault="00172F3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72F37" w:rsidRPr="00006957" w:rsidRDefault="00172F3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F37" w:rsidRDefault="00172F3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72F37" w:rsidRDefault="00172F3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866E4" w:rsidRPr="00CB5511" w:rsidTr="00BB6799">
        <w:tc>
          <w:tcPr>
            <w:tcW w:w="3652" w:type="dxa"/>
          </w:tcPr>
          <w:p w:rsidR="003866E4" w:rsidRPr="00E34195" w:rsidRDefault="003866E4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3866E4" w:rsidRPr="00A81CD2" w:rsidRDefault="003866E4" w:rsidP="00172F37">
            <w:bookmarkStart w:id="0" w:name="_GoBack"/>
            <w:bookmarkEnd w:id="0"/>
            <w:r w:rsidRPr="00A81CD2">
              <w:t>ORGANIZACIÓN DE PRODUCTORES DE BUQUES CONGELADORES DE MERLÚCIDOS, CEFALÓPODOS Y ESPECIES VARIAS.</w:t>
            </w:r>
          </w:p>
        </w:tc>
      </w:tr>
      <w:tr w:rsidR="003866E4" w:rsidRPr="00CB5511" w:rsidTr="00BB6799">
        <w:tc>
          <w:tcPr>
            <w:tcW w:w="3652" w:type="dxa"/>
          </w:tcPr>
          <w:p w:rsidR="003866E4" w:rsidRPr="00E34195" w:rsidRDefault="003866E4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3866E4" w:rsidRPr="00A81CD2" w:rsidRDefault="003866E4" w:rsidP="003866E4">
            <w:r>
              <w:t xml:space="preserve">25 </w:t>
            </w:r>
            <w:r w:rsidRPr="00A81CD2">
              <w:t xml:space="preserve">de </w:t>
            </w:r>
            <w:r>
              <w:t>octubre</w:t>
            </w:r>
            <w:r w:rsidRPr="00A81CD2">
              <w:t xml:space="preserve"> de 2021</w:t>
            </w:r>
          </w:p>
        </w:tc>
      </w:tr>
      <w:tr w:rsidR="003866E4" w:rsidRPr="00CB5511" w:rsidTr="00BB6799">
        <w:tc>
          <w:tcPr>
            <w:tcW w:w="3652" w:type="dxa"/>
          </w:tcPr>
          <w:p w:rsidR="003866E4" w:rsidRPr="00E34195" w:rsidRDefault="003866E4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3866E4" w:rsidRDefault="003866E4" w:rsidP="00172F37">
            <w:r w:rsidRPr="00A81CD2">
              <w:t>https://www.oppc3.com/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37E1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F1D97" w:rsidP="00172F37">
            <w:pPr>
              <w:jc w:val="both"/>
              <w:rPr>
                <w:sz w:val="20"/>
                <w:szCs w:val="20"/>
              </w:rPr>
            </w:pPr>
            <w:r w:rsidRPr="00BB5754">
              <w:rPr>
                <w:sz w:val="20"/>
                <w:szCs w:val="20"/>
              </w:rPr>
              <w:t xml:space="preserve">La información sujeta a obligaciones de publicidad activa que se ha podido localizar se ubica en </w:t>
            </w:r>
            <w:r w:rsidR="00172F37">
              <w:rPr>
                <w:sz w:val="20"/>
                <w:szCs w:val="20"/>
              </w:rPr>
              <w:t>los</w:t>
            </w:r>
            <w:r w:rsidRPr="00BB5754">
              <w:rPr>
                <w:sz w:val="20"/>
                <w:szCs w:val="20"/>
              </w:rPr>
              <w:t xml:space="preserve"> apartado</w:t>
            </w:r>
            <w:r w:rsidR="00172F37">
              <w:rPr>
                <w:sz w:val="20"/>
                <w:szCs w:val="20"/>
              </w:rPr>
              <w:t>s</w:t>
            </w:r>
            <w:r w:rsidRPr="00BB5754">
              <w:rPr>
                <w:sz w:val="20"/>
                <w:szCs w:val="20"/>
              </w:rPr>
              <w:t xml:space="preserve"> “</w:t>
            </w:r>
            <w:r w:rsidR="00172F37">
              <w:rPr>
                <w:sz w:val="20"/>
                <w:szCs w:val="20"/>
              </w:rPr>
              <w:t>Quiénes somos</w:t>
            </w:r>
            <w:r>
              <w:rPr>
                <w:sz w:val="20"/>
                <w:szCs w:val="20"/>
              </w:rPr>
              <w:t xml:space="preserve">” </w:t>
            </w:r>
            <w:r w:rsidR="00172F37">
              <w:rPr>
                <w:sz w:val="20"/>
                <w:szCs w:val="20"/>
              </w:rPr>
              <w:t>y “Perfil del Contratante”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172F37" w:rsidRDefault="007F1D97" w:rsidP="00CB5511">
            <w:pPr>
              <w:jc w:val="center"/>
              <w:rPr>
                <w:sz w:val="20"/>
                <w:szCs w:val="20"/>
              </w:rPr>
            </w:pPr>
            <w:r w:rsidRPr="00172F37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8D19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172F37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DA1E0B" w:rsidP="00DA1E0B">
      <w:pPr>
        <w:ind w:left="993"/>
      </w:pPr>
      <w:r>
        <w:rPr>
          <w:noProof/>
        </w:rPr>
        <w:drawing>
          <wp:inline distT="0" distB="0" distL="0" distR="0" wp14:anchorId="2199C6C9">
            <wp:extent cx="5614670" cy="293878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993AC2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172F3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Pr="00E32D9E">
              <w:rPr>
                <w:sz w:val="20"/>
                <w:szCs w:val="20"/>
              </w:rPr>
              <w:t>“</w:t>
            </w:r>
            <w:r w:rsidR="00172F37">
              <w:rPr>
                <w:sz w:val="20"/>
                <w:szCs w:val="20"/>
              </w:rPr>
              <w:t>Quiénes somos</w:t>
            </w:r>
            <w:r w:rsidR="00794454">
              <w:rPr>
                <w:sz w:val="20"/>
                <w:szCs w:val="20"/>
              </w:rPr>
              <w:t>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D29AA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172F37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172F37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37" w:rsidRDefault="00172F3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72F37" w:rsidRPr="00ED29AA" w:rsidRDefault="00172F37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72F37" w:rsidRDefault="00172F37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>No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 sobre la normativa que le resulta de aplicación (Estatutos y normativa de carácter general que regula las actividades de la asociación)</w:t>
                            </w:r>
                          </w:p>
                          <w:p w:rsidR="00172F37" w:rsidRDefault="00172F37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una descripción de la estructura organizativa de la asociación</w:t>
                            </w:r>
                          </w:p>
                          <w:p w:rsidR="00172F37" w:rsidRDefault="00172F37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172F37" w:rsidRDefault="00172F37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los máximos responsables</w:t>
                            </w:r>
                          </w:p>
                          <w:p w:rsidR="00172F37" w:rsidRPr="00843035" w:rsidRDefault="00172F37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72F37" w:rsidRPr="00ED29AA" w:rsidRDefault="00172F37" w:rsidP="007F1D97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72F37" w:rsidRPr="00ED29AA" w:rsidRDefault="00172F37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72F37" w:rsidRPr="00ED29AA" w:rsidRDefault="00172F37" w:rsidP="0079445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794454">
                              <w:rPr>
                                <w:sz w:val="20"/>
                                <w:szCs w:val="20"/>
                              </w:rPr>
                              <w:t>a información no está datada y no existen 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72F37" w:rsidRDefault="00172F3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72F37" w:rsidRPr="00ED29AA" w:rsidRDefault="00172F37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72F37" w:rsidRDefault="00172F37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>No se</w:t>
                      </w:r>
                      <w:r>
                        <w:rPr>
                          <w:sz w:val="20"/>
                          <w:szCs w:val="20"/>
                        </w:rPr>
                        <w:t xml:space="preserve"> informa sobre la normativa que le resulta de aplicación (Estatutos y normativa de carácter general que regula las actividades de la asociación)</w:t>
                      </w:r>
                    </w:p>
                    <w:p w:rsidR="00172F37" w:rsidRDefault="00172F37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una descripción de la estructura organizativa de la asociación</w:t>
                      </w:r>
                    </w:p>
                    <w:p w:rsidR="00172F37" w:rsidRDefault="00172F37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172F37" w:rsidRDefault="00172F37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los máximos responsables</w:t>
                      </w:r>
                    </w:p>
                    <w:p w:rsidR="00172F37" w:rsidRPr="00843035" w:rsidRDefault="00172F37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172F37" w:rsidRPr="00ED29AA" w:rsidRDefault="00172F37" w:rsidP="007F1D97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172F37" w:rsidRPr="00ED29AA" w:rsidRDefault="00172F37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172F37" w:rsidRPr="00ED29AA" w:rsidRDefault="00172F37" w:rsidP="0079445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794454">
                        <w:rPr>
                          <w:sz w:val="20"/>
                          <w:szCs w:val="20"/>
                        </w:rPr>
                        <w:t>a información no está datada y no existen 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172F3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Pr="00E34195" w:rsidRDefault="007F1D97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172F37" w:rsidRDefault="00172F3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72F3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Perfil del Contratante. Se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172F3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publican los contratos adjudicados por la asociación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pero no se informa sobre los contratos adjudicados a la asociación por administraciones públicas</w:t>
            </w:r>
          </w:p>
        </w:tc>
      </w:tr>
      <w:tr w:rsidR="007F1D97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172F37" w:rsidP="00DD533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E38F9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478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37" w:rsidRPr="00317E97" w:rsidRDefault="00172F37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172F37" w:rsidRPr="00317E97" w:rsidRDefault="00172F37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172F37" w:rsidRDefault="00172F37" w:rsidP="00993AC2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Aunque se publica información sobre los contratos adjudicados por la asociación no se informa sobre aquellos adjudicados por administraciones públicas a la asociación.</w:t>
                            </w:r>
                          </w:p>
                          <w:p w:rsidR="00172F37" w:rsidRPr="00317E97" w:rsidRDefault="00172F37" w:rsidP="00993AC2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72F37" w:rsidRDefault="00172F37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">
                <v:textbox>
                  <w:txbxContent>
                    <w:p w:rsidR="00172F37" w:rsidRPr="00317E97" w:rsidRDefault="00172F37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172F37" w:rsidRPr="00317E97" w:rsidRDefault="00172F37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172F37" w:rsidRDefault="00172F37" w:rsidP="00993AC2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Aunque se publica información sobre los contratos adjudicados por la asociación no se informa sobre aquellos adjudicados por administraciones públicas a la asociación.</w:t>
                      </w:r>
                    </w:p>
                    <w:p w:rsidR="00172F37" w:rsidRPr="00317E97" w:rsidRDefault="00172F37" w:rsidP="00993AC2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172F37" w:rsidRDefault="00172F37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72F37" w:rsidRDefault="00172F37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72F37" w:rsidRDefault="00172F37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805C29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72F37" w:rsidRPr="00FD0689" w:rsidTr="00172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72F37" w:rsidRPr="00FD0689" w:rsidRDefault="00172F3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16,7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0,0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0D8">
              <w:t>14,3</w:t>
            </w:r>
          </w:p>
        </w:tc>
      </w:tr>
      <w:tr w:rsidR="00172F37" w:rsidRPr="00FD0689" w:rsidTr="00172F3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2F37" w:rsidRPr="00FD0689" w:rsidRDefault="00172F3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12,5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25,0</w:t>
            </w:r>
          </w:p>
        </w:tc>
        <w:tc>
          <w:tcPr>
            <w:tcW w:w="0" w:type="auto"/>
            <w:noWrap/>
            <w:vAlign w:val="center"/>
          </w:tcPr>
          <w:p w:rsidR="00172F37" w:rsidRPr="003200D8" w:rsidRDefault="00172F37" w:rsidP="00172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0D8">
              <w:t>23,2</w:t>
            </w:r>
          </w:p>
        </w:tc>
      </w:tr>
      <w:tr w:rsidR="00172F37" w:rsidRPr="00A94BCA" w:rsidTr="00172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72F37" w:rsidRPr="002A154B" w:rsidRDefault="00172F3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72F37" w:rsidRPr="00172F37" w:rsidRDefault="00172F37" w:rsidP="00172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72F37">
              <w:rPr>
                <w:b/>
                <w:i/>
              </w:rPr>
              <w:t>19,4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D5330" w:rsidRPr="0086345A" w:rsidRDefault="00DD5330" w:rsidP="00DD5330">
      <w:pPr>
        <w:jc w:val="both"/>
      </w:pPr>
      <w:r>
        <w:t xml:space="preserve">El Índice de Cumplimiento de la Información Obligatoria (ICIO) se sitúa en el </w:t>
      </w:r>
      <w:r w:rsidR="00172F37">
        <w:t>19,4</w:t>
      </w:r>
      <w:r>
        <w:t>%. Los factores que explican el nivel de cumplimiento alcanzado son la omisión de la publicación de contenidos obli</w:t>
      </w:r>
      <w:r w:rsidR="00805C29">
        <w:t xml:space="preserve">gatorios – sólo se publica el </w:t>
      </w:r>
      <w:r w:rsidR="00172F37">
        <w:t>14,3</w:t>
      </w:r>
      <w:r>
        <w:t xml:space="preserve">% de ellos, situación que se da en relación con todas las informaciones del bloque de información económica – y en segundo término a la falta de datación y de referencias a la fecha de la última revisión o actualización de la información publicada.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805C29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347BF" wp14:editId="6DF42A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37" w:rsidRDefault="00172F3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72F37" w:rsidRPr="00794454" w:rsidRDefault="00DA1E0B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OPPC3</w:t>
                            </w:r>
                            <w:r w:rsidR="00172F37"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72F37" w:rsidRDefault="00172F3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72F37" w:rsidRPr="00794454" w:rsidRDefault="00DA1E0B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OPPC3</w:t>
                      </w:r>
                      <w:r w:rsidR="00172F37"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0C6CFF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633B" wp14:editId="5BA4A62C">
                <wp:simplePos x="0" y="0"/>
                <wp:positionH relativeFrom="column">
                  <wp:posOffset>180975</wp:posOffset>
                </wp:positionH>
                <wp:positionV relativeFrom="paragraph">
                  <wp:posOffset>312421</wp:posOffset>
                </wp:positionV>
                <wp:extent cx="6264910" cy="11430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37" w:rsidRDefault="00172F3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72F37" w:rsidRPr="00794454" w:rsidRDefault="00172F37" w:rsidP="00993AC2">
                            <w:pPr>
                              <w:keepNext/>
                              <w:keepLines/>
                              <w:spacing w:before="480" w:after="0"/>
                              <w:jc w:val="both"/>
                              <w:outlineLvl w:val="0"/>
                              <w:rPr>
                                <w:rFonts w:eastAsiaTheme="majorEastAsia" w:cstheme="minorHAnsi"/>
                                <w:bCs/>
                              </w:rPr>
                            </w:pP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Dado que </w:t>
                            </w:r>
                            <w:r w:rsidR="00090481">
                              <w:rPr>
                                <w:rFonts w:eastAsiaTheme="majorEastAsia" w:cstheme="minorHAnsi"/>
                                <w:bCs/>
                              </w:rPr>
                              <w:t xml:space="preserve">OPPC3 </w:t>
                            </w: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carece de Portal de Transparencia, no cabe reseñar buenas prácticas.  </w:t>
                            </w:r>
                          </w:p>
                          <w:p w:rsidR="00172F37" w:rsidRPr="00794454" w:rsidRDefault="00172F3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.25pt;margin-top:24.6pt;width:493.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">
                <v:textbox>
                  <w:txbxContent>
                    <w:p w:rsidR="00172F37" w:rsidRDefault="00172F37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72F37" w:rsidRPr="00794454" w:rsidRDefault="00172F37" w:rsidP="00993AC2">
                      <w:pPr>
                        <w:keepNext/>
                        <w:keepLines/>
                        <w:spacing w:before="480" w:after="0"/>
                        <w:jc w:val="both"/>
                        <w:outlineLvl w:val="0"/>
                        <w:rPr>
                          <w:rFonts w:eastAsiaTheme="majorEastAsia" w:cstheme="minorHAnsi"/>
                          <w:bCs/>
                        </w:rPr>
                      </w:pPr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Dado que </w:t>
                      </w:r>
                      <w:r w:rsidR="00090481">
                        <w:rPr>
                          <w:rFonts w:eastAsiaTheme="majorEastAsia" w:cstheme="minorHAnsi"/>
                          <w:bCs/>
                        </w:rPr>
                        <w:t xml:space="preserve">OPPC3 </w:t>
                      </w:r>
                      <w:bookmarkStart w:id="1" w:name="_GoBack"/>
                      <w:bookmarkEnd w:id="1"/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carece de Portal de Transparencia, no cabe reseñar buenas prácticas.  </w:t>
                      </w:r>
                    </w:p>
                    <w:p w:rsidR="00172F37" w:rsidRPr="00794454" w:rsidRDefault="00172F37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E1E" w:rsidRDefault="008C1E1E"/>
    <w:p w:rsidR="00B40246" w:rsidRDefault="00B40246"/>
    <w:p w:rsidR="00805C29" w:rsidRDefault="00805C29" w:rsidP="00805C29">
      <w:pPr>
        <w:rPr>
          <w:b/>
          <w:color w:val="00642D"/>
          <w:sz w:val="32"/>
        </w:rPr>
      </w:pPr>
    </w:p>
    <w:p w:rsidR="00DA1E0B" w:rsidRDefault="00DA1E0B" w:rsidP="00805C29">
      <w:pPr>
        <w:rPr>
          <w:b/>
          <w:color w:val="00642D"/>
          <w:sz w:val="32"/>
        </w:rPr>
      </w:pPr>
    </w:p>
    <w:p w:rsidR="002A154B" w:rsidRPr="00805C29" w:rsidRDefault="002A154B" w:rsidP="00805C29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805C29">
        <w:rPr>
          <w:b/>
          <w:color w:val="00642D"/>
          <w:sz w:val="32"/>
        </w:rPr>
        <w:t>Conclusiones y Recomendaciones</w:t>
      </w:r>
    </w:p>
    <w:p w:rsidR="008017C0" w:rsidRPr="00993AC2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 w:rsidR="00DA1E0B">
        <w:rPr>
          <w:rFonts w:eastAsia="Times New Roman" w:cs="Arial"/>
        </w:rPr>
        <w:t>OPPC3</w:t>
      </w:r>
      <w:r w:rsidRPr="00993AC2">
        <w:rPr>
          <w:rFonts w:eastAsia="Times New Roman" w:cs="Arial"/>
        </w:rPr>
        <w:t xml:space="preserve">, en función de la información disponible en su </w:t>
      </w:r>
      <w:r w:rsidR="00380060" w:rsidRPr="00993AC2">
        <w:rPr>
          <w:rFonts w:eastAsia="Times New Roman" w:cs="Arial"/>
        </w:rPr>
        <w:t xml:space="preserve">página web </w:t>
      </w:r>
      <w:r w:rsidRPr="00993AC2">
        <w:rPr>
          <w:rFonts w:eastAsia="Times New Roman" w:cs="Arial"/>
        </w:rPr>
        <w:t xml:space="preserve">alcanza el </w:t>
      </w:r>
      <w:r w:rsidR="00805C29">
        <w:rPr>
          <w:rFonts w:eastAsia="Times New Roman" w:cs="Arial"/>
        </w:rPr>
        <w:t>1</w:t>
      </w:r>
      <w:r w:rsidR="00DA1E0B">
        <w:rPr>
          <w:rFonts w:eastAsia="Times New Roman" w:cs="Arial"/>
        </w:rPr>
        <w:t>9</w:t>
      </w:r>
      <w:r w:rsidR="00805C29">
        <w:rPr>
          <w:rFonts w:eastAsia="Times New Roman" w:cs="Arial"/>
        </w:rPr>
        <w:t>,4</w:t>
      </w:r>
      <w:r w:rsidRPr="00993AC2">
        <w:rPr>
          <w:rFonts w:eastAsia="Times New Roman" w:cs="Arial"/>
        </w:rPr>
        <w:t xml:space="preserve">%.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993AC2">
        <w:rPr>
          <w:rFonts w:eastAsia="Times New Roman" w:cs="Times New Roman"/>
        </w:rPr>
        <w:t xml:space="preserve"> </w:t>
      </w:r>
      <w:r w:rsidR="00D52C72">
        <w:rPr>
          <w:rFonts w:cs="Calibri"/>
          <w:color w:val="000000"/>
        </w:rPr>
        <w:t>OPPC3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93AC2" w:rsidRPr="00993AC2" w:rsidRDefault="00DA1E0B" w:rsidP="00993AC2">
      <w:pPr>
        <w:spacing w:before="120" w:after="120" w:line="312" w:lineRule="auto"/>
        <w:jc w:val="both"/>
      </w:pPr>
      <w:r>
        <w:rPr>
          <w:rFonts w:cs="Calibri"/>
          <w:color w:val="000000"/>
        </w:rPr>
        <w:t>OPPC3</w:t>
      </w:r>
      <w:r w:rsidR="00993AC2" w:rsidRPr="00993AC2">
        <w:rPr>
          <w:rFonts w:cs="Calibri"/>
          <w:color w:val="000000"/>
        </w:rPr>
        <w:t xml:space="preserve"> </w:t>
      </w:r>
      <w:r w:rsidR="00993AC2" w:rsidRPr="00993AC2">
        <w:t>debería habilitar un Portal de Transparencia que se recomienda se estructure conforme al patrón que establece la LTAIBG: Información Institucional y Organizativa;  e Información Económica y Presupuestaria.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 w:rsidR="00380060"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05C29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94454" w:rsidRDefault="00794454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 w:rsidR="00805C29">
        <w:rPr>
          <w:rFonts w:eastAsiaTheme="minorHAnsi" w:cs="Arial"/>
          <w:lang w:eastAsia="en-US" w:bidi="es-ES"/>
        </w:rPr>
        <w:t xml:space="preserve">a que le resulta de aplicación </w:t>
      </w:r>
    </w:p>
    <w:p w:rsidR="00DA1E0B" w:rsidRPr="00794454" w:rsidRDefault="00DA1E0B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publicarse una descripción de la estructura organizativa de la asociación</w:t>
      </w:r>
    </w:p>
    <w:p w:rsidR="00380060" w:rsidRPr="00794454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el organigrama de </w:t>
      </w:r>
      <w:r w:rsidR="00DA1E0B">
        <w:rPr>
          <w:rFonts w:eastAsiaTheme="minorHAnsi" w:cs="Arial"/>
          <w:szCs w:val="24"/>
          <w:lang w:eastAsia="en-US" w:bidi="es-ES"/>
        </w:rPr>
        <w:t>OPPC3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 </w:t>
      </w:r>
    </w:p>
    <w:p w:rsidR="00DA1E0B" w:rsidRDefault="00DA1E0B" w:rsidP="008017C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identificarse a los máximos responsables de la asociación</w:t>
      </w:r>
    </w:p>
    <w:p w:rsidR="008017C0" w:rsidRPr="00794454" w:rsidRDefault="008017C0" w:rsidP="008017C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lastRenderedPageBreak/>
        <w:t>Debe publicarse información sobre los perfiles y trayectorias profesionales de sus responsables.</w:t>
      </w: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805C29" w:rsidRPr="008017C0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publicarse información sobre las subvenciones y ayudas públicas recibidas con indicación de su importe, objetivo o finalidad y Administración Pública concedente.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805C29">
        <w:rPr>
          <w:rFonts w:cs="Arial"/>
          <w:bCs/>
        </w:rPr>
        <w:t>Deben publicarse las cuentas anuales.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993AC2" w:rsidRPr="000401E7" w:rsidRDefault="00993AC2" w:rsidP="00993AC2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805C29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805C29" w:rsidRPr="00380060" w:rsidRDefault="00805C29" w:rsidP="00805C2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380060"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E37E19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37" w:rsidRDefault="00172F37" w:rsidP="00932008">
      <w:pPr>
        <w:spacing w:after="0" w:line="240" w:lineRule="auto"/>
      </w:pPr>
      <w:r>
        <w:separator/>
      </w:r>
    </w:p>
  </w:endnote>
  <w:endnote w:type="continuationSeparator" w:id="0">
    <w:p w:rsidR="00172F37" w:rsidRDefault="00172F3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37" w:rsidRDefault="00172F37" w:rsidP="00932008">
      <w:pPr>
        <w:spacing w:after="0" w:line="240" w:lineRule="auto"/>
      </w:pPr>
      <w:r>
        <w:separator/>
      </w:r>
    </w:p>
  </w:footnote>
  <w:footnote w:type="continuationSeparator" w:id="0">
    <w:p w:rsidR="00172F37" w:rsidRDefault="00172F3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37" w:rsidRDefault="00172F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37" w:rsidRDefault="00172F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37" w:rsidRDefault="00172F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B6B23B0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777400B0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6666A"/>
    <w:rsid w:val="00090481"/>
    <w:rsid w:val="000965B3"/>
    <w:rsid w:val="000C6CFF"/>
    <w:rsid w:val="000F49D9"/>
    <w:rsid w:val="00102733"/>
    <w:rsid w:val="0011255F"/>
    <w:rsid w:val="00121C30"/>
    <w:rsid w:val="001561A4"/>
    <w:rsid w:val="00172F37"/>
    <w:rsid w:val="00271D96"/>
    <w:rsid w:val="002A154B"/>
    <w:rsid w:val="002A3BD9"/>
    <w:rsid w:val="00316B14"/>
    <w:rsid w:val="00317E97"/>
    <w:rsid w:val="00380060"/>
    <w:rsid w:val="00380E04"/>
    <w:rsid w:val="003866E4"/>
    <w:rsid w:val="003F271E"/>
    <w:rsid w:val="003F572A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97A9F"/>
    <w:rsid w:val="006A2766"/>
    <w:rsid w:val="00710031"/>
    <w:rsid w:val="00743756"/>
    <w:rsid w:val="00794454"/>
    <w:rsid w:val="007B0F99"/>
    <w:rsid w:val="007F1D97"/>
    <w:rsid w:val="008017C0"/>
    <w:rsid w:val="00805C29"/>
    <w:rsid w:val="00843911"/>
    <w:rsid w:val="00844FA9"/>
    <w:rsid w:val="008C1E1E"/>
    <w:rsid w:val="008D19A7"/>
    <w:rsid w:val="00932008"/>
    <w:rsid w:val="009609E9"/>
    <w:rsid w:val="00993AC2"/>
    <w:rsid w:val="009B0989"/>
    <w:rsid w:val="009E1D68"/>
    <w:rsid w:val="00A8146B"/>
    <w:rsid w:val="00AD2022"/>
    <w:rsid w:val="00AF6C05"/>
    <w:rsid w:val="00B0673F"/>
    <w:rsid w:val="00B1663D"/>
    <w:rsid w:val="00B40246"/>
    <w:rsid w:val="00B841AE"/>
    <w:rsid w:val="00BB6799"/>
    <w:rsid w:val="00BD4582"/>
    <w:rsid w:val="00BE6673"/>
    <w:rsid w:val="00BE6A46"/>
    <w:rsid w:val="00C33A23"/>
    <w:rsid w:val="00C43711"/>
    <w:rsid w:val="00C56F44"/>
    <w:rsid w:val="00C5744D"/>
    <w:rsid w:val="00CB5511"/>
    <w:rsid w:val="00CC2049"/>
    <w:rsid w:val="00CE38F9"/>
    <w:rsid w:val="00D52C72"/>
    <w:rsid w:val="00D96F84"/>
    <w:rsid w:val="00DA1E0B"/>
    <w:rsid w:val="00DD5330"/>
    <w:rsid w:val="00DD58B3"/>
    <w:rsid w:val="00DF63E7"/>
    <w:rsid w:val="00E3088D"/>
    <w:rsid w:val="00E34195"/>
    <w:rsid w:val="00E37E19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90DF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64A11"/>
    <w:rsid w:val="000D4DE9"/>
    <w:rsid w:val="000F49E7"/>
    <w:rsid w:val="0013771E"/>
    <w:rsid w:val="001F24A7"/>
    <w:rsid w:val="003D088C"/>
    <w:rsid w:val="00BF2C04"/>
    <w:rsid w:val="00D153BA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1196C-397D-4ECD-A9CB-358F21FA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125</TotalTime>
  <Pages>10</Pages>
  <Words>1868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8</cp:revision>
  <cp:lastPrinted>2007-10-26T10:03:00Z</cp:lastPrinted>
  <dcterms:created xsi:type="dcterms:W3CDTF">2021-11-15T13:45:00Z</dcterms:created>
  <dcterms:modified xsi:type="dcterms:W3CDTF">2022-01-12T10:28:00Z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