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19050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066" w:rsidRDefault="00F8676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056066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056066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05606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  <w:proofErr w:type="spellStart"/>
                                <w:r w:rsidR="00056066" w:rsidRPr="00085C9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Se</w:t>
                                </w:r>
                                <w:r w:rsidR="0005606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a</w:t>
                                </w:r>
                                <w:r w:rsidR="00056066" w:rsidRPr="00085C9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led</w:t>
                                </w:r>
                                <w:proofErr w:type="spellEnd"/>
                                <w:r w:rsidR="00056066" w:rsidRPr="00085C9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Air </w:t>
                                </w:r>
                                <w:proofErr w:type="spellStart"/>
                                <w:r w:rsidR="00056066" w:rsidRPr="00085C9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Packaging</w:t>
                                </w:r>
                                <w:proofErr w:type="spellEnd"/>
                                <w:r w:rsidR="00056066" w:rsidRPr="00085C93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 S.L.</w:t>
                                </w:r>
                              </w:sdtContent>
                            </w:sdt>
                            <w:r w:rsidR="00056066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" filled="f" stroked="f">
                <v:textbox inset=",7.2pt,,7.2pt">
                  <w:txbxContent>
                    <w:p w:rsidR="00056066" w:rsidRDefault="00F86766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056066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056066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05606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  <w:proofErr w:type="spellStart"/>
                          <w:r w:rsidR="00056066" w:rsidRPr="00085C9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Se</w:t>
                          </w:r>
                          <w:r w:rsidR="0005606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a</w:t>
                          </w:r>
                          <w:r w:rsidR="00056066" w:rsidRPr="00085C9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led</w:t>
                          </w:r>
                          <w:proofErr w:type="spellEnd"/>
                          <w:r w:rsidR="00056066" w:rsidRPr="00085C9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Air </w:t>
                          </w:r>
                          <w:proofErr w:type="spellStart"/>
                          <w:r w:rsidR="00056066" w:rsidRPr="00085C9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Packaging</w:t>
                          </w:r>
                          <w:proofErr w:type="spellEnd"/>
                          <w:r w:rsidR="00056066" w:rsidRPr="00085C93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 S.L.</w:t>
                          </w:r>
                        </w:sdtContent>
                      </w:sdt>
                      <w:r w:rsidR="00056066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56066" w:rsidRDefault="00056066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96703" w:rsidRDefault="0019670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8676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AC4A6F" w:rsidRDefault="00AC4A6F" w:rsidP="00AC4A6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567"/>
        <w:gridCol w:w="3203"/>
      </w:tblGrid>
      <w:tr w:rsidR="00040AF4" w:rsidRPr="007942B7" w:rsidTr="00C56086">
        <w:tc>
          <w:tcPr>
            <w:tcW w:w="2093" w:type="dxa"/>
            <w:shd w:val="clear" w:color="auto" w:fill="008A3E"/>
          </w:tcPr>
          <w:p w:rsidR="00040AF4" w:rsidRPr="007942B7" w:rsidRDefault="00040AF4" w:rsidP="00C5608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Dimensión</w:t>
            </w:r>
          </w:p>
        </w:tc>
        <w:tc>
          <w:tcPr>
            <w:tcW w:w="5386" w:type="dxa"/>
            <w:gridSpan w:val="2"/>
            <w:shd w:val="clear" w:color="auto" w:fill="008A3E"/>
          </w:tcPr>
          <w:p w:rsidR="00040AF4" w:rsidRPr="007942B7" w:rsidRDefault="00040AF4" w:rsidP="00C5608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Recomendado</w:t>
            </w:r>
          </w:p>
        </w:tc>
        <w:tc>
          <w:tcPr>
            <w:tcW w:w="3203" w:type="dxa"/>
            <w:shd w:val="clear" w:color="auto" w:fill="008A3E"/>
          </w:tcPr>
          <w:p w:rsidR="00040AF4" w:rsidRPr="007942B7" w:rsidRDefault="00040AF4" w:rsidP="00C5608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42B7">
              <w:rPr>
                <w:b/>
                <w:color w:val="FFFFFF" w:themeColor="background1"/>
                <w:sz w:val="20"/>
                <w:szCs w:val="20"/>
              </w:rPr>
              <w:t>Revisión</w:t>
            </w:r>
          </w:p>
        </w:tc>
      </w:tr>
      <w:tr w:rsidR="00040AF4" w:rsidRPr="007942B7" w:rsidTr="00C56086">
        <w:tc>
          <w:tcPr>
            <w:tcW w:w="2093" w:type="dxa"/>
            <w:vMerge w:val="restart"/>
            <w:vAlign w:val="center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4819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Enlace Específico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567" w:type="dxa"/>
            <w:vAlign w:val="center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</w:tr>
      <w:tr w:rsidR="00040AF4" w:rsidRPr="007942B7" w:rsidTr="00C56086">
        <w:tc>
          <w:tcPr>
            <w:tcW w:w="2093" w:type="dxa"/>
            <w:vMerge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567" w:type="dxa"/>
            <w:vAlign w:val="center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</w:tr>
      <w:tr w:rsidR="00040AF4" w:rsidRPr="007942B7" w:rsidTr="00C56086">
        <w:tc>
          <w:tcPr>
            <w:tcW w:w="2093" w:type="dxa"/>
            <w:vMerge w:val="restart"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  <w:r w:rsidRPr="00AF196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4819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Normativa aplicable</w:t>
            </w:r>
          </w:p>
        </w:tc>
        <w:tc>
          <w:tcPr>
            <w:tcW w:w="567" w:type="dxa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estructura organizativa</w:t>
            </w:r>
          </w:p>
        </w:tc>
        <w:tc>
          <w:tcPr>
            <w:tcW w:w="567" w:type="dxa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853CB9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Organigrama</w:t>
            </w:r>
          </w:p>
        </w:tc>
        <w:tc>
          <w:tcPr>
            <w:tcW w:w="567" w:type="dxa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</w:t>
            </w:r>
          </w:p>
        </w:tc>
        <w:tc>
          <w:tcPr>
            <w:tcW w:w="567" w:type="dxa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173B7B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Convenios</w:t>
            </w:r>
          </w:p>
        </w:tc>
        <w:tc>
          <w:tcPr>
            <w:tcW w:w="567" w:type="dxa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173B7B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567" w:type="dxa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173B7B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B43C76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567" w:type="dxa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Revisada de oficio</w:t>
            </w:r>
          </w:p>
        </w:tc>
      </w:tr>
      <w:tr w:rsidR="00040AF4" w:rsidRPr="007942B7" w:rsidTr="00C56086">
        <w:tc>
          <w:tcPr>
            <w:tcW w:w="2093" w:type="dxa"/>
            <w:vMerge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 w:rsidRPr="00B43C76">
              <w:rPr>
                <w:sz w:val="20"/>
                <w:szCs w:val="20"/>
              </w:rPr>
              <w:t>Cuentas anuales</w:t>
            </w:r>
          </w:p>
        </w:tc>
        <w:tc>
          <w:tcPr>
            <w:tcW w:w="567" w:type="dxa"/>
          </w:tcPr>
          <w:p w:rsidR="00040AF4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173B7B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 auditoría  </w:t>
            </w:r>
          </w:p>
        </w:tc>
        <w:tc>
          <w:tcPr>
            <w:tcW w:w="567" w:type="dxa"/>
          </w:tcPr>
          <w:p w:rsidR="00040AF4" w:rsidRPr="00702A3B" w:rsidRDefault="00040AF4" w:rsidP="00C56086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173B7B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c>
          <w:tcPr>
            <w:tcW w:w="2093" w:type="dxa"/>
            <w:vMerge/>
            <w:vAlign w:val="center"/>
          </w:tcPr>
          <w:p w:rsidR="00040AF4" w:rsidRPr="00AF196B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Retribuciones de los máximos responsables</w:t>
            </w:r>
          </w:p>
        </w:tc>
        <w:tc>
          <w:tcPr>
            <w:tcW w:w="567" w:type="dxa"/>
          </w:tcPr>
          <w:p w:rsidR="00040AF4" w:rsidRPr="00702A3B" w:rsidRDefault="00040AF4" w:rsidP="00C56086">
            <w:pPr>
              <w:jc w:val="center"/>
              <w:rPr>
                <w:sz w:val="20"/>
                <w:szCs w:val="20"/>
              </w:rPr>
            </w:pPr>
            <w:r w:rsidRPr="00702A3B"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173B7B" w:rsidRDefault="00040AF4" w:rsidP="00C56086">
            <w:pPr>
              <w:rPr>
                <w:sz w:val="20"/>
                <w:szCs w:val="20"/>
              </w:rPr>
            </w:pPr>
            <w:r w:rsidRPr="00173B7B">
              <w:rPr>
                <w:sz w:val="20"/>
                <w:szCs w:val="20"/>
              </w:rPr>
              <w:t>No</w:t>
            </w:r>
          </w:p>
        </w:tc>
      </w:tr>
      <w:tr w:rsidR="00040AF4" w:rsidRPr="007942B7" w:rsidTr="00C56086">
        <w:trPr>
          <w:trHeight w:val="265"/>
        </w:trPr>
        <w:tc>
          <w:tcPr>
            <w:tcW w:w="2093" w:type="dxa"/>
            <w:vMerge w:val="restart"/>
            <w:vAlign w:val="center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4819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Estructuración</w:t>
            </w:r>
          </w:p>
        </w:tc>
        <w:tc>
          <w:tcPr>
            <w:tcW w:w="567" w:type="dxa"/>
            <w:vAlign w:val="center"/>
          </w:tcPr>
          <w:p w:rsidR="00040AF4" w:rsidRPr="00183301" w:rsidRDefault="00040AF4" w:rsidP="00C56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</w:tr>
      <w:tr w:rsidR="00040AF4" w:rsidRPr="007942B7" w:rsidTr="00C56086">
        <w:tc>
          <w:tcPr>
            <w:tcW w:w="2093" w:type="dxa"/>
            <w:vMerge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Accesibilidad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40AF4" w:rsidRPr="00183301" w:rsidRDefault="00040AF4" w:rsidP="00C56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</w:tr>
      <w:tr w:rsidR="00040AF4" w:rsidRPr="007942B7" w:rsidTr="00C56086">
        <w:tc>
          <w:tcPr>
            <w:tcW w:w="2093" w:type="dxa"/>
            <w:vMerge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Claridad</w:t>
            </w:r>
          </w:p>
        </w:tc>
        <w:tc>
          <w:tcPr>
            <w:tcW w:w="567" w:type="dxa"/>
            <w:vAlign w:val="center"/>
          </w:tcPr>
          <w:p w:rsidR="00040AF4" w:rsidRPr="00183301" w:rsidRDefault="00040AF4" w:rsidP="00C56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</w:tr>
      <w:tr w:rsidR="00040AF4" w:rsidRPr="007942B7" w:rsidTr="00C56086">
        <w:tc>
          <w:tcPr>
            <w:tcW w:w="2093" w:type="dxa"/>
            <w:vMerge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Revisada de oficio</w:t>
            </w:r>
          </w:p>
        </w:tc>
      </w:tr>
      <w:tr w:rsidR="00040AF4" w:rsidRPr="007942B7" w:rsidTr="00C56086">
        <w:tc>
          <w:tcPr>
            <w:tcW w:w="2093" w:type="dxa"/>
            <w:vMerge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 w:rsidRPr="007942B7">
              <w:rPr>
                <w:sz w:val="20"/>
                <w:szCs w:val="20"/>
              </w:rPr>
              <w:t>Datación y Actualización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40AF4" w:rsidRPr="007942B7" w:rsidRDefault="00040AF4" w:rsidP="00C56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03" w:type="dxa"/>
          </w:tcPr>
          <w:p w:rsidR="00040AF4" w:rsidRPr="007942B7" w:rsidRDefault="00040AF4" w:rsidP="00C56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40AF4" w:rsidRPr="001C7D84" w:rsidTr="00C56086">
        <w:tc>
          <w:tcPr>
            <w:tcW w:w="6912" w:type="dxa"/>
            <w:gridSpan w:val="2"/>
          </w:tcPr>
          <w:p w:rsidR="00040AF4" w:rsidRPr="001C7D84" w:rsidRDefault="00040AF4" w:rsidP="00C56086">
            <w:pPr>
              <w:jc w:val="right"/>
              <w:rPr>
                <w:b/>
                <w:sz w:val="20"/>
                <w:szCs w:val="20"/>
              </w:rPr>
            </w:pPr>
            <w:r w:rsidRPr="001C7D84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567" w:type="dxa"/>
            <w:vAlign w:val="center"/>
          </w:tcPr>
          <w:p w:rsidR="00040AF4" w:rsidRPr="001C7D84" w:rsidRDefault="00040AF4" w:rsidP="00C56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560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3" w:type="dxa"/>
          </w:tcPr>
          <w:p w:rsidR="00040AF4" w:rsidRPr="001C7D84" w:rsidRDefault="00040AF4" w:rsidP="00C56086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356E33" w:rsidRDefault="00CE5359" w:rsidP="00DF56A7">
      <w:pPr>
        <w:jc w:val="both"/>
      </w:pPr>
      <w:r>
        <w:t>SEALED AIR</w:t>
      </w:r>
      <w:r w:rsidR="00C52EE5">
        <w:t xml:space="preserve"> no ha aplicado </w:t>
      </w:r>
      <w:r w:rsidR="00C52EE5" w:rsidRPr="00C52EE5">
        <w:rPr>
          <w:b/>
        </w:rPr>
        <w:t>ninguna de las recomendaciones</w:t>
      </w:r>
      <w:r w:rsidR="00C52EE5">
        <w:t xml:space="preserve"> derivadas de la evaluación realizada en 2020.</w:t>
      </w:r>
      <w:r>
        <w:t xml:space="preserve"> </w:t>
      </w:r>
    </w:p>
    <w:p w:rsidR="00356E33" w:rsidRDefault="00356E33" w:rsidP="00DF56A7">
      <w:pPr>
        <w:jc w:val="both"/>
      </w:pPr>
    </w:p>
    <w:p w:rsidR="00356E33" w:rsidRDefault="00CE5359" w:rsidP="00DF56A7">
      <w:pPr>
        <w:jc w:val="both"/>
      </w:pPr>
      <w:r>
        <w:t xml:space="preserve">Es importante señalar que en 2020, una vez finalizado el periodo de alegaciones SEALED AIR comunicó a este Consejo mediante correo electrónico </w:t>
      </w:r>
      <w:r w:rsidR="007C4655">
        <w:t>la inexistencia de contratos sujetos a derecho administrativo, de convenios celebrados con administraciones públicas, el depósito de las cuentas en el Registro Mercantil y su publicación junto a las retribuciones de los máximos responsables en una página de su web institucional en la que se recoge diversa información  económica de la compañía</w:t>
      </w:r>
      <w:r w:rsidR="00356E33">
        <w:t xml:space="preserve"> -publicada en inglés-</w:t>
      </w:r>
      <w:r w:rsidR="007C4655">
        <w:t xml:space="preserve">. </w:t>
      </w:r>
    </w:p>
    <w:p w:rsidR="00356E33" w:rsidRDefault="00356E33" w:rsidP="00DF56A7">
      <w:pPr>
        <w:jc w:val="both"/>
      </w:pPr>
    </w:p>
    <w:p w:rsidR="00BA4354" w:rsidRDefault="004C3113" w:rsidP="00DF56A7">
      <w:pPr>
        <w:jc w:val="both"/>
      </w:pPr>
      <w:r>
        <w:lastRenderedPageBreak/>
        <w:t>En el informe de evaluación se recomendaba la creación de un espacio específico – un portal de transparencia -para la publicación de la información sujeta a obligaciones de publicidad activa y además se indicaba que en el caso de que no hubiese actividad relativa a una información obligatoria concreta, se señalase expresamente en el apartado correspondiente del Portal de Transparencia de la compañía., Dado que no se ha creado</w:t>
      </w:r>
      <w:r w:rsidR="00356E33">
        <w:t xml:space="preserve"> dicho Portal</w:t>
      </w:r>
      <w:r>
        <w:t xml:space="preserve"> no se ha dado cumplimiento </w:t>
      </w:r>
      <w:r w:rsidR="00356E33">
        <w:t xml:space="preserve">a la segunda recomendación.  </w:t>
      </w:r>
      <w:r>
        <w:t xml:space="preserve">   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56066" w:rsidRPr="00F31BC3" w:rsidRDefault="0005606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8676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W w:w="50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995"/>
        <w:gridCol w:w="852"/>
        <w:gridCol w:w="980"/>
        <w:gridCol w:w="625"/>
        <w:gridCol w:w="625"/>
        <w:gridCol w:w="625"/>
        <w:gridCol w:w="638"/>
        <w:gridCol w:w="758"/>
      </w:tblGrid>
      <w:tr w:rsidR="00521C69" w:rsidRPr="006D4C90" w:rsidTr="00BB3652">
        <w:trPr>
          <w:trHeight w:val="315"/>
        </w:trPr>
        <w:tc>
          <w:tcPr>
            <w:tcW w:w="21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CONTENIDO 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FORMA </w:t>
            </w:r>
          </w:p>
        </w:tc>
        <w:tc>
          <w:tcPr>
            <w:tcW w:w="16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5AD82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CARACTERISTICAS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TOTAL</w:t>
            </w:r>
          </w:p>
        </w:tc>
      </w:tr>
      <w:tr w:rsidR="00521C69" w:rsidRPr="006D4C90" w:rsidTr="00BB3652">
        <w:trPr>
          <w:trHeight w:val="1895"/>
        </w:trPr>
        <w:tc>
          <w:tcPr>
            <w:tcW w:w="2151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ESTRUCTURACIÓN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ACCESIBILIDAD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CLARIDAD </w:t>
            </w:r>
          </w:p>
        </w:tc>
        <w:tc>
          <w:tcPr>
            <w:tcW w:w="292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REUTILIZACIÓN </w:t>
            </w:r>
          </w:p>
        </w:tc>
        <w:tc>
          <w:tcPr>
            <w:tcW w:w="298" w:type="pct"/>
            <w:tcBorders>
              <w:top w:val="nil"/>
              <w:left w:val="nil"/>
              <w:right w:val="single" w:sz="8" w:space="0" w:color="auto"/>
            </w:tcBorders>
            <w:shd w:val="clear" w:color="000000" w:fill="65AD82"/>
            <w:textDirection w:val="tbRl"/>
            <w:vAlign w:val="center"/>
            <w:hideMark/>
          </w:tcPr>
          <w:p w:rsidR="00521C69" w:rsidRPr="006D4C90" w:rsidRDefault="00521C69" w:rsidP="00BB3652">
            <w:pPr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 xml:space="preserve">ACTUALIZACIÓN 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1C69" w:rsidRPr="006D4C90" w:rsidRDefault="00521C69" w:rsidP="00BB3652">
            <w:pPr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521C69" w:rsidRPr="006D4C90" w:rsidTr="00BB3652">
        <w:trPr>
          <w:trHeight w:val="315"/>
        </w:trPr>
        <w:tc>
          <w:tcPr>
            <w:tcW w:w="5000" w:type="pct"/>
            <w:gridSpan w:val="9"/>
            <w:shd w:val="clear" w:color="000000" w:fill="F2F2F2"/>
            <w:vAlign w:val="center"/>
            <w:hideMark/>
          </w:tcPr>
          <w:p w:rsidR="00521C69" w:rsidRPr="006D4C90" w:rsidRDefault="00016718" w:rsidP="0001671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INFORMACIÓN 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INSTITUCIONAL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Y</w:t>
            </w:r>
            <w:r w:rsidR="00521C69" w:rsidRPr="006D4C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ORGANIZATIVA </w:t>
            </w:r>
          </w:p>
        </w:tc>
      </w:tr>
      <w:tr w:rsidR="00896A67" w:rsidRPr="00BB3652" w:rsidTr="00BB3652">
        <w:trPr>
          <w:trHeight w:val="315"/>
        </w:trPr>
        <w:tc>
          <w:tcPr>
            <w:tcW w:w="2151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96A67" w:rsidRPr="006D4C90" w:rsidRDefault="00896A67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Institucional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42,9</w:t>
            </w:r>
          </w:p>
        </w:tc>
      </w:tr>
      <w:tr w:rsidR="00896A67" w:rsidRPr="00BB3652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96A67" w:rsidRPr="006D4C90" w:rsidRDefault="00896A67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Organizativa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896A67" w:rsidRDefault="00896A67" w:rsidP="00896A67">
            <w:pPr>
              <w:jc w:val="center"/>
              <w:rPr>
                <w:sz w:val="16"/>
                <w:szCs w:val="16"/>
              </w:rPr>
            </w:pPr>
            <w:r w:rsidRPr="00896A67">
              <w:rPr>
                <w:sz w:val="16"/>
                <w:szCs w:val="16"/>
              </w:rPr>
              <w:t>42,9</w:t>
            </w:r>
          </w:p>
        </w:tc>
      </w:tr>
      <w:tr w:rsidR="00896A67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896A67" w:rsidRPr="006D4C90" w:rsidRDefault="00896A67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IOP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6A67" w:rsidRPr="00896A67" w:rsidRDefault="00896A67" w:rsidP="00896A6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6A67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6A67" w:rsidRPr="00896A67" w:rsidRDefault="00896A67" w:rsidP="00896A6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6A67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6A67" w:rsidRPr="00896A67" w:rsidRDefault="00896A67" w:rsidP="00896A6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6A67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6A67" w:rsidRPr="00896A67" w:rsidRDefault="00896A67" w:rsidP="00896A6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6A67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6A67" w:rsidRPr="00896A67" w:rsidRDefault="00896A67" w:rsidP="00896A6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6A67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6A67" w:rsidRPr="00896A67" w:rsidRDefault="00896A67" w:rsidP="00896A6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6A67">
              <w:rPr>
                <w:b/>
                <w:color w:val="FFFFFF" w:themeColor="background1"/>
                <w:sz w:val="16"/>
                <w:szCs w:val="16"/>
              </w:rPr>
              <w:t>50,0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6A67" w:rsidRPr="00896A67" w:rsidRDefault="00896A67" w:rsidP="00896A6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6A67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896A67" w:rsidRPr="00896A67" w:rsidRDefault="00896A67" w:rsidP="00896A6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96A67">
              <w:rPr>
                <w:b/>
                <w:color w:val="FFFFFF" w:themeColor="background1"/>
                <w:sz w:val="16"/>
                <w:szCs w:val="16"/>
              </w:rPr>
              <w:t>42,9</w:t>
            </w:r>
          </w:p>
        </w:tc>
      </w:tr>
      <w:tr w:rsidR="00016718" w:rsidRPr="00016718" w:rsidTr="00BB3652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521C69" w:rsidRPr="00016718" w:rsidRDefault="00521C69" w:rsidP="00016718">
            <w:pPr>
              <w:rPr>
                <w:b/>
                <w:sz w:val="18"/>
                <w:szCs w:val="18"/>
              </w:rPr>
            </w:pPr>
            <w:r w:rsidRPr="00016718">
              <w:rPr>
                <w:b/>
                <w:sz w:val="18"/>
                <w:szCs w:val="18"/>
              </w:rPr>
              <w:t>INFORMACIÓN ECONÓMICA</w:t>
            </w:r>
          </w:p>
        </w:tc>
      </w:tr>
      <w:tr w:rsidR="00896A67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6D4C90" w:rsidRDefault="00896A67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Contratos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</w:tr>
      <w:tr w:rsidR="00896A67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  <w:hideMark/>
          </w:tcPr>
          <w:p w:rsidR="00896A67" w:rsidRPr="006D4C90" w:rsidRDefault="00896A67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sz w:val="18"/>
                <w:szCs w:val="18"/>
                <w:lang w:eastAsia="es-ES"/>
              </w:rPr>
              <w:t>Convenios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</w:tr>
      <w:tr w:rsidR="00056066" w:rsidRPr="006D4C9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56066" w:rsidRPr="006D4C90" w:rsidRDefault="00056066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Subvenciones</w:t>
            </w: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ab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56066" w:rsidRPr="00056066" w:rsidRDefault="00056066" w:rsidP="00056066">
            <w:pPr>
              <w:jc w:val="center"/>
              <w:rPr>
                <w:sz w:val="16"/>
                <w:szCs w:val="16"/>
              </w:rPr>
            </w:pPr>
            <w:r w:rsidRPr="00056066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56066" w:rsidRPr="00056066" w:rsidRDefault="00056066" w:rsidP="00056066">
            <w:pPr>
              <w:jc w:val="center"/>
              <w:rPr>
                <w:sz w:val="16"/>
                <w:szCs w:val="16"/>
              </w:rPr>
            </w:pPr>
            <w:r w:rsidRPr="00056066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56066" w:rsidRPr="00056066" w:rsidRDefault="00056066" w:rsidP="00056066">
            <w:pPr>
              <w:jc w:val="center"/>
              <w:rPr>
                <w:sz w:val="16"/>
                <w:szCs w:val="16"/>
              </w:rPr>
            </w:pPr>
            <w:r w:rsidRPr="0005606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56066" w:rsidRPr="00056066" w:rsidRDefault="00056066" w:rsidP="00056066">
            <w:pPr>
              <w:jc w:val="center"/>
              <w:rPr>
                <w:sz w:val="16"/>
                <w:szCs w:val="16"/>
              </w:rPr>
            </w:pPr>
            <w:r w:rsidRPr="0005606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56066" w:rsidRPr="00056066" w:rsidRDefault="00056066" w:rsidP="00056066">
            <w:pPr>
              <w:jc w:val="center"/>
              <w:rPr>
                <w:sz w:val="16"/>
                <w:szCs w:val="16"/>
              </w:rPr>
            </w:pPr>
            <w:r w:rsidRPr="00056066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56066" w:rsidRPr="00056066" w:rsidRDefault="00056066" w:rsidP="00056066">
            <w:pPr>
              <w:jc w:val="center"/>
              <w:rPr>
                <w:sz w:val="16"/>
                <w:szCs w:val="16"/>
              </w:rPr>
            </w:pPr>
            <w:r w:rsidRPr="00056066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56066" w:rsidRPr="00056066" w:rsidRDefault="00056066" w:rsidP="00056066">
            <w:pPr>
              <w:jc w:val="center"/>
              <w:rPr>
                <w:sz w:val="16"/>
                <w:szCs w:val="16"/>
              </w:rPr>
            </w:pPr>
            <w:r w:rsidRPr="00056066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056066" w:rsidRPr="00056066" w:rsidRDefault="00056066" w:rsidP="00056066">
            <w:pPr>
              <w:jc w:val="center"/>
              <w:rPr>
                <w:sz w:val="16"/>
                <w:szCs w:val="16"/>
              </w:rPr>
            </w:pPr>
            <w:r w:rsidRPr="00056066">
              <w:rPr>
                <w:sz w:val="16"/>
                <w:szCs w:val="16"/>
              </w:rPr>
              <w:t>0,0</w:t>
            </w:r>
          </w:p>
        </w:tc>
      </w:tr>
      <w:tr w:rsidR="00896A67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3543A0" w:rsidRDefault="00896A67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Presupuestos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</w:tr>
      <w:tr w:rsidR="00896A67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3543A0" w:rsidRDefault="00896A67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43A0">
              <w:rPr>
                <w:rFonts w:eastAsia="Times New Roman" w:cs="Arial"/>
                <w:sz w:val="18"/>
                <w:szCs w:val="18"/>
                <w:lang w:eastAsia="es-ES"/>
              </w:rPr>
              <w:t>Cuentas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</w:tr>
      <w:tr w:rsidR="00896A67" w:rsidRPr="003543A0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3543A0" w:rsidRDefault="00896A67" w:rsidP="00BB3652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C41B4">
              <w:rPr>
                <w:rFonts w:eastAsia="Times New Roman" w:cs="Arial"/>
                <w:sz w:val="18"/>
                <w:szCs w:val="18"/>
                <w:lang w:eastAsia="es-ES"/>
              </w:rPr>
              <w:t>Retribuciones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F5FDFA"/>
            <w:noWrap/>
          </w:tcPr>
          <w:p w:rsidR="00896A67" w:rsidRPr="00960C7E" w:rsidRDefault="00896A67" w:rsidP="00960C7E">
            <w:pPr>
              <w:jc w:val="center"/>
              <w:rPr>
                <w:sz w:val="16"/>
                <w:szCs w:val="16"/>
              </w:rPr>
            </w:pPr>
            <w:r w:rsidRPr="00960C7E">
              <w:rPr>
                <w:sz w:val="16"/>
                <w:szCs w:val="16"/>
              </w:rPr>
              <w:t>0,0</w:t>
            </w:r>
          </w:p>
        </w:tc>
      </w:tr>
      <w:tr w:rsidR="00056066" w:rsidRPr="00C52EE5" w:rsidTr="00BB3652">
        <w:trPr>
          <w:trHeight w:val="31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  <w:hideMark/>
          </w:tcPr>
          <w:p w:rsidR="00056066" w:rsidRPr="006D4C90" w:rsidRDefault="00056066" w:rsidP="00BB3652">
            <w:pPr>
              <w:jc w:val="right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es-ES"/>
              </w:rPr>
              <w:t>Total EPE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56066" w:rsidRPr="00960C7E" w:rsidRDefault="00056066" w:rsidP="00960C7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56066" w:rsidRPr="00056066" w:rsidRDefault="00056066" w:rsidP="0005606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56066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56066" w:rsidRPr="00056066" w:rsidRDefault="00056066" w:rsidP="0005606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56066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56066" w:rsidRPr="00056066" w:rsidRDefault="00056066" w:rsidP="0005606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56066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56066" w:rsidRPr="00056066" w:rsidRDefault="00056066" w:rsidP="0005606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56066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56066" w:rsidRPr="00056066" w:rsidRDefault="00056066" w:rsidP="0005606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56066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56066" w:rsidRPr="00056066" w:rsidRDefault="00056066" w:rsidP="0005606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56066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65AD82"/>
            <w:noWrap/>
          </w:tcPr>
          <w:p w:rsidR="00056066" w:rsidRPr="00056066" w:rsidRDefault="00056066" w:rsidP="0005606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56066">
              <w:rPr>
                <w:b/>
                <w:color w:val="FFFFFF" w:themeColor="background1"/>
                <w:sz w:val="16"/>
                <w:szCs w:val="16"/>
              </w:rPr>
              <w:t>0,0</w:t>
            </w:r>
          </w:p>
        </w:tc>
      </w:tr>
      <w:tr w:rsidR="00521C69" w:rsidRPr="006D4C90" w:rsidTr="00BB3652">
        <w:trPr>
          <w:trHeight w:val="315"/>
        </w:trPr>
        <w:tc>
          <w:tcPr>
            <w:tcW w:w="4646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5AD82"/>
            <w:noWrap/>
            <w:vAlign w:val="center"/>
            <w:hideMark/>
          </w:tcPr>
          <w:p w:rsidR="00521C69" w:rsidRPr="006D4C90" w:rsidRDefault="00521C69" w:rsidP="00BB3652">
            <w:pPr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6D4C90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ES"/>
              </w:rPr>
              <w:t>INDICE DE CUMPLIMIENTO DE LA INFORMACION OBLIGATORIA (ICIO)</w:t>
            </w:r>
          </w:p>
        </w:tc>
        <w:tc>
          <w:tcPr>
            <w:tcW w:w="354" w:type="pct"/>
            <w:tcBorders>
              <w:top w:val="single" w:sz="4" w:space="0" w:color="333333"/>
              <w:left w:val="single" w:sz="4" w:space="0" w:color="993366"/>
              <w:bottom w:val="single" w:sz="4" w:space="0" w:color="333333"/>
              <w:right w:val="nil"/>
            </w:tcBorders>
            <w:shd w:val="clear" w:color="auto" w:fill="auto"/>
            <w:noWrap/>
          </w:tcPr>
          <w:p w:rsidR="00521C69" w:rsidRPr="006D4C90" w:rsidRDefault="00056066" w:rsidP="00BB3652">
            <w:pPr>
              <w:jc w:val="right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18,4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056066">
        <w:rPr>
          <w:lang w:bidi="es-ES"/>
        </w:rPr>
        <w:t>18,4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056066">
        <w:rPr>
          <w:lang w:bidi="es-ES"/>
        </w:rPr>
        <w:t>0,8</w:t>
      </w:r>
      <w:r w:rsidR="00BB3652">
        <w:rPr>
          <w:lang w:bidi="es-ES"/>
        </w:rPr>
        <w:t xml:space="preserve"> puntos porcentuales</w:t>
      </w:r>
      <w:r w:rsidR="00960C7E">
        <w:rPr>
          <w:lang w:bidi="es-ES"/>
        </w:rPr>
        <w:t>,</w:t>
      </w:r>
      <w:r w:rsidR="00BB3652">
        <w:rPr>
          <w:lang w:bidi="es-ES"/>
        </w:rPr>
        <w:t xml:space="preserve"> atribuible exclusivamente a la revisión efectuada de oficio de la obligación de publicar información sobre ejecución presupuestaria y del cumplimiento del atributo de publicación de la inform</w:t>
      </w:r>
      <w:r w:rsidR="00056066">
        <w:rPr>
          <w:lang w:bidi="es-ES"/>
        </w:rPr>
        <w:t xml:space="preserve">ación en formatos reutilizables, ya que por otra parte, se ha revisado a la baja el cumplimiento de la obligación de informar sobre las subvenciones y ayudas públicas percibidas, a no haberse localizado en la </w:t>
      </w:r>
      <w:proofErr w:type="spellStart"/>
      <w:r w:rsidR="00056066">
        <w:rPr>
          <w:lang w:bidi="es-ES"/>
        </w:rPr>
        <w:t>wen</w:t>
      </w:r>
      <w:proofErr w:type="spellEnd"/>
      <w:r w:rsidR="00056066">
        <w:rPr>
          <w:lang w:bidi="es-ES"/>
        </w:rPr>
        <w:t xml:space="preserve"> de SELEAD AIR la única subvención que estaba publicada en 2020.</w:t>
      </w:r>
    </w:p>
    <w:p w:rsidR="00A670E9" w:rsidRDefault="00A670E9" w:rsidP="00F05E2C">
      <w:pPr>
        <w:pStyle w:val="Cuerpodelboletn"/>
      </w:pPr>
    </w:p>
    <w:p w:rsidR="00A670E9" w:rsidRDefault="00A670E9" w:rsidP="00F05E2C">
      <w:pPr>
        <w:pStyle w:val="Cuerpodelboletn"/>
      </w:pPr>
    </w:p>
    <w:p w:rsidR="00960C7E" w:rsidRDefault="00960C7E" w:rsidP="00F05E2C">
      <w:pPr>
        <w:pStyle w:val="Cuerpodelboletn"/>
      </w:pPr>
    </w:p>
    <w:p w:rsidR="00960C7E" w:rsidRDefault="00960C7E" w:rsidP="00F05E2C">
      <w:pPr>
        <w:pStyle w:val="Cuerpodelboletn"/>
        <w:sectPr w:rsidR="00960C7E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 </w:t>
      </w:r>
      <w:r w:rsidR="00960C7E">
        <w:t>SEALED AIR</w:t>
      </w:r>
      <w:r>
        <w:t xml:space="preserve">. No se ha aplicado ninguna de las recomendaciones </w:t>
      </w:r>
      <w:r w:rsidR="0054685D">
        <w:t>derivadas</w:t>
      </w:r>
      <w:r>
        <w:t xml:space="preserve"> de la evaluación realizada en 2020.</w:t>
      </w:r>
    </w:p>
    <w:p w:rsidR="004061BC" w:rsidRDefault="00BB3652" w:rsidP="00A670E9">
      <w:pPr>
        <w:pStyle w:val="Cuerpodelboletn"/>
      </w:pPr>
      <w:r>
        <w:t>Como consecuencia de esto persisten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56066" w:rsidRPr="00F31BC3" w:rsidRDefault="00056066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196703" w:rsidRPr="00F31BC3" w:rsidRDefault="00196703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C52EE5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C52EE5">
        <w:rPr>
          <w:rFonts w:ascii="Century Gothic" w:hAnsi="Century Gothic"/>
        </w:rPr>
        <w:t>Sigue sin crearse un espacio específico en la web institucional en el que publicar la información sujeta a obligaciones de publicidad activa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Pr="00A670E9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las normas de carácter general que regulan la actividad de la </w:t>
      </w:r>
      <w:r w:rsidR="00C52EE5">
        <w:rPr>
          <w:rFonts w:ascii="Century Gothic" w:hAnsi="Century Gothic"/>
        </w:rPr>
        <w:t>entidad</w:t>
      </w:r>
      <w:r w:rsidR="00960C7E">
        <w:rPr>
          <w:rFonts w:ascii="Century Gothic" w:hAnsi="Century Gothic"/>
        </w:rPr>
        <w:t xml:space="preserve">, la descripción de la estructura organizativa </w:t>
      </w:r>
      <w:r w:rsidR="00C52EE5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 el organigrama.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</w:t>
      </w:r>
      <w:r w:rsidR="00960C7E">
        <w:rPr>
          <w:rFonts w:ascii="Century Gothic" w:hAnsi="Century Gothic"/>
        </w:rPr>
        <w:t xml:space="preserve">, </w:t>
      </w:r>
      <w:r w:rsidR="00056066">
        <w:rPr>
          <w:rFonts w:ascii="Century Gothic" w:hAnsi="Century Gothic"/>
        </w:rPr>
        <w:t xml:space="preserve">no se publica ninguna de las informaciones obligatorias ya que </w:t>
      </w:r>
      <w:r w:rsidR="00960C7E">
        <w:rPr>
          <w:rFonts w:ascii="Century Gothic" w:hAnsi="Century Gothic"/>
        </w:rPr>
        <w:t xml:space="preserve">la </w:t>
      </w:r>
      <w:r w:rsidR="00056066">
        <w:rPr>
          <w:rFonts w:ascii="Century Gothic" w:hAnsi="Century Gothic"/>
        </w:rPr>
        <w:t xml:space="preserve">información sobre </w:t>
      </w:r>
      <w:r w:rsidR="00960C7E">
        <w:rPr>
          <w:rFonts w:ascii="Century Gothic" w:hAnsi="Century Gothic"/>
        </w:rPr>
        <w:t>s</w:t>
      </w:r>
      <w:r w:rsidR="00056066">
        <w:rPr>
          <w:rFonts w:ascii="Century Gothic" w:hAnsi="Century Gothic"/>
        </w:rPr>
        <w:t xml:space="preserve">ubvenciones que si </w:t>
      </w:r>
      <w:r w:rsidR="00087455">
        <w:rPr>
          <w:rFonts w:ascii="Century Gothic" w:hAnsi="Century Gothic"/>
        </w:rPr>
        <w:t>estaba publicada en 2020 no se ha localizado al efectuar la revisión de la web de la entidad</w:t>
      </w:r>
      <w:r w:rsidR="00960C7E">
        <w:rPr>
          <w:rFonts w:ascii="Century Gothic" w:hAnsi="Century Gothic"/>
        </w:rPr>
        <w:t xml:space="preserve">. </w:t>
      </w:r>
    </w:p>
    <w:p w:rsidR="00960C7E" w:rsidRDefault="00CC1BEE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informarse expresamente de que la falta de publicación de algunas informaciones obligatorias se debe a la inexistencia de actividad en ese ámbito. 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la información </w:t>
      </w:r>
      <w:r w:rsidR="00087455">
        <w:rPr>
          <w:rFonts w:ascii="Century Gothic" w:hAnsi="Century Gothic"/>
        </w:rPr>
        <w:t xml:space="preserve">obligatoria </w:t>
      </w:r>
      <w:r w:rsidR="004D4B3E">
        <w:rPr>
          <w:rFonts w:ascii="Century Gothic" w:hAnsi="Century Gothic"/>
        </w:rPr>
        <w:t>publicada en el Portal</w:t>
      </w:r>
      <w:r w:rsidR="00087455">
        <w:rPr>
          <w:rFonts w:ascii="Century Gothic" w:hAnsi="Century Gothic"/>
        </w:rPr>
        <w:t xml:space="preserve"> de Transparencia o en la web de la entidad</w:t>
      </w:r>
      <w:r w:rsidR="004D4B3E">
        <w:rPr>
          <w:rFonts w:ascii="Century Gothic" w:hAnsi="Century Gothic"/>
        </w:rPr>
        <w:t>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2C19B9">
        <w:rPr>
          <w:rFonts w:ascii="Century Gothic" w:hAnsi="Century Gothic"/>
        </w:rPr>
        <w:t>noviembre</w:t>
      </w:r>
      <w:r>
        <w:rPr>
          <w:rFonts w:ascii="Century Gothic" w:hAnsi="Century Gothic"/>
        </w:rPr>
        <w:t xml:space="preserve"> de 2021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56066" w:rsidRPr="00F31BC3" w:rsidRDefault="00056066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96703" w:rsidRPr="00F31BC3" w:rsidRDefault="0019670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56066" w:rsidRPr="00F31BC3" w:rsidRDefault="00056066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96703" w:rsidRPr="00F31BC3" w:rsidRDefault="0019670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66" w:rsidRDefault="00056066" w:rsidP="00F31BC3">
      <w:r>
        <w:separator/>
      </w:r>
    </w:p>
  </w:endnote>
  <w:endnote w:type="continuationSeparator" w:id="0">
    <w:p w:rsidR="00056066" w:rsidRDefault="00056066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66" w:rsidRDefault="00056066" w:rsidP="00F31BC3">
      <w:r>
        <w:separator/>
      </w:r>
    </w:p>
  </w:footnote>
  <w:footnote w:type="continuationSeparator" w:id="0">
    <w:p w:rsidR="00056066" w:rsidRDefault="00056066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32D8A"/>
    <w:rsid w:val="00040AF4"/>
    <w:rsid w:val="00053A0E"/>
    <w:rsid w:val="00056066"/>
    <w:rsid w:val="0005642F"/>
    <w:rsid w:val="00072B7E"/>
    <w:rsid w:val="000775A5"/>
    <w:rsid w:val="00085C93"/>
    <w:rsid w:val="00087455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56E33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311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685D"/>
    <w:rsid w:val="00563295"/>
    <w:rsid w:val="00564E23"/>
    <w:rsid w:val="00582A8C"/>
    <w:rsid w:val="005B1544"/>
    <w:rsid w:val="005C4778"/>
    <w:rsid w:val="005E2505"/>
    <w:rsid w:val="005E6704"/>
    <w:rsid w:val="00603DFC"/>
    <w:rsid w:val="00607613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51FAA"/>
    <w:rsid w:val="00760E4B"/>
    <w:rsid w:val="0076640C"/>
    <w:rsid w:val="00767C60"/>
    <w:rsid w:val="00774C97"/>
    <w:rsid w:val="00777FB3"/>
    <w:rsid w:val="00781700"/>
    <w:rsid w:val="00790143"/>
    <w:rsid w:val="007942B7"/>
    <w:rsid w:val="007954A6"/>
    <w:rsid w:val="007C4655"/>
    <w:rsid w:val="007C65C5"/>
    <w:rsid w:val="007D1701"/>
    <w:rsid w:val="007D5CBF"/>
    <w:rsid w:val="007D69D9"/>
    <w:rsid w:val="007F1D56"/>
    <w:rsid w:val="007F5F9D"/>
    <w:rsid w:val="00800B69"/>
    <w:rsid w:val="00803D20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6A67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0C7E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626F"/>
    <w:rsid w:val="00A06BF1"/>
    <w:rsid w:val="00A10B8C"/>
    <w:rsid w:val="00A1361E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56086"/>
    <w:rsid w:val="00C61E7F"/>
    <w:rsid w:val="00C66E73"/>
    <w:rsid w:val="00C91330"/>
    <w:rsid w:val="00CB6837"/>
    <w:rsid w:val="00CC1BEE"/>
    <w:rsid w:val="00CC48E8"/>
    <w:rsid w:val="00CD3DE8"/>
    <w:rsid w:val="00CE5359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86766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B246C2"/>
    <w:rsid w:val="00C32372"/>
    <w:rsid w:val="00DE3DE6"/>
    <w:rsid w:val="00DE445F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1AD31-1B0F-4A31-B9E7-8137E511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69</TotalTime>
  <Pages>5</Pages>
  <Words>1065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9</cp:revision>
  <cp:lastPrinted>2008-09-26T23:14:00Z</cp:lastPrinted>
  <dcterms:created xsi:type="dcterms:W3CDTF">2021-11-05T08:24:00Z</dcterms:created>
  <dcterms:modified xsi:type="dcterms:W3CDTF">2022-01-12T12:45:00Z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