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olor w:val="3E3E67" w:themeColor="accent1" w:themeShade="BF"/>
          <w:sz w:val="56"/>
          <w:szCs w:val="56"/>
        </w:rPr>
        <w:id w:val="1833336649"/>
        <w:docPartObj>
          <w:docPartGallery w:val="Cover Pages"/>
          <w:docPartUnique/>
        </w:docPartObj>
      </w:sdtPr>
      <w:sdtEndPr>
        <w:rPr>
          <w:szCs w:val="20"/>
        </w:rPr>
      </w:sdtEndPr>
      <w:sdtContent>
        <w:tbl>
          <w:tblPr>
            <w:tblpPr w:leftFromText="187" w:rightFromText="187" w:tblpYSpec="bottom"/>
            <w:tblOverlap w:val="never"/>
            <w:tblW w:w="5000" w:type="pct"/>
            <w:tblCellMar>
              <w:top w:w="115" w:type="dxa"/>
              <w:left w:w="115" w:type="dxa"/>
              <w:bottom w:w="72" w:type="dxa"/>
              <w:right w:w="115" w:type="dxa"/>
            </w:tblCellMar>
            <w:tblLook w:val="04A0" w:firstRow="1" w:lastRow="0" w:firstColumn="1" w:lastColumn="0" w:noHBand="0" w:noVBand="1"/>
          </w:tblPr>
          <w:tblGrid>
            <w:gridCol w:w="1050"/>
            <w:gridCol w:w="2778"/>
            <w:gridCol w:w="1561"/>
            <w:gridCol w:w="3912"/>
          </w:tblGrid>
          <w:tr w:rsidR="008876B2" w:rsidTr="008876B2">
            <w:tc>
              <w:tcPr>
                <w:tcW w:w="1050" w:type="dxa"/>
                <w:vAlign w:val="center"/>
              </w:tcPr>
              <w:p w:rsidR="00743995" w:rsidRDefault="00743995">
                <w:pPr>
                  <w:pStyle w:val="Sinespaciado"/>
                </w:pPr>
              </w:p>
            </w:tc>
            <w:tc>
              <w:tcPr>
                <w:tcW w:w="2778" w:type="dxa"/>
                <w:vAlign w:val="center"/>
              </w:tcPr>
              <w:p w:rsidR="00743995" w:rsidRDefault="00743995">
                <w:pPr>
                  <w:pStyle w:val="Sinespaciado"/>
                </w:pPr>
              </w:p>
            </w:tc>
            <w:tc>
              <w:tcPr>
                <w:tcW w:w="5473" w:type="dxa"/>
                <w:gridSpan w:val="2"/>
                <w:vAlign w:val="center"/>
              </w:tcPr>
              <w:p w:rsidR="00743995" w:rsidRDefault="00743995">
                <w:pPr>
                  <w:pStyle w:val="Sinespaciado"/>
                </w:pPr>
              </w:p>
            </w:tc>
          </w:tr>
          <w:tr w:rsidR="008876B2" w:rsidTr="008876B2">
            <w:tc>
              <w:tcPr>
                <w:tcW w:w="3828" w:type="dxa"/>
                <w:gridSpan w:val="2"/>
                <w:vAlign w:val="center"/>
              </w:tcPr>
              <w:tbl>
                <w:tblPr>
                  <w:tblW w:w="5000" w:type="pct"/>
                  <w:tblCellMar>
                    <w:left w:w="0" w:type="dxa"/>
                    <w:right w:w="0" w:type="dxa"/>
                  </w:tblCellMar>
                  <w:tblLook w:val="04A0" w:firstRow="1" w:lastRow="0" w:firstColumn="1" w:lastColumn="0" w:noHBand="0" w:noVBand="1"/>
                </w:tblPr>
                <w:tblGrid>
                  <w:gridCol w:w="952"/>
                  <w:gridCol w:w="2646"/>
                </w:tblGrid>
                <w:tr w:rsidR="00743995">
                  <w:trPr>
                    <w:trHeight w:hRule="exact" w:val="86"/>
                  </w:trPr>
                  <w:tc>
                    <w:tcPr>
                      <w:tcW w:w="990" w:type="dxa"/>
                    </w:tcPr>
                    <w:p w:rsidR="00743995" w:rsidRDefault="00743995">
                      <w:pPr>
                        <w:pStyle w:val="Sinespaciado"/>
                        <w:framePr w:hSpace="187" w:wrap="around" w:hAnchor="text" w:yAlign="bottom"/>
                        <w:suppressOverlap/>
                      </w:pPr>
                    </w:p>
                  </w:tc>
                  <w:tc>
                    <w:tcPr>
                      <w:tcW w:w="2754" w:type="dxa"/>
                      <w:tcBorders>
                        <w:top w:val="single" w:sz="6" w:space="0" w:color="438086" w:themeColor="accent2"/>
                        <w:bottom w:val="single" w:sz="24" w:space="0" w:color="438086" w:themeColor="accent2"/>
                      </w:tcBorders>
                    </w:tcPr>
                    <w:p w:rsidR="00743995" w:rsidRDefault="00743995">
                      <w:pPr>
                        <w:pStyle w:val="Sinespaciado"/>
                        <w:framePr w:hSpace="187" w:wrap="around" w:hAnchor="text" w:yAlign="bottom"/>
                        <w:suppressOverlap/>
                      </w:pPr>
                    </w:p>
                  </w:tc>
                </w:tr>
                <w:tr w:rsidR="00743995">
                  <w:trPr>
                    <w:trHeight w:hRule="exact" w:val="86"/>
                  </w:trPr>
                  <w:tc>
                    <w:tcPr>
                      <w:tcW w:w="990" w:type="dxa"/>
                      <w:tcBorders>
                        <w:bottom w:val="single" w:sz="2" w:space="0" w:color="438086" w:themeColor="accent2"/>
                      </w:tcBorders>
                    </w:tcPr>
                    <w:p w:rsidR="00743995" w:rsidRDefault="00743995">
                      <w:pPr>
                        <w:pStyle w:val="Sinespaciado"/>
                        <w:framePr w:hSpace="187" w:wrap="around" w:hAnchor="text" w:yAlign="bottom"/>
                        <w:suppressOverlap/>
                      </w:pPr>
                    </w:p>
                  </w:tc>
                  <w:tc>
                    <w:tcPr>
                      <w:tcW w:w="2754" w:type="dxa"/>
                      <w:tcBorders>
                        <w:top w:val="single" w:sz="24" w:space="0" w:color="438086" w:themeColor="accent2"/>
                        <w:bottom w:val="single" w:sz="2" w:space="0" w:color="438086" w:themeColor="accent2"/>
                      </w:tcBorders>
                    </w:tcPr>
                    <w:p w:rsidR="00743995" w:rsidRDefault="00743995">
                      <w:pPr>
                        <w:pStyle w:val="Sinespaciado"/>
                        <w:framePr w:hSpace="187" w:wrap="around" w:hAnchor="text" w:yAlign="bottom"/>
                        <w:suppressOverlap/>
                      </w:pPr>
                    </w:p>
                  </w:tc>
                </w:tr>
                <w:tr w:rsidR="00743995">
                  <w:trPr>
                    <w:trHeight w:hRule="exact" w:val="115"/>
                  </w:trPr>
                  <w:tc>
                    <w:tcPr>
                      <w:tcW w:w="990" w:type="dxa"/>
                      <w:tcBorders>
                        <w:top w:val="single" w:sz="2" w:space="0" w:color="438086" w:themeColor="accent2"/>
                        <w:bottom w:val="single" w:sz="8" w:space="0" w:color="438086" w:themeColor="accent2"/>
                      </w:tcBorders>
                    </w:tcPr>
                    <w:p w:rsidR="00743995" w:rsidRDefault="00743995">
                      <w:pPr>
                        <w:pStyle w:val="Sinespaciado"/>
                        <w:framePr w:hSpace="187" w:wrap="around" w:hAnchor="text" w:yAlign="bottom"/>
                        <w:suppressOverlap/>
                      </w:pPr>
                    </w:p>
                  </w:tc>
                  <w:tc>
                    <w:tcPr>
                      <w:tcW w:w="2754" w:type="dxa"/>
                      <w:tcBorders>
                        <w:top w:val="single" w:sz="2" w:space="0" w:color="438086" w:themeColor="accent2"/>
                        <w:bottom w:val="single" w:sz="8" w:space="0" w:color="438086" w:themeColor="accent2"/>
                      </w:tcBorders>
                    </w:tcPr>
                    <w:p w:rsidR="00743995" w:rsidRDefault="00743995">
                      <w:pPr>
                        <w:pStyle w:val="Sinespaciado"/>
                        <w:framePr w:hSpace="187" w:wrap="around" w:hAnchor="text" w:yAlign="bottom"/>
                        <w:suppressOverlap/>
                      </w:pPr>
                    </w:p>
                  </w:tc>
                </w:tr>
                <w:tr w:rsidR="00743995">
                  <w:trPr>
                    <w:trHeight w:hRule="exact" w:val="58"/>
                  </w:trPr>
                  <w:tc>
                    <w:tcPr>
                      <w:tcW w:w="990" w:type="dxa"/>
                      <w:tcBorders>
                        <w:top w:val="single" w:sz="8" w:space="0" w:color="438086" w:themeColor="accent2"/>
                      </w:tcBorders>
                    </w:tcPr>
                    <w:p w:rsidR="00743995" w:rsidRDefault="00743995">
                      <w:pPr>
                        <w:pStyle w:val="Sinespaciado"/>
                        <w:framePr w:hSpace="187" w:wrap="around" w:hAnchor="text" w:yAlign="bottom"/>
                        <w:suppressOverlap/>
                      </w:pPr>
                    </w:p>
                  </w:tc>
                  <w:tc>
                    <w:tcPr>
                      <w:tcW w:w="2754" w:type="dxa"/>
                      <w:tcBorders>
                        <w:top w:val="single" w:sz="8" w:space="0" w:color="438086" w:themeColor="accent2"/>
                        <w:bottom w:val="single" w:sz="12" w:space="0" w:color="438086" w:themeColor="accent2"/>
                      </w:tcBorders>
                    </w:tcPr>
                    <w:p w:rsidR="00743995" w:rsidRDefault="00743995">
                      <w:pPr>
                        <w:pStyle w:val="Sinespaciado"/>
                        <w:framePr w:hSpace="187" w:wrap="around" w:hAnchor="text" w:yAlign="bottom"/>
                        <w:suppressOverlap/>
                      </w:pPr>
                    </w:p>
                  </w:tc>
                </w:tr>
              </w:tbl>
              <w:p w:rsidR="00743995" w:rsidRDefault="00743995">
                <w:pPr>
                  <w:pStyle w:val="Sinespaciado"/>
                </w:pPr>
              </w:p>
            </w:tc>
            <w:tc>
              <w:tcPr>
                <w:tcW w:w="5473" w:type="dxa"/>
                <w:gridSpan w:val="2"/>
                <w:vAlign w:val="center"/>
              </w:tcPr>
              <w:p w:rsidR="00743995" w:rsidRDefault="00743995">
                <w:pPr>
                  <w:pStyle w:val="Sinespaciado"/>
                </w:pPr>
              </w:p>
            </w:tc>
          </w:tr>
          <w:tr w:rsidR="00743995" w:rsidTr="008876B2">
            <w:trPr>
              <w:trHeight w:val="1800"/>
            </w:trPr>
            <w:tc>
              <w:tcPr>
                <w:tcW w:w="9301" w:type="dxa"/>
                <w:gridSpan w:val="4"/>
                <w:tcMar>
                  <w:top w:w="115" w:type="dxa"/>
                  <w:left w:w="115" w:type="dxa"/>
                  <w:bottom w:w="72" w:type="dxa"/>
                  <w:right w:w="115" w:type="dxa"/>
                </w:tcMar>
                <w:vAlign w:val="center"/>
              </w:tcPr>
              <w:p w:rsidR="00743995" w:rsidRPr="008876B2" w:rsidRDefault="00F12288">
                <w:pPr>
                  <w:pStyle w:val="Sinespaciado"/>
                  <w:rPr>
                    <w:rFonts w:eastAsiaTheme="majorEastAsia" w:cstheme="majorBidi"/>
                    <w:color w:val="53548A" w:themeColor="accent1"/>
                    <w:sz w:val="40"/>
                    <w:szCs w:val="40"/>
                  </w:rPr>
                </w:pPr>
                <w:sdt>
                  <w:sdtPr>
                    <w:rPr>
                      <w:rFonts w:eastAsiaTheme="majorEastAsia" w:cstheme="majorBidi"/>
                      <w:sz w:val="40"/>
                      <w:szCs w:val="40"/>
                    </w:rPr>
                    <w:alias w:val="Título"/>
                    <w:id w:val="220683848"/>
                    <w:dataBinding w:prefixMappings="xmlns:ns0='http://schemas.openxmlformats.org/package/2006/metadata/core-properties' xmlns:ns1='http://purl.org/dc/elements/1.1/'" w:xpath="/ns0:coreProperties[1]/ns1:title[1]" w:storeItemID="{6C3C8BC8-F283-45AE-878A-BAB7291924A1}"/>
                    <w:text/>
                  </w:sdtPr>
                  <w:sdtContent>
                    <w:r w:rsidR="00E924EF">
                      <w:rPr>
                        <w:rFonts w:eastAsiaTheme="majorEastAsia" w:cstheme="majorBidi"/>
                        <w:sz w:val="40"/>
                        <w:szCs w:val="40"/>
                      </w:rPr>
                      <w:t xml:space="preserve">Informe de evaluación sobre </w:t>
                    </w:r>
                    <w:r w:rsidR="005F586A">
                      <w:rPr>
                        <w:rFonts w:eastAsiaTheme="majorEastAsia" w:cstheme="majorBidi"/>
                        <w:sz w:val="40"/>
                        <w:szCs w:val="40"/>
                      </w:rPr>
                      <w:t>el cumplimie</w:t>
                    </w:r>
                    <w:r w:rsidR="002652DB">
                      <w:rPr>
                        <w:rFonts w:eastAsiaTheme="majorEastAsia" w:cstheme="majorBidi"/>
                        <w:sz w:val="40"/>
                        <w:szCs w:val="40"/>
                      </w:rPr>
                      <w:t>nto de la LTAIBG por parte de l</w:t>
                    </w:r>
                    <w:r w:rsidR="00D74601">
                      <w:rPr>
                        <w:rFonts w:eastAsiaTheme="majorEastAsia" w:cstheme="majorBidi"/>
                        <w:sz w:val="40"/>
                        <w:szCs w:val="40"/>
                      </w:rPr>
                      <w:t>a</w:t>
                    </w:r>
                    <w:r w:rsidR="005F586A">
                      <w:rPr>
                        <w:rFonts w:eastAsiaTheme="majorEastAsia" w:cstheme="majorBidi"/>
                        <w:sz w:val="40"/>
                        <w:szCs w:val="40"/>
                      </w:rPr>
                      <w:t xml:space="preserve">s </w:t>
                    </w:r>
                    <w:r w:rsidR="00D74601">
                      <w:rPr>
                        <w:rFonts w:eastAsiaTheme="majorEastAsia" w:cstheme="majorBidi"/>
                        <w:sz w:val="40"/>
                        <w:szCs w:val="40"/>
                      </w:rPr>
                      <w:t>entidades integrantes de</w:t>
                    </w:r>
                    <w:r w:rsidR="00934D75">
                      <w:rPr>
                        <w:rFonts w:eastAsiaTheme="majorEastAsia" w:cstheme="majorBidi"/>
                        <w:sz w:val="40"/>
                        <w:szCs w:val="40"/>
                      </w:rPr>
                      <w:t xml:space="preserve"> </w:t>
                    </w:r>
                    <w:r w:rsidR="00D74601">
                      <w:rPr>
                        <w:rFonts w:eastAsiaTheme="majorEastAsia" w:cstheme="majorBidi"/>
                        <w:sz w:val="40"/>
                        <w:szCs w:val="40"/>
                      </w:rPr>
                      <w:t>l</w:t>
                    </w:r>
                    <w:r w:rsidR="00934D75">
                      <w:rPr>
                        <w:rFonts w:eastAsiaTheme="majorEastAsia" w:cstheme="majorBidi"/>
                        <w:sz w:val="40"/>
                        <w:szCs w:val="40"/>
                      </w:rPr>
                      <w:t>as</w:t>
                    </w:r>
                    <w:r w:rsidR="00D74601">
                      <w:rPr>
                        <w:rFonts w:eastAsiaTheme="majorEastAsia" w:cstheme="majorBidi"/>
                        <w:sz w:val="40"/>
                        <w:szCs w:val="40"/>
                      </w:rPr>
                      <w:t xml:space="preserve"> </w:t>
                    </w:r>
                    <w:r w:rsidR="00934D75">
                      <w:rPr>
                        <w:rFonts w:eastAsiaTheme="majorEastAsia" w:cstheme="majorBidi"/>
                        <w:sz w:val="40"/>
                        <w:szCs w:val="40"/>
                      </w:rPr>
                      <w:t>entidades perceptoras de subvenciones y ayudas públicas en 202</w:t>
                    </w:r>
                    <w:r w:rsidR="00E35AFE">
                      <w:rPr>
                        <w:rFonts w:eastAsiaTheme="majorEastAsia" w:cstheme="majorBidi"/>
                        <w:sz w:val="40"/>
                        <w:szCs w:val="40"/>
                      </w:rPr>
                      <w:t>1</w:t>
                    </w:r>
                    <w:r w:rsidR="00F07996">
                      <w:rPr>
                        <w:rFonts w:eastAsiaTheme="majorEastAsia" w:cstheme="majorBidi"/>
                        <w:sz w:val="40"/>
                        <w:szCs w:val="40"/>
                      </w:rPr>
                      <w:t>.</w:t>
                    </w:r>
                  </w:sdtContent>
                </w:sdt>
              </w:p>
              <w:p w:rsidR="00743995" w:rsidRPr="008876B2" w:rsidRDefault="00F12288" w:rsidP="007F2F57">
                <w:pPr>
                  <w:pStyle w:val="Sinespaciado"/>
                </w:pPr>
                <w:sdt>
                  <w:sdtPr>
                    <w:rPr>
                      <w:i/>
                      <w:iCs/>
                      <w:color w:val="424456" w:themeColor="text2"/>
                      <w:sz w:val="28"/>
                      <w:szCs w:val="28"/>
                    </w:rPr>
                    <w:alias w:val="Subtítulo"/>
                    <w:id w:val="220683832"/>
                    <w:dataBinding w:prefixMappings="xmlns:ns0='http://schemas.openxmlformats.org/package/2006/metadata/core-properties' xmlns:ns1='http://purl.org/dc/elements/1.1/'" w:xpath="/ns0:coreProperties[1]/ns1:subject[1]" w:storeItemID="{6C3C8BC8-F283-45AE-878A-BAB7291924A1}"/>
                    <w:text/>
                  </w:sdtPr>
                  <w:sdtContent>
                    <w:r w:rsidR="008876B2" w:rsidRPr="008876B2">
                      <w:rPr>
                        <w:i/>
                        <w:iCs/>
                        <w:color w:val="424456" w:themeColor="text2"/>
                        <w:sz w:val="28"/>
                        <w:szCs w:val="28"/>
                      </w:rPr>
                      <w:t>Evaluaci</w:t>
                    </w:r>
                    <w:r w:rsidR="00E924EF">
                      <w:rPr>
                        <w:i/>
                        <w:iCs/>
                        <w:color w:val="424456" w:themeColor="text2"/>
                        <w:sz w:val="28"/>
                        <w:szCs w:val="28"/>
                      </w:rPr>
                      <w:t>ones 202</w:t>
                    </w:r>
                    <w:r w:rsidR="007F2F57">
                      <w:rPr>
                        <w:i/>
                        <w:iCs/>
                        <w:color w:val="424456" w:themeColor="text2"/>
                        <w:sz w:val="28"/>
                        <w:szCs w:val="28"/>
                      </w:rPr>
                      <w:t>2</w:t>
                    </w:r>
                    <w:r w:rsidR="00E924EF">
                      <w:rPr>
                        <w:i/>
                        <w:iCs/>
                        <w:color w:val="424456" w:themeColor="text2"/>
                        <w:sz w:val="28"/>
                        <w:szCs w:val="28"/>
                      </w:rPr>
                      <w:t>.CTBG</w:t>
                    </w:r>
                  </w:sdtContent>
                </w:sdt>
              </w:p>
            </w:tc>
          </w:tr>
          <w:tr w:rsidR="008876B2" w:rsidTr="008876B2">
            <w:tc>
              <w:tcPr>
                <w:tcW w:w="1050" w:type="dxa"/>
                <w:vAlign w:val="center"/>
              </w:tcPr>
              <w:p w:rsidR="00743995" w:rsidRDefault="00743995">
                <w:pPr>
                  <w:pStyle w:val="Sinespaciado"/>
                </w:pPr>
              </w:p>
            </w:tc>
            <w:tc>
              <w:tcPr>
                <w:tcW w:w="4339" w:type="dxa"/>
                <w:gridSpan w:val="2"/>
                <w:vAlign w:val="center"/>
              </w:tcPr>
              <w:p w:rsidR="00743995" w:rsidRDefault="00743995">
                <w:pPr>
                  <w:pStyle w:val="Sinespaciado"/>
                </w:pPr>
              </w:p>
            </w:tc>
            <w:tc>
              <w:tcPr>
                <w:tcW w:w="3912" w:type="dxa"/>
                <w:vAlign w:val="center"/>
              </w:tcPr>
              <w:tbl>
                <w:tblPr>
                  <w:tblW w:w="5000" w:type="pct"/>
                  <w:tblLook w:val="04A0" w:firstRow="1" w:lastRow="0" w:firstColumn="1" w:lastColumn="0" w:noHBand="0" w:noVBand="1"/>
                </w:tblPr>
                <w:tblGrid>
                  <w:gridCol w:w="1057"/>
                  <w:gridCol w:w="697"/>
                  <w:gridCol w:w="1928"/>
                </w:tblGrid>
                <w:tr w:rsidR="008876B2">
                  <w:trPr>
                    <w:trHeight w:hRule="exact" w:val="72"/>
                  </w:trPr>
                  <w:tc>
                    <w:tcPr>
                      <w:tcW w:w="1098" w:type="dxa"/>
                      <w:tcBorders>
                        <w:top w:val="single" w:sz="24" w:space="0" w:color="438086" w:themeColor="accent2"/>
                      </w:tcBorders>
                    </w:tcPr>
                    <w:p w:rsidR="00743995" w:rsidRDefault="00743995" w:rsidP="00F12288">
                      <w:pPr>
                        <w:pStyle w:val="Sinespaciado"/>
                        <w:framePr w:hSpace="187" w:wrap="around" w:hAnchor="text" w:yAlign="bottom"/>
                        <w:suppressOverlap/>
                        <w:rPr>
                          <w:sz w:val="12"/>
                        </w:rPr>
                      </w:pPr>
                    </w:p>
                  </w:tc>
                  <w:tc>
                    <w:tcPr>
                      <w:tcW w:w="720" w:type="dxa"/>
                      <w:tcBorders>
                        <w:top w:val="single" w:sz="24" w:space="0" w:color="438086" w:themeColor="accent2"/>
                        <w:bottom w:val="single" w:sz="6" w:space="0" w:color="438086" w:themeColor="accent2"/>
                      </w:tcBorders>
                    </w:tcPr>
                    <w:p w:rsidR="00743995" w:rsidRDefault="00743995" w:rsidP="00F12288">
                      <w:pPr>
                        <w:pStyle w:val="Sinespaciado"/>
                        <w:framePr w:hSpace="187" w:wrap="around" w:hAnchor="text" w:yAlign="bottom"/>
                        <w:suppressOverlap/>
                        <w:rPr>
                          <w:sz w:val="12"/>
                        </w:rPr>
                      </w:pPr>
                    </w:p>
                  </w:tc>
                  <w:tc>
                    <w:tcPr>
                      <w:tcW w:w="2012" w:type="dxa"/>
                      <w:tcBorders>
                        <w:top w:val="single" w:sz="24" w:space="0" w:color="438086" w:themeColor="accent2"/>
                        <w:bottom w:val="single" w:sz="6" w:space="0" w:color="438086" w:themeColor="accent2"/>
                      </w:tcBorders>
                    </w:tcPr>
                    <w:p w:rsidR="00743995" w:rsidRDefault="00743995" w:rsidP="00F12288">
                      <w:pPr>
                        <w:pStyle w:val="Sinespaciado"/>
                        <w:framePr w:hSpace="187" w:wrap="around" w:hAnchor="text" w:yAlign="bottom"/>
                        <w:suppressOverlap/>
                        <w:rPr>
                          <w:sz w:val="12"/>
                        </w:rPr>
                      </w:pPr>
                    </w:p>
                  </w:tc>
                </w:tr>
                <w:tr w:rsidR="008876B2">
                  <w:trPr>
                    <w:trHeight w:hRule="exact" w:val="86"/>
                  </w:trPr>
                  <w:tc>
                    <w:tcPr>
                      <w:tcW w:w="1098" w:type="dxa"/>
                    </w:tcPr>
                    <w:p w:rsidR="00743995" w:rsidRDefault="00743995" w:rsidP="00F12288">
                      <w:pPr>
                        <w:pStyle w:val="Sinespaciado"/>
                        <w:framePr w:hSpace="187" w:wrap="around" w:hAnchor="text" w:yAlign="bottom"/>
                        <w:suppressOverlap/>
                        <w:rPr>
                          <w:sz w:val="12"/>
                        </w:rPr>
                      </w:pPr>
                    </w:p>
                  </w:tc>
                  <w:tc>
                    <w:tcPr>
                      <w:tcW w:w="720" w:type="dxa"/>
                      <w:tcBorders>
                        <w:top w:val="single" w:sz="6" w:space="0" w:color="438086" w:themeColor="accent2"/>
                        <w:bottom w:val="single" w:sz="24" w:space="0" w:color="438086" w:themeColor="accent2"/>
                      </w:tcBorders>
                    </w:tcPr>
                    <w:p w:rsidR="00743995" w:rsidRDefault="00743995" w:rsidP="00F12288">
                      <w:pPr>
                        <w:pStyle w:val="Sinespaciado"/>
                        <w:framePr w:hSpace="187" w:wrap="around" w:hAnchor="text" w:yAlign="bottom"/>
                        <w:suppressOverlap/>
                        <w:rPr>
                          <w:sz w:val="12"/>
                        </w:rPr>
                      </w:pPr>
                    </w:p>
                  </w:tc>
                  <w:tc>
                    <w:tcPr>
                      <w:tcW w:w="2012" w:type="dxa"/>
                      <w:tcBorders>
                        <w:top w:val="single" w:sz="6" w:space="0" w:color="438086" w:themeColor="accent2"/>
                        <w:bottom w:val="single" w:sz="24" w:space="0" w:color="438086" w:themeColor="accent2"/>
                      </w:tcBorders>
                    </w:tcPr>
                    <w:p w:rsidR="00743995" w:rsidRDefault="00743995" w:rsidP="00F12288">
                      <w:pPr>
                        <w:pStyle w:val="Sinespaciado"/>
                        <w:framePr w:hSpace="187" w:wrap="around" w:hAnchor="text" w:yAlign="bottom"/>
                        <w:suppressOverlap/>
                        <w:rPr>
                          <w:sz w:val="12"/>
                        </w:rPr>
                      </w:pPr>
                    </w:p>
                  </w:tc>
                </w:tr>
                <w:tr w:rsidR="008876B2">
                  <w:trPr>
                    <w:trHeight w:hRule="exact" w:val="101"/>
                  </w:trPr>
                  <w:tc>
                    <w:tcPr>
                      <w:tcW w:w="1098" w:type="dxa"/>
                      <w:tcBorders>
                        <w:bottom w:val="single" w:sz="2" w:space="0" w:color="438086" w:themeColor="accent2"/>
                      </w:tcBorders>
                    </w:tcPr>
                    <w:p w:rsidR="00743995" w:rsidRDefault="00743995" w:rsidP="00F12288">
                      <w:pPr>
                        <w:pStyle w:val="Sinespaciado"/>
                        <w:framePr w:hSpace="187" w:wrap="around" w:hAnchor="text" w:yAlign="bottom"/>
                        <w:suppressOverlap/>
                        <w:rPr>
                          <w:sz w:val="12"/>
                        </w:rPr>
                      </w:pPr>
                    </w:p>
                  </w:tc>
                  <w:tc>
                    <w:tcPr>
                      <w:tcW w:w="720" w:type="dxa"/>
                      <w:tcBorders>
                        <w:top w:val="single" w:sz="24" w:space="0" w:color="438086" w:themeColor="accent2"/>
                        <w:bottom w:val="single" w:sz="2" w:space="0" w:color="438086" w:themeColor="accent2"/>
                      </w:tcBorders>
                    </w:tcPr>
                    <w:p w:rsidR="00743995" w:rsidRDefault="00743995" w:rsidP="00F12288">
                      <w:pPr>
                        <w:pStyle w:val="Sinespaciado"/>
                        <w:framePr w:hSpace="187" w:wrap="around" w:hAnchor="text" w:yAlign="bottom"/>
                        <w:suppressOverlap/>
                        <w:rPr>
                          <w:sz w:val="12"/>
                        </w:rPr>
                      </w:pPr>
                    </w:p>
                  </w:tc>
                  <w:tc>
                    <w:tcPr>
                      <w:tcW w:w="2012" w:type="dxa"/>
                      <w:tcBorders>
                        <w:top w:val="single" w:sz="24" w:space="0" w:color="438086" w:themeColor="accent2"/>
                        <w:bottom w:val="single" w:sz="2" w:space="0" w:color="438086" w:themeColor="accent2"/>
                      </w:tcBorders>
                    </w:tcPr>
                    <w:p w:rsidR="00743995" w:rsidRDefault="00743995" w:rsidP="00F12288">
                      <w:pPr>
                        <w:pStyle w:val="Sinespaciado"/>
                        <w:framePr w:hSpace="187" w:wrap="around" w:hAnchor="text" w:yAlign="bottom"/>
                        <w:suppressOverlap/>
                        <w:rPr>
                          <w:sz w:val="12"/>
                        </w:rPr>
                      </w:pPr>
                    </w:p>
                  </w:tc>
                </w:tr>
                <w:tr w:rsidR="008876B2">
                  <w:trPr>
                    <w:trHeight w:hRule="exact" w:val="43"/>
                  </w:trPr>
                  <w:tc>
                    <w:tcPr>
                      <w:tcW w:w="1098" w:type="dxa"/>
                      <w:tcBorders>
                        <w:top w:val="single" w:sz="2" w:space="0" w:color="438086" w:themeColor="accent2"/>
                        <w:bottom w:val="single" w:sz="24" w:space="0" w:color="438086" w:themeColor="accent2"/>
                      </w:tcBorders>
                    </w:tcPr>
                    <w:p w:rsidR="00743995" w:rsidRDefault="00743995" w:rsidP="00F12288">
                      <w:pPr>
                        <w:pStyle w:val="Sinespaciado"/>
                        <w:framePr w:hSpace="187" w:wrap="around" w:hAnchor="text" w:yAlign="bottom"/>
                        <w:suppressOverlap/>
                        <w:rPr>
                          <w:sz w:val="12"/>
                        </w:rPr>
                      </w:pPr>
                    </w:p>
                  </w:tc>
                  <w:tc>
                    <w:tcPr>
                      <w:tcW w:w="720" w:type="dxa"/>
                      <w:tcBorders>
                        <w:top w:val="single" w:sz="2" w:space="0" w:color="438086" w:themeColor="accent2"/>
                        <w:bottom w:val="single" w:sz="24" w:space="0" w:color="438086" w:themeColor="accent2"/>
                      </w:tcBorders>
                    </w:tcPr>
                    <w:p w:rsidR="00743995" w:rsidRDefault="00743995" w:rsidP="00F12288">
                      <w:pPr>
                        <w:pStyle w:val="Sinespaciado"/>
                        <w:framePr w:hSpace="187" w:wrap="around" w:hAnchor="text" w:yAlign="bottom"/>
                        <w:suppressOverlap/>
                        <w:rPr>
                          <w:sz w:val="12"/>
                        </w:rPr>
                      </w:pPr>
                    </w:p>
                  </w:tc>
                  <w:tc>
                    <w:tcPr>
                      <w:tcW w:w="2012" w:type="dxa"/>
                      <w:tcBorders>
                        <w:top w:val="single" w:sz="2" w:space="0" w:color="438086" w:themeColor="accent2"/>
                      </w:tcBorders>
                    </w:tcPr>
                    <w:p w:rsidR="00743995" w:rsidRDefault="00743995" w:rsidP="00F12288">
                      <w:pPr>
                        <w:pStyle w:val="Sinespaciado"/>
                        <w:framePr w:hSpace="187" w:wrap="around" w:hAnchor="text" w:yAlign="bottom"/>
                        <w:suppressOverlap/>
                        <w:rPr>
                          <w:sz w:val="12"/>
                        </w:rPr>
                      </w:pPr>
                    </w:p>
                  </w:tc>
                </w:tr>
                <w:tr w:rsidR="008876B2">
                  <w:trPr>
                    <w:trHeight w:hRule="exact" w:val="86"/>
                  </w:trPr>
                  <w:tc>
                    <w:tcPr>
                      <w:tcW w:w="1098" w:type="dxa"/>
                      <w:tcBorders>
                        <w:top w:val="single" w:sz="24" w:space="0" w:color="438086" w:themeColor="accent2"/>
                        <w:bottom w:val="single" w:sz="8" w:space="0" w:color="438086" w:themeColor="accent2"/>
                      </w:tcBorders>
                    </w:tcPr>
                    <w:p w:rsidR="00743995" w:rsidRDefault="00743995" w:rsidP="00F12288">
                      <w:pPr>
                        <w:pStyle w:val="Sinespaciado"/>
                        <w:framePr w:hSpace="187" w:wrap="around" w:hAnchor="text" w:yAlign="bottom"/>
                        <w:suppressOverlap/>
                        <w:rPr>
                          <w:sz w:val="12"/>
                        </w:rPr>
                      </w:pPr>
                    </w:p>
                  </w:tc>
                  <w:tc>
                    <w:tcPr>
                      <w:tcW w:w="720" w:type="dxa"/>
                      <w:tcBorders>
                        <w:top w:val="single" w:sz="24" w:space="0" w:color="438086" w:themeColor="accent2"/>
                        <w:bottom w:val="single" w:sz="8" w:space="0" w:color="438086" w:themeColor="accent2"/>
                      </w:tcBorders>
                    </w:tcPr>
                    <w:p w:rsidR="00743995" w:rsidRDefault="00743995" w:rsidP="00F12288">
                      <w:pPr>
                        <w:pStyle w:val="Sinespaciado"/>
                        <w:framePr w:hSpace="187" w:wrap="around" w:hAnchor="text" w:yAlign="bottom"/>
                        <w:suppressOverlap/>
                        <w:rPr>
                          <w:sz w:val="12"/>
                        </w:rPr>
                      </w:pPr>
                    </w:p>
                  </w:tc>
                  <w:tc>
                    <w:tcPr>
                      <w:tcW w:w="2012" w:type="dxa"/>
                      <w:tcBorders>
                        <w:bottom w:val="single" w:sz="8" w:space="0" w:color="438086" w:themeColor="accent2"/>
                      </w:tcBorders>
                    </w:tcPr>
                    <w:p w:rsidR="00743995" w:rsidRDefault="00743995" w:rsidP="00F12288">
                      <w:pPr>
                        <w:pStyle w:val="Sinespaciado"/>
                        <w:framePr w:hSpace="187" w:wrap="around" w:hAnchor="text" w:yAlign="bottom"/>
                        <w:suppressOverlap/>
                        <w:rPr>
                          <w:sz w:val="12"/>
                        </w:rPr>
                      </w:pPr>
                    </w:p>
                  </w:tc>
                </w:tr>
                <w:tr w:rsidR="008876B2">
                  <w:trPr>
                    <w:trHeight w:hRule="exact" w:val="58"/>
                  </w:trPr>
                  <w:tc>
                    <w:tcPr>
                      <w:tcW w:w="1098" w:type="dxa"/>
                      <w:tcBorders>
                        <w:top w:val="single" w:sz="8" w:space="0" w:color="438086" w:themeColor="accent2"/>
                      </w:tcBorders>
                    </w:tcPr>
                    <w:p w:rsidR="00743995" w:rsidRDefault="00743995" w:rsidP="00F12288">
                      <w:pPr>
                        <w:pStyle w:val="Sinespaciado"/>
                        <w:framePr w:hSpace="187" w:wrap="around" w:hAnchor="text" w:yAlign="bottom"/>
                        <w:suppressOverlap/>
                        <w:rPr>
                          <w:sz w:val="12"/>
                        </w:rPr>
                      </w:pPr>
                    </w:p>
                  </w:tc>
                  <w:tc>
                    <w:tcPr>
                      <w:tcW w:w="720" w:type="dxa"/>
                      <w:tcBorders>
                        <w:top w:val="single" w:sz="8" w:space="0" w:color="438086" w:themeColor="accent2"/>
                        <w:bottom w:val="single" w:sz="12" w:space="0" w:color="438086" w:themeColor="accent2"/>
                      </w:tcBorders>
                    </w:tcPr>
                    <w:p w:rsidR="00743995" w:rsidRDefault="00743995" w:rsidP="00F12288">
                      <w:pPr>
                        <w:pStyle w:val="Sinespaciado"/>
                        <w:framePr w:hSpace="187" w:wrap="around" w:hAnchor="text" w:yAlign="bottom"/>
                        <w:suppressOverlap/>
                        <w:rPr>
                          <w:sz w:val="12"/>
                        </w:rPr>
                      </w:pPr>
                    </w:p>
                  </w:tc>
                  <w:tc>
                    <w:tcPr>
                      <w:tcW w:w="2012" w:type="dxa"/>
                      <w:tcBorders>
                        <w:top w:val="single" w:sz="8" w:space="0" w:color="438086" w:themeColor="accent2"/>
                        <w:bottom w:val="single" w:sz="12" w:space="0" w:color="438086" w:themeColor="accent2"/>
                      </w:tcBorders>
                    </w:tcPr>
                    <w:p w:rsidR="00743995" w:rsidRDefault="00743995" w:rsidP="00F12288">
                      <w:pPr>
                        <w:pStyle w:val="Sinespaciado"/>
                        <w:framePr w:hSpace="187" w:wrap="around" w:hAnchor="text" w:yAlign="bottom"/>
                        <w:suppressOverlap/>
                        <w:rPr>
                          <w:sz w:val="12"/>
                        </w:rPr>
                      </w:pPr>
                    </w:p>
                  </w:tc>
                </w:tr>
              </w:tbl>
              <w:p w:rsidR="00743995" w:rsidRDefault="00743995">
                <w:pPr>
                  <w:pStyle w:val="Sinespaciado"/>
                </w:pPr>
              </w:p>
            </w:tc>
          </w:tr>
          <w:tr w:rsidR="008876B2" w:rsidTr="008876B2">
            <w:tc>
              <w:tcPr>
                <w:tcW w:w="1050" w:type="dxa"/>
                <w:vAlign w:val="center"/>
              </w:tcPr>
              <w:p w:rsidR="00743995" w:rsidRDefault="00743995">
                <w:pPr>
                  <w:pStyle w:val="Sinespaciado"/>
                </w:pPr>
              </w:p>
            </w:tc>
            <w:tc>
              <w:tcPr>
                <w:tcW w:w="4339" w:type="dxa"/>
                <w:gridSpan w:val="2"/>
                <w:vAlign w:val="center"/>
              </w:tcPr>
              <w:p w:rsidR="00743995" w:rsidRDefault="00743995">
                <w:pPr>
                  <w:pStyle w:val="Sinespaciado"/>
                </w:pPr>
              </w:p>
            </w:tc>
            <w:tc>
              <w:tcPr>
                <w:tcW w:w="3912" w:type="dxa"/>
                <w:vAlign w:val="center"/>
              </w:tcPr>
              <w:p w:rsidR="00743995" w:rsidRPr="008876B2" w:rsidRDefault="00F12288" w:rsidP="007F2F57">
                <w:pPr>
                  <w:pStyle w:val="Sinespaciado"/>
                </w:pPr>
                <w:sdt>
                  <w:sdtPr>
                    <w:rPr>
                      <w:color w:val="424456" w:themeColor="text2"/>
                      <w:szCs w:val="22"/>
                    </w:rPr>
                    <w:alias w:val="Autor"/>
                    <w:id w:val="81130488"/>
                    <w:dataBinding w:prefixMappings="xmlns:ns0='http://schemas.openxmlformats.org/package/2006/metadata/core-properties' xmlns:ns1='http://purl.org/dc/elements/1.1/'" w:xpath="/ns0:coreProperties[1]/ns1:creator[1]" w:storeItemID="{6C3C8BC8-F283-45AE-878A-BAB7291924A1}"/>
                    <w:text/>
                  </w:sdtPr>
                  <w:sdtContent>
                    <w:r w:rsidR="007F2F57">
                      <w:rPr>
                        <w:color w:val="424456" w:themeColor="text2"/>
                        <w:szCs w:val="22"/>
                      </w:rPr>
                      <w:t>CONSEJO DE TRANSPARENCIA Y BUEN GOBIERNO. SGTBG</w:t>
                    </w:r>
                    <w:r w:rsidR="001E7F43">
                      <w:rPr>
                        <w:color w:val="424456" w:themeColor="text2"/>
                        <w:szCs w:val="22"/>
                      </w:rPr>
                      <w:t>.</w:t>
                    </w:r>
                  </w:sdtContent>
                </w:sdt>
              </w:p>
            </w:tc>
          </w:tr>
        </w:tbl>
        <w:p w:rsidR="00743995" w:rsidRDefault="008876B2">
          <w:pPr>
            <w:pStyle w:val="Ttulo"/>
            <w:rPr>
              <w:rFonts w:eastAsiaTheme="majorEastAsia" w:cstheme="majorBidi"/>
              <w:szCs w:val="20"/>
            </w:rPr>
          </w:pPr>
          <w:r>
            <w:rPr>
              <w:noProof/>
            </w:rPr>
            <w:drawing>
              <wp:inline distT="0" distB="0" distL="0" distR="0" wp14:anchorId="5FB721D2" wp14:editId="0F995BDD">
                <wp:extent cx="1611561" cy="923925"/>
                <wp:effectExtent l="0" t="0" r="8255" b="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4861" cy="925817"/>
                        </a:xfrm>
                        <a:prstGeom prst="rect">
                          <a:avLst/>
                        </a:prstGeom>
                        <a:noFill/>
                        <a:ln>
                          <a:noFill/>
                        </a:ln>
                      </pic:spPr>
                    </pic:pic>
                  </a:graphicData>
                </a:graphic>
              </wp:inline>
            </w:drawing>
          </w:r>
          <w:r w:rsidR="0065420F">
            <w:rPr>
              <w:rFonts w:asciiTheme="minorHAnsi" w:eastAsiaTheme="minorEastAsia" w:hAnsiTheme="minorHAnsi"/>
              <w:color w:val="000000"/>
              <w:sz w:val="20"/>
              <w:szCs w:val="20"/>
              <w14:textFill>
                <w14:solidFill>
                  <w14:srgbClr w14:val="000000">
                    <w14:lumMod w14:val="75000"/>
                  </w14:srgbClr>
                </w14:solidFill>
              </w14:textFill>
            </w:rPr>
            <w:br w:type="page"/>
          </w:r>
        </w:p>
      </w:sdtContent>
    </w:sdt>
    <w:sdt>
      <w:sdtPr>
        <w:rPr>
          <w:rFonts w:ascii="Century Gothic" w:eastAsiaTheme="minorHAnsi" w:hAnsi="Century Gothic" w:cstheme="minorBidi"/>
          <w:b w:val="0"/>
          <w:bCs w:val="0"/>
          <w:color w:val="auto"/>
          <w:sz w:val="20"/>
          <w:szCs w:val="20"/>
        </w:rPr>
        <w:id w:val="322091043"/>
        <w:docPartObj>
          <w:docPartGallery w:val="Table of Contents"/>
          <w:docPartUnique/>
        </w:docPartObj>
      </w:sdtPr>
      <w:sdtEndPr>
        <w:rPr>
          <w:sz w:val="18"/>
          <w:szCs w:val="18"/>
        </w:rPr>
      </w:sdtEndPr>
      <w:sdtContent>
        <w:p w:rsidR="00E924EF" w:rsidRPr="009F1F97" w:rsidRDefault="00E924EF">
          <w:pPr>
            <w:pStyle w:val="TtulodeTDC"/>
            <w:rPr>
              <w:sz w:val="20"/>
              <w:szCs w:val="20"/>
            </w:rPr>
          </w:pPr>
          <w:r w:rsidRPr="009F1F97">
            <w:rPr>
              <w:sz w:val="20"/>
              <w:szCs w:val="20"/>
            </w:rPr>
            <w:t>Contenido</w:t>
          </w:r>
        </w:p>
        <w:p w:rsidR="00F12288" w:rsidRDefault="00E924EF">
          <w:pPr>
            <w:pStyle w:val="TDC1"/>
            <w:tabs>
              <w:tab w:val="left" w:pos="400"/>
              <w:tab w:val="right" w:pos="9061"/>
            </w:tabs>
            <w:rPr>
              <w:rFonts w:asciiTheme="minorHAnsi" w:hAnsiTheme="minorHAnsi"/>
              <w:noProof/>
              <w:szCs w:val="22"/>
            </w:rPr>
          </w:pPr>
          <w:r w:rsidRPr="00E719EF">
            <w:rPr>
              <w:sz w:val="18"/>
              <w:szCs w:val="18"/>
            </w:rPr>
            <w:fldChar w:fldCharType="begin"/>
          </w:r>
          <w:r w:rsidRPr="00E719EF">
            <w:rPr>
              <w:sz w:val="18"/>
              <w:szCs w:val="18"/>
            </w:rPr>
            <w:instrText xml:space="preserve"> TOC \o "1-3" \h \z \u </w:instrText>
          </w:r>
          <w:r w:rsidRPr="00E719EF">
            <w:rPr>
              <w:sz w:val="18"/>
              <w:szCs w:val="18"/>
            </w:rPr>
            <w:fldChar w:fldCharType="separate"/>
          </w:r>
          <w:hyperlink w:anchor="_Toc120521805" w:history="1">
            <w:r w:rsidR="00F12288" w:rsidRPr="00C056B7">
              <w:rPr>
                <w:rStyle w:val="Hipervnculo"/>
                <w:noProof/>
              </w:rPr>
              <w:t>I.</w:t>
            </w:r>
            <w:r w:rsidR="00F12288">
              <w:rPr>
                <w:rFonts w:asciiTheme="minorHAnsi" w:hAnsiTheme="minorHAnsi"/>
                <w:noProof/>
                <w:szCs w:val="22"/>
              </w:rPr>
              <w:tab/>
            </w:r>
            <w:r w:rsidR="00F12288" w:rsidRPr="00C056B7">
              <w:rPr>
                <w:rStyle w:val="Hipervnculo"/>
                <w:noProof/>
              </w:rPr>
              <w:t>Introducción</w:t>
            </w:r>
            <w:r w:rsidR="00F12288">
              <w:rPr>
                <w:noProof/>
                <w:webHidden/>
              </w:rPr>
              <w:tab/>
            </w:r>
            <w:r w:rsidR="00F12288">
              <w:rPr>
                <w:noProof/>
                <w:webHidden/>
              </w:rPr>
              <w:fldChar w:fldCharType="begin"/>
            </w:r>
            <w:r w:rsidR="00F12288">
              <w:rPr>
                <w:noProof/>
                <w:webHidden/>
              </w:rPr>
              <w:instrText xml:space="preserve"> PAGEREF _Toc120521805 \h </w:instrText>
            </w:r>
            <w:r w:rsidR="00F12288">
              <w:rPr>
                <w:noProof/>
                <w:webHidden/>
              </w:rPr>
            </w:r>
            <w:r w:rsidR="00F12288">
              <w:rPr>
                <w:noProof/>
                <w:webHidden/>
              </w:rPr>
              <w:fldChar w:fldCharType="separate"/>
            </w:r>
            <w:r w:rsidR="00F12288">
              <w:rPr>
                <w:noProof/>
                <w:webHidden/>
              </w:rPr>
              <w:t>4</w:t>
            </w:r>
            <w:r w:rsidR="00F12288">
              <w:rPr>
                <w:noProof/>
                <w:webHidden/>
              </w:rPr>
              <w:fldChar w:fldCharType="end"/>
            </w:r>
          </w:hyperlink>
        </w:p>
        <w:p w:rsidR="00F12288" w:rsidRDefault="00F12288">
          <w:pPr>
            <w:pStyle w:val="TDC1"/>
            <w:tabs>
              <w:tab w:val="right" w:pos="9061"/>
            </w:tabs>
            <w:rPr>
              <w:rFonts w:asciiTheme="minorHAnsi" w:hAnsiTheme="minorHAnsi"/>
              <w:noProof/>
              <w:szCs w:val="22"/>
            </w:rPr>
          </w:pPr>
          <w:hyperlink w:anchor="_Toc120521806" w:history="1">
            <w:r w:rsidRPr="00C056B7">
              <w:rPr>
                <w:rStyle w:val="Hipervnculo"/>
                <w:noProof/>
              </w:rPr>
              <w:t>II. Alcance de la evaluación.</w:t>
            </w:r>
            <w:r>
              <w:rPr>
                <w:noProof/>
                <w:webHidden/>
              </w:rPr>
              <w:tab/>
            </w:r>
            <w:r>
              <w:rPr>
                <w:noProof/>
                <w:webHidden/>
              </w:rPr>
              <w:fldChar w:fldCharType="begin"/>
            </w:r>
            <w:r>
              <w:rPr>
                <w:noProof/>
                <w:webHidden/>
              </w:rPr>
              <w:instrText xml:space="preserve"> PAGEREF _Toc120521806 \h </w:instrText>
            </w:r>
            <w:r>
              <w:rPr>
                <w:noProof/>
                <w:webHidden/>
              </w:rPr>
            </w:r>
            <w:r>
              <w:rPr>
                <w:noProof/>
                <w:webHidden/>
              </w:rPr>
              <w:fldChar w:fldCharType="separate"/>
            </w:r>
            <w:r>
              <w:rPr>
                <w:noProof/>
                <w:webHidden/>
              </w:rPr>
              <w:t>4</w:t>
            </w:r>
            <w:r>
              <w:rPr>
                <w:noProof/>
                <w:webHidden/>
              </w:rPr>
              <w:fldChar w:fldCharType="end"/>
            </w:r>
          </w:hyperlink>
        </w:p>
        <w:p w:rsidR="00F12288" w:rsidRDefault="00F12288">
          <w:pPr>
            <w:pStyle w:val="TDC2"/>
            <w:tabs>
              <w:tab w:val="right" w:pos="9061"/>
            </w:tabs>
            <w:rPr>
              <w:rFonts w:asciiTheme="minorHAnsi" w:hAnsiTheme="minorHAnsi"/>
              <w:noProof/>
              <w:szCs w:val="22"/>
            </w:rPr>
          </w:pPr>
          <w:hyperlink w:anchor="_Toc120521807" w:history="1">
            <w:r w:rsidRPr="00C056B7">
              <w:rPr>
                <w:rStyle w:val="Hipervnculo"/>
                <w:noProof/>
              </w:rPr>
              <w:t>II.1 Entidades incluidas en este grupo de sujetos obligados.</w:t>
            </w:r>
            <w:r>
              <w:rPr>
                <w:noProof/>
                <w:webHidden/>
              </w:rPr>
              <w:tab/>
            </w:r>
            <w:r>
              <w:rPr>
                <w:noProof/>
                <w:webHidden/>
              </w:rPr>
              <w:fldChar w:fldCharType="begin"/>
            </w:r>
            <w:r>
              <w:rPr>
                <w:noProof/>
                <w:webHidden/>
              </w:rPr>
              <w:instrText xml:space="preserve"> PAGEREF _Toc120521807 \h </w:instrText>
            </w:r>
            <w:r>
              <w:rPr>
                <w:noProof/>
                <w:webHidden/>
              </w:rPr>
            </w:r>
            <w:r>
              <w:rPr>
                <w:noProof/>
                <w:webHidden/>
              </w:rPr>
              <w:fldChar w:fldCharType="separate"/>
            </w:r>
            <w:r>
              <w:rPr>
                <w:noProof/>
                <w:webHidden/>
              </w:rPr>
              <w:t>4</w:t>
            </w:r>
            <w:r>
              <w:rPr>
                <w:noProof/>
                <w:webHidden/>
              </w:rPr>
              <w:fldChar w:fldCharType="end"/>
            </w:r>
          </w:hyperlink>
        </w:p>
        <w:p w:rsidR="00F12288" w:rsidRDefault="00F12288">
          <w:pPr>
            <w:pStyle w:val="TDC2"/>
            <w:tabs>
              <w:tab w:val="right" w:pos="9061"/>
            </w:tabs>
            <w:rPr>
              <w:rFonts w:asciiTheme="minorHAnsi" w:hAnsiTheme="minorHAnsi"/>
              <w:noProof/>
              <w:szCs w:val="22"/>
            </w:rPr>
          </w:pPr>
          <w:hyperlink w:anchor="_Toc120521808" w:history="1">
            <w:r w:rsidRPr="00C056B7">
              <w:rPr>
                <w:rStyle w:val="Hipervnculo"/>
                <w:noProof/>
              </w:rPr>
              <w:t>II.2 Delimitación de las obligaciones de publicidad activa aplicables.</w:t>
            </w:r>
            <w:r>
              <w:rPr>
                <w:noProof/>
                <w:webHidden/>
              </w:rPr>
              <w:tab/>
            </w:r>
            <w:r>
              <w:rPr>
                <w:noProof/>
                <w:webHidden/>
              </w:rPr>
              <w:fldChar w:fldCharType="begin"/>
            </w:r>
            <w:r>
              <w:rPr>
                <w:noProof/>
                <w:webHidden/>
              </w:rPr>
              <w:instrText xml:space="preserve"> PAGEREF _Toc120521808 \h </w:instrText>
            </w:r>
            <w:r>
              <w:rPr>
                <w:noProof/>
                <w:webHidden/>
              </w:rPr>
            </w:r>
            <w:r>
              <w:rPr>
                <w:noProof/>
                <w:webHidden/>
              </w:rPr>
              <w:fldChar w:fldCharType="separate"/>
            </w:r>
            <w:r>
              <w:rPr>
                <w:noProof/>
                <w:webHidden/>
              </w:rPr>
              <w:t>6</w:t>
            </w:r>
            <w:r>
              <w:rPr>
                <w:noProof/>
                <w:webHidden/>
              </w:rPr>
              <w:fldChar w:fldCharType="end"/>
            </w:r>
          </w:hyperlink>
        </w:p>
        <w:p w:rsidR="00F12288" w:rsidRDefault="00F12288">
          <w:pPr>
            <w:pStyle w:val="TDC1"/>
            <w:tabs>
              <w:tab w:val="right" w:pos="9061"/>
            </w:tabs>
            <w:rPr>
              <w:rFonts w:asciiTheme="minorHAnsi" w:hAnsiTheme="minorHAnsi"/>
              <w:noProof/>
              <w:szCs w:val="22"/>
            </w:rPr>
          </w:pPr>
          <w:hyperlink w:anchor="_Toc120521809" w:history="1">
            <w:r w:rsidRPr="00C056B7">
              <w:rPr>
                <w:rStyle w:val="Hipervnculo"/>
                <w:noProof/>
              </w:rPr>
              <w:t>III. Evaluación del cumplimiento de las obligaciones de publicidad activa por parte de las entidades perceptoras de subvenciones y ayudas públicas.</w:t>
            </w:r>
            <w:r>
              <w:rPr>
                <w:noProof/>
                <w:webHidden/>
              </w:rPr>
              <w:tab/>
            </w:r>
            <w:r>
              <w:rPr>
                <w:noProof/>
                <w:webHidden/>
              </w:rPr>
              <w:fldChar w:fldCharType="begin"/>
            </w:r>
            <w:r>
              <w:rPr>
                <w:noProof/>
                <w:webHidden/>
              </w:rPr>
              <w:instrText xml:space="preserve"> PAGEREF _Toc120521809 \h </w:instrText>
            </w:r>
            <w:r>
              <w:rPr>
                <w:noProof/>
                <w:webHidden/>
              </w:rPr>
            </w:r>
            <w:r>
              <w:rPr>
                <w:noProof/>
                <w:webHidden/>
              </w:rPr>
              <w:fldChar w:fldCharType="separate"/>
            </w:r>
            <w:r>
              <w:rPr>
                <w:noProof/>
                <w:webHidden/>
              </w:rPr>
              <w:t>7</w:t>
            </w:r>
            <w:r>
              <w:rPr>
                <w:noProof/>
                <w:webHidden/>
              </w:rPr>
              <w:fldChar w:fldCharType="end"/>
            </w:r>
          </w:hyperlink>
        </w:p>
        <w:p w:rsidR="00F12288" w:rsidRDefault="00F12288">
          <w:pPr>
            <w:pStyle w:val="TDC2"/>
            <w:tabs>
              <w:tab w:val="right" w:pos="9061"/>
            </w:tabs>
            <w:rPr>
              <w:rFonts w:asciiTheme="minorHAnsi" w:hAnsiTheme="minorHAnsi"/>
              <w:noProof/>
              <w:szCs w:val="22"/>
            </w:rPr>
          </w:pPr>
          <w:hyperlink w:anchor="_Toc120521810" w:history="1">
            <w:r w:rsidRPr="00C056B7">
              <w:rPr>
                <w:rStyle w:val="Hipervnculo"/>
                <w:noProof/>
              </w:rPr>
              <w:t>III.1 Localización y estructuración de la información</w:t>
            </w:r>
            <w:r>
              <w:rPr>
                <w:noProof/>
                <w:webHidden/>
              </w:rPr>
              <w:tab/>
            </w:r>
            <w:r>
              <w:rPr>
                <w:noProof/>
                <w:webHidden/>
              </w:rPr>
              <w:fldChar w:fldCharType="begin"/>
            </w:r>
            <w:r>
              <w:rPr>
                <w:noProof/>
                <w:webHidden/>
              </w:rPr>
              <w:instrText xml:space="preserve"> PAGEREF _Toc120521810 \h </w:instrText>
            </w:r>
            <w:r>
              <w:rPr>
                <w:noProof/>
                <w:webHidden/>
              </w:rPr>
            </w:r>
            <w:r>
              <w:rPr>
                <w:noProof/>
                <w:webHidden/>
              </w:rPr>
              <w:fldChar w:fldCharType="separate"/>
            </w:r>
            <w:r>
              <w:rPr>
                <w:noProof/>
                <w:webHidden/>
              </w:rPr>
              <w:t>7</w:t>
            </w:r>
            <w:r>
              <w:rPr>
                <w:noProof/>
                <w:webHidden/>
              </w:rPr>
              <w:fldChar w:fldCharType="end"/>
            </w:r>
          </w:hyperlink>
        </w:p>
        <w:p w:rsidR="00F12288" w:rsidRDefault="00F12288">
          <w:pPr>
            <w:pStyle w:val="TDC2"/>
            <w:tabs>
              <w:tab w:val="right" w:pos="9061"/>
            </w:tabs>
            <w:rPr>
              <w:rFonts w:asciiTheme="minorHAnsi" w:hAnsiTheme="minorHAnsi"/>
              <w:noProof/>
              <w:szCs w:val="22"/>
            </w:rPr>
          </w:pPr>
          <w:hyperlink w:anchor="_Toc120521811" w:history="1">
            <w:r w:rsidRPr="00C056B7">
              <w:rPr>
                <w:rStyle w:val="Hipervnculo"/>
                <w:noProof/>
              </w:rPr>
              <w:t>III.2. Cumplimiento de las obligaciones de publicidad activa</w:t>
            </w:r>
            <w:r>
              <w:rPr>
                <w:noProof/>
                <w:webHidden/>
              </w:rPr>
              <w:tab/>
            </w:r>
            <w:r>
              <w:rPr>
                <w:noProof/>
                <w:webHidden/>
              </w:rPr>
              <w:fldChar w:fldCharType="begin"/>
            </w:r>
            <w:r>
              <w:rPr>
                <w:noProof/>
                <w:webHidden/>
              </w:rPr>
              <w:instrText xml:space="preserve"> PAGEREF _Toc120521811 \h </w:instrText>
            </w:r>
            <w:r>
              <w:rPr>
                <w:noProof/>
                <w:webHidden/>
              </w:rPr>
            </w:r>
            <w:r>
              <w:rPr>
                <w:noProof/>
                <w:webHidden/>
              </w:rPr>
              <w:fldChar w:fldCharType="separate"/>
            </w:r>
            <w:r>
              <w:rPr>
                <w:noProof/>
                <w:webHidden/>
              </w:rPr>
              <w:t>8</w:t>
            </w:r>
            <w:r>
              <w:rPr>
                <w:noProof/>
                <w:webHidden/>
              </w:rPr>
              <w:fldChar w:fldCharType="end"/>
            </w:r>
          </w:hyperlink>
        </w:p>
        <w:p w:rsidR="00F12288" w:rsidRDefault="00F12288">
          <w:pPr>
            <w:pStyle w:val="TDC3"/>
            <w:tabs>
              <w:tab w:val="right" w:pos="9061"/>
            </w:tabs>
            <w:rPr>
              <w:rFonts w:asciiTheme="minorHAnsi" w:eastAsiaTheme="minorEastAsia" w:hAnsiTheme="minorHAnsi"/>
              <w:noProof/>
              <w:szCs w:val="22"/>
            </w:rPr>
          </w:pPr>
          <w:hyperlink w:anchor="_Toc120521812" w:history="1">
            <w:r w:rsidRPr="00C056B7">
              <w:rPr>
                <w:rStyle w:val="Hipervnculo"/>
                <w:noProof/>
              </w:rPr>
              <w:t>III.2.1.  Aplicación de las recomendaciones derivadas de la evaluación 2020.</w:t>
            </w:r>
            <w:r>
              <w:rPr>
                <w:noProof/>
                <w:webHidden/>
              </w:rPr>
              <w:tab/>
            </w:r>
            <w:r>
              <w:rPr>
                <w:noProof/>
                <w:webHidden/>
              </w:rPr>
              <w:fldChar w:fldCharType="begin"/>
            </w:r>
            <w:r>
              <w:rPr>
                <w:noProof/>
                <w:webHidden/>
              </w:rPr>
              <w:instrText xml:space="preserve"> PAGEREF _Toc120521812 \h </w:instrText>
            </w:r>
            <w:r>
              <w:rPr>
                <w:noProof/>
                <w:webHidden/>
              </w:rPr>
            </w:r>
            <w:r>
              <w:rPr>
                <w:noProof/>
                <w:webHidden/>
              </w:rPr>
              <w:fldChar w:fldCharType="separate"/>
            </w:r>
            <w:r>
              <w:rPr>
                <w:noProof/>
                <w:webHidden/>
              </w:rPr>
              <w:t>8</w:t>
            </w:r>
            <w:r>
              <w:rPr>
                <w:noProof/>
                <w:webHidden/>
              </w:rPr>
              <w:fldChar w:fldCharType="end"/>
            </w:r>
          </w:hyperlink>
        </w:p>
        <w:p w:rsidR="00F12288" w:rsidRDefault="00F12288">
          <w:pPr>
            <w:pStyle w:val="TDC3"/>
            <w:tabs>
              <w:tab w:val="right" w:pos="9061"/>
            </w:tabs>
            <w:rPr>
              <w:rFonts w:asciiTheme="minorHAnsi" w:eastAsiaTheme="minorEastAsia" w:hAnsiTheme="minorHAnsi"/>
              <w:noProof/>
              <w:szCs w:val="22"/>
            </w:rPr>
          </w:pPr>
          <w:hyperlink w:anchor="_Toc120521814" w:history="1">
            <w:r w:rsidRPr="00C056B7">
              <w:rPr>
                <w:rStyle w:val="Hipervnculo"/>
                <w:noProof/>
              </w:rPr>
              <w:t>III.2.2.  Información Institucional, Organizativa y de Planificación</w:t>
            </w:r>
            <w:r>
              <w:rPr>
                <w:noProof/>
                <w:webHidden/>
              </w:rPr>
              <w:tab/>
            </w:r>
            <w:r>
              <w:rPr>
                <w:noProof/>
                <w:webHidden/>
              </w:rPr>
              <w:fldChar w:fldCharType="begin"/>
            </w:r>
            <w:r>
              <w:rPr>
                <w:noProof/>
                <w:webHidden/>
              </w:rPr>
              <w:instrText xml:space="preserve"> PAGEREF _Toc120521814 \h </w:instrText>
            </w:r>
            <w:r>
              <w:rPr>
                <w:noProof/>
                <w:webHidden/>
              </w:rPr>
            </w:r>
            <w:r>
              <w:rPr>
                <w:noProof/>
                <w:webHidden/>
              </w:rPr>
              <w:fldChar w:fldCharType="separate"/>
            </w:r>
            <w:r>
              <w:rPr>
                <w:noProof/>
                <w:webHidden/>
              </w:rPr>
              <w:t>9</w:t>
            </w:r>
            <w:r>
              <w:rPr>
                <w:noProof/>
                <w:webHidden/>
              </w:rPr>
              <w:fldChar w:fldCharType="end"/>
            </w:r>
          </w:hyperlink>
        </w:p>
        <w:p w:rsidR="00F12288" w:rsidRDefault="00F12288">
          <w:pPr>
            <w:pStyle w:val="TDC3"/>
            <w:tabs>
              <w:tab w:val="right" w:pos="9061"/>
            </w:tabs>
            <w:rPr>
              <w:rFonts w:asciiTheme="minorHAnsi" w:eastAsiaTheme="minorEastAsia" w:hAnsiTheme="minorHAnsi"/>
              <w:noProof/>
              <w:szCs w:val="22"/>
            </w:rPr>
          </w:pPr>
          <w:hyperlink w:anchor="_Toc120521816" w:history="1">
            <w:r w:rsidRPr="00C056B7">
              <w:rPr>
                <w:rStyle w:val="Hipervnculo"/>
                <w:noProof/>
              </w:rPr>
              <w:t>III.2.3.  Información Económica, Presupuestaria y Estadística</w:t>
            </w:r>
            <w:r>
              <w:rPr>
                <w:noProof/>
                <w:webHidden/>
              </w:rPr>
              <w:tab/>
            </w:r>
            <w:r>
              <w:rPr>
                <w:noProof/>
                <w:webHidden/>
              </w:rPr>
              <w:fldChar w:fldCharType="begin"/>
            </w:r>
            <w:r>
              <w:rPr>
                <w:noProof/>
                <w:webHidden/>
              </w:rPr>
              <w:instrText xml:space="preserve"> PAGEREF _Toc120521816 \h </w:instrText>
            </w:r>
            <w:r>
              <w:rPr>
                <w:noProof/>
                <w:webHidden/>
              </w:rPr>
            </w:r>
            <w:r>
              <w:rPr>
                <w:noProof/>
                <w:webHidden/>
              </w:rPr>
              <w:fldChar w:fldCharType="separate"/>
            </w:r>
            <w:r>
              <w:rPr>
                <w:noProof/>
                <w:webHidden/>
              </w:rPr>
              <w:t>11</w:t>
            </w:r>
            <w:r>
              <w:rPr>
                <w:noProof/>
                <w:webHidden/>
              </w:rPr>
              <w:fldChar w:fldCharType="end"/>
            </w:r>
          </w:hyperlink>
        </w:p>
        <w:p w:rsidR="00F12288" w:rsidRDefault="00F12288">
          <w:pPr>
            <w:pStyle w:val="TDC3"/>
            <w:tabs>
              <w:tab w:val="right" w:pos="9061"/>
            </w:tabs>
            <w:rPr>
              <w:rFonts w:asciiTheme="minorHAnsi" w:eastAsiaTheme="minorEastAsia" w:hAnsiTheme="minorHAnsi"/>
              <w:noProof/>
              <w:szCs w:val="22"/>
            </w:rPr>
          </w:pPr>
          <w:hyperlink w:anchor="_Toc120521818" w:history="1">
            <w:r w:rsidRPr="00C056B7">
              <w:rPr>
                <w:rStyle w:val="Hipervnculo"/>
                <w:noProof/>
              </w:rPr>
              <w:t>III.2.4. Índice de Cumplimiento de la Información Obligatoria (ICIO)</w:t>
            </w:r>
            <w:r>
              <w:rPr>
                <w:noProof/>
                <w:webHidden/>
              </w:rPr>
              <w:tab/>
            </w:r>
            <w:r>
              <w:rPr>
                <w:noProof/>
                <w:webHidden/>
              </w:rPr>
              <w:fldChar w:fldCharType="begin"/>
            </w:r>
            <w:r>
              <w:rPr>
                <w:noProof/>
                <w:webHidden/>
              </w:rPr>
              <w:instrText xml:space="preserve"> PAGEREF _Toc120521818 \h </w:instrText>
            </w:r>
            <w:r>
              <w:rPr>
                <w:noProof/>
                <w:webHidden/>
              </w:rPr>
            </w:r>
            <w:r>
              <w:rPr>
                <w:noProof/>
                <w:webHidden/>
              </w:rPr>
              <w:fldChar w:fldCharType="separate"/>
            </w:r>
            <w:r>
              <w:rPr>
                <w:noProof/>
                <w:webHidden/>
              </w:rPr>
              <w:t>14</w:t>
            </w:r>
            <w:r>
              <w:rPr>
                <w:noProof/>
                <w:webHidden/>
              </w:rPr>
              <w:fldChar w:fldCharType="end"/>
            </w:r>
          </w:hyperlink>
        </w:p>
        <w:p w:rsidR="00F12288" w:rsidRDefault="00F12288">
          <w:pPr>
            <w:pStyle w:val="TDC2"/>
            <w:tabs>
              <w:tab w:val="right" w:pos="9061"/>
            </w:tabs>
            <w:rPr>
              <w:rFonts w:asciiTheme="minorHAnsi" w:hAnsiTheme="minorHAnsi"/>
              <w:noProof/>
              <w:szCs w:val="22"/>
            </w:rPr>
          </w:pPr>
          <w:hyperlink w:anchor="_Toc120521821" w:history="1">
            <w:r w:rsidRPr="00C056B7">
              <w:rPr>
                <w:rStyle w:val="Hipervnculo"/>
                <w:noProof/>
              </w:rPr>
              <w:t>III.3. Transparencia Voluntaria  y Buenas  Prácticas</w:t>
            </w:r>
            <w:r>
              <w:rPr>
                <w:noProof/>
                <w:webHidden/>
              </w:rPr>
              <w:tab/>
            </w:r>
            <w:r>
              <w:rPr>
                <w:noProof/>
                <w:webHidden/>
              </w:rPr>
              <w:fldChar w:fldCharType="begin"/>
            </w:r>
            <w:r>
              <w:rPr>
                <w:noProof/>
                <w:webHidden/>
              </w:rPr>
              <w:instrText xml:space="preserve"> PAGEREF _Toc120521821 \h </w:instrText>
            </w:r>
            <w:r>
              <w:rPr>
                <w:noProof/>
                <w:webHidden/>
              </w:rPr>
            </w:r>
            <w:r>
              <w:rPr>
                <w:noProof/>
                <w:webHidden/>
              </w:rPr>
              <w:fldChar w:fldCharType="separate"/>
            </w:r>
            <w:r>
              <w:rPr>
                <w:noProof/>
                <w:webHidden/>
              </w:rPr>
              <w:t>18</w:t>
            </w:r>
            <w:r>
              <w:rPr>
                <w:noProof/>
                <w:webHidden/>
              </w:rPr>
              <w:fldChar w:fldCharType="end"/>
            </w:r>
          </w:hyperlink>
        </w:p>
        <w:p w:rsidR="00F12288" w:rsidRDefault="00F12288">
          <w:pPr>
            <w:pStyle w:val="TDC1"/>
            <w:tabs>
              <w:tab w:val="left" w:pos="660"/>
              <w:tab w:val="right" w:pos="9061"/>
            </w:tabs>
            <w:rPr>
              <w:rFonts w:asciiTheme="minorHAnsi" w:hAnsiTheme="minorHAnsi"/>
              <w:noProof/>
              <w:szCs w:val="22"/>
            </w:rPr>
          </w:pPr>
          <w:hyperlink w:anchor="_Toc120521822" w:history="1">
            <w:r w:rsidRPr="00C056B7">
              <w:rPr>
                <w:rStyle w:val="Hipervnculo"/>
                <w:noProof/>
              </w:rPr>
              <w:t>IV.</w:t>
            </w:r>
            <w:r>
              <w:rPr>
                <w:rFonts w:asciiTheme="minorHAnsi" w:hAnsiTheme="minorHAnsi"/>
                <w:noProof/>
                <w:szCs w:val="22"/>
              </w:rPr>
              <w:tab/>
            </w:r>
            <w:r w:rsidRPr="00C056B7">
              <w:rPr>
                <w:rStyle w:val="Hipervnculo"/>
                <w:noProof/>
              </w:rPr>
              <w:t>Conclusiones y Recomendaciones</w:t>
            </w:r>
            <w:r>
              <w:rPr>
                <w:noProof/>
                <w:webHidden/>
              </w:rPr>
              <w:tab/>
            </w:r>
            <w:r>
              <w:rPr>
                <w:noProof/>
                <w:webHidden/>
              </w:rPr>
              <w:fldChar w:fldCharType="begin"/>
            </w:r>
            <w:r>
              <w:rPr>
                <w:noProof/>
                <w:webHidden/>
              </w:rPr>
              <w:instrText xml:space="preserve"> PAGEREF _Toc120521822 \h </w:instrText>
            </w:r>
            <w:r>
              <w:rPr>
                <w:noProof/>
                <w:webHidden/>
              </w:rPr>
            </w:r>
            <w:r>
              <w:rPr>
                <w:noProof/>
                <w:webHidden/>
              </w:rPr>
              <w:fldChar w:fldCharType="separate"/>
            </w:r>
            <w:r>
              <w:rPr>
                <w:noProof/>
                <w:webHidden/>
              </w:rPr>
              <w:t>20</w:t>
            </w:r>
            <w:r>
              <w:rPr>
                <w:noProof/>
                <w:webHidden/>
              </w:rPr>
              <w:fldChar w:fldCharType="end"/>
            </w:r>
          </w:hyperlink>
        </w:p>
        <w:p w:rsidR="00E924EF" w:rsidRPr="00E719EF" w:rsidRDefault="00E924EF">
          <w:pPr>
            <w:rPr>
              <w:sz w:val="18"/>
              <w:szCs w:val="18"/>
            </w:rPr>
          </w:pPr>
          <w:r w:rsidRPr="00E719EF">
            <w:rPr>
              <w:b/>
              <w:bCs/>
              <w:sz w:val="18"/>
              <w:szCs w:val="18"/>
            </w:rPr>
            <w:fldChar w:fldCharType="end"/>
          </w:r>
        </w:p>
      </w:sdtContent>
    </w:sdt>
    <w:p w:rsidR="00743995" w:rsidRDefault="00E924EF" w:rsidP="0026153E">
      <w:pPr>
        <w:pStyle w:val="Ttulo1"/>
        <w:numPr>
          <w:ilvl w:val="0"/>
          <w:numId w:val="48"/>
        </w:numPr>
      </w:pPr>
      <w:r w:rsidRPr="00E719EF">
        <w:rPr>
          <w:sz w:val="18"/>
          <w:szCs w:val="18"/>
        </w:rPr>
        <w:br w:type="page"/>
      </w:r>
      <w:bookmarkStart w:id="0" w:name="_Toc120521805"/>
      <w:r w:rsidR="005F586A">
        <w:lastRenderedPageBreak/>
        <w:t>Introducción</w:t>
      </w:r>
      <w:bookmarkEnd w:id="0"/>
    </w:p>
    <w:p w:rsidR="00743995" w:rsidRDefault="00743995"/>
    <w:p w:rsidR="00341355" w:rsidRDefault="00341355" w:rsidP="00341355">
      <w:r>
        <w:t xml:space="preserve">El presente informe recoge los resultados agregados de la evaluación del cumplimiento de las obligaciones de publicidad activa </w:t>
      </w:r>
      <w:r w:rsidR="00F12288">
        <w:t>correspondiente</w:t>
      </w:r>
      <w:r>
        <w:t xml:space="preserve"> a </w:t>
      </w:r>
      <w:r w:rsidR="00473D85">
        <w:t xml:space="preserve">diferentes entidades </w:t>
      </w:r>
      <w:r w:rsidR="004A6DBC">
        <w:t>que a lo largo de 202</w:t>
      </w:r>
      <w:r w:rsidR="007F2F57">
        <w:t>1</w:t>
      </w:r>
      <w:r w:rsidR="004A6DBC">
        <w:t xml:space="preserve"> han percibido subvenciones y/o ayudas públicas</w:t>
      </w:r>
      <w:r>
        <w:t>.</w:t>
      </w:r>
    </w:p>
    <w:p w:rsidR="00341355" w:rsidRDefault="00341355" w:rsidP="00D74601">
      <w:r>
        <w:t xml:space="preserve">Para la evaluación del cumplimiento de las obligaciones de publicidad activa se ha aplicado la metodología MESTA desarrollada conjuntamente por el CTBG y la extinguida AEVAL. Se ha analizado el grado de publicación de contenidos obligatorios así como el cumplimiento de los criterios en cuanto a la forma de publicación y de los atributos de calidad aplicables a la información publicada que establece la LTAIBG. </w:t>
      </w:r>
      <w:r w:rsidR="007F2F57" w:rsidRPr="007F2F57">
        <w:t>Para ello, se ha efectuado una revisión en profundidad de los portales de transparencia y/o las webs institucionales de las entidades seleccionadas</w:t>
      </w:r>
      <w:r w:rsidR="007F2F57">
        <w:t>.</w:t>
      </w:r>
    </w:p>
    <w:p w:rsidR="004A6DBC" w:rsidRDefault="004A6DBC" w:rsidP="00D74601">
      <w:r>
        <w:t xml:space="preserve">En el caso de </w:t>
      </w:r>
      <w:r w:rsidR="007F2F57">
        <w:t>51</w:t>
      </w:r>
      <w:r>
        <w:t xml:space="preserve"> de las entidades evaluadas</w:t>
      </w:r>
      <w:r w:rsidR="00F12288">
        <w:t>,</w:t>
      </w:r>
      <w:r>
        <w:t xml:space="preserve"> se ha efectuado una revisión del grado de aplicación de las recomendaciones derivadas de la evaluación realizada en 202</w:t>
      </w:r>
      <w:r w:rsidR="007F2F57">
        <w:t>1</w:t>
      </w:r>
      <w:r>
        <w:t xml:space="preserve">. Otras </w:t>
      </w:r>
      <w:r w:rsidR="007F2F57">
        <w:t>25</w:t>
      </w:r>
      <w:r>
        <w:t xml:space="preserve"> han sido evaluadas por primera vez </w:t>
      </w:r>
      <w:r w:rsidR="007F2F57">
        <w:t>en 2022</w:t>
      </w:r>
      <w:r>
        <w:t>.</w:t>
      </w:r>
    </w:p>
    <w:p w:rsidR="005F586A" w:rsidRDefault="004A6DBC">
      <w:r>
        <w:t>La</w:t>
      </w:r>
      <w:r w:rsidR="00341355">
        <w:t xml:space="preserve"> evaluación del cumplimiento de las obligaciones de publicidad activa se ha realizado con recursos propios del CTBG.</w:t>
      </w:r>
    </w:p>
    <w:p w:rsidR="0047212C" w:rsidRDefault="00077CDF" w:rsidP="00077CDF">
      <w:pPr>
        <w:pStyle w:val="Ttulo1"/>
      </w:pPr>
      <w:bookmarkStart w:id="1" w:name="_Toc120521806"/>
      <w:r>
        <w:t>I</w:t>
      </w:r>
      <w:r w:rsidR="0047212C">
        <w:t>I</w:t>
      </w:r>
      <w:r>
        <w:t>.</w:t>
      </w:r>
      <w:r w:rsidR="0047212C">
        <w:t xml:space="preserve"> Alcance de la evaluación.</w:t>
      </w:r>
      <w:bookmarkEnd w:id="1"/>
      <w:r w:rsidR="0047212C">
        <w:t xml:space="preserve"> </w:t>
      </w:r>
    </w:p>
    <w:p w:rsidR="00CE43A8" w:rsidRPr="00CE43A8" w:rsidRDefault="00CE43A8" w:rsidP="00CE43A8"/>
    <w:p w:rsidR="005F586A" w:rsidRDefault="005A1B1B" w:rsidP="00077CDF">
      <w:pPr>
        <w:pStyle w:val="Ttulo2"/>
      </w:pPr>
      <w:bookmarkStart w:id="2" w:name="_Toc120521807"/>
      <w:r w:rsidRPr="005A1B1B">
        <w:t>II.1 Entidades incluidas en este grupo de sujetos obligados</w:t>
      </w:r>
      <w:r w:rsidR="00BE7255">
        <w:t>.</w:t>
      </w:r>
      <w:bookmarkEnd w:id="2"/>
    </w:p>
    <w:p w:rsidR="00077CDF" w:rsidRDefault="00077CDF" w:rsidP="005F586A"/>
    <w:p w:rsidR="0047212C" w:rsidRDefault="00CE43A8" w:rsidP="005F586A">
      <w:r>
        <w:t>Las entidades integrantes de este grupo de sujetos obligados</w:t>
      </w:r>
      <w:r w:rsidR="00FB4BBF">
        <w:t xml:space="preserve">, seleccionadas a partir </w:t>
      </w:r>
      <w:r w:rsidR="004A6DBC">
        <w:t>de la Base de Datos Nacional de Subvenciones</w:t>
      </w:r>
      <w:r w:rsidR="00FB4BBF">
        <w:t xml:space="preserve"> mediante muestreo aleatorio</w:t>
      </w:r>
      <w:r>
        <w:t xml:space="preserve"> son las siguientes:</w:t>
      </w:r>
    </w:p>
    <w:tbl>
      <w:tblPr>
        <w:tblW w:w="9425" w:type="dxa"/>
        <w:tblInd w:w="-214" w:type="dxa"/>
        <w:tblCellMar>
          <w:left w:w="70" w:type="dxa"/>
          <w:right w:w="70" w:type="dxa"/>
        </w:tblCellMar>
        <w:tblLook w:val="04A0" w:firstRow="1" w:lastRow="0" w:firstColumn="1" w:lastColumn="0" w:noHBand="0" w:noVBand="1"/>
      </w:tblPr>
      <w:tblGrid>
        <w:gridCol w:w="2836"/>
        <w:gridCol w:w="6589"/>
      </w:tblGrid>
      <w:tr w:rsidR="00D42228" w:rsidRPr="00F12288" w:rsidTr="00914D8C">
        <w:trPr>
          <w:trHeight w:val="300"/>
        </w:trPr>
        <w:tc>
          <w:tcPr>
            <w:tcW w:w="9425" w:type="dxa"/>
            <w:gridSpan w:val="2"/>
            <w:tcBorders>
              <w:top w:val="single" w:sz="4" w:space="0" w:color="438086" w:themeColor="accent2"/>
              <w:left w:val="single" w:sz="4" w:space="0" w:color="438086" w:themeColor="accent2"/>
              <w:bottom w:val="single" w:sz="4" w:space="0" w:color="438086" w:themeColor="accent2"/>
              <w:right w:val="single" w:sz="4" w:space="0" w:color="438086" w:themeColor="accent2"/>
            </w:tcBorders>
            <w:shd w:val="clear" w:color="4F81BD" w:fill="438086" w:themeFill="accent2"/>
            <w:noWrap/>
            <w:vAlign w:val="bottom"/>
          </w:tcPr>
          <w:p w:rsidR="00D42228" w:rsidRPr="00F12288" w:rsidRDefault="006341B5" w:rsidP="007F2F57">
            <w:pPr>
              <w:spacing w:after="0" w:line="240" w:lineRule="auto"/>
              <w:jc w:val="center"/>
              <w:rPr>
                <w:rFonts w:eastAsia="Times New Roman" w:cs="Calibri"/>
                <w:b/>
                <w:bCs/>
                <w:color w:val="FFFFFF"/>
                <w:sz w:val="18"/>
                <w:szCs w:val="18"/>
              </w:rPr>
            </w:pPr>
            <w:r w:rsidRPr="00F12288">
              <w:rPr>
                <w:rFonts w:eastAsia="Times New Roman" w:cs="Calibri"/>
                <w:b/>
                <w:color w:val="FFFFFF" w:themeColor="background1"/>
                <w:sz w:val="18"/>
                <w:szCs w:val="18"/>
              </w:rPr>
              <w:t>REVISIÓN  DE LA APLICACIÓN DE RECOMENDACIONES Y REEVALUACIÓN</w:t>
            </w:r>
          </w:p>
        </w:tc>
      </w:tr>
      <w:tr w:rsidR="004A6DBC" w:rsidRPr="00F12288" w:rsidTr="00914D8C">
        <w:trPr>
          <w:trHeight w:val="300"/>
        </w:trPr>
        <w:tc>
          <w:tcPr>
            <w:tcW w:w="2836" w:type="dxa"/>
            <w:tcBorders>
              <w:top w:val="single" w:sz="4" w:space="0" w:color="438086" w:themeColor="accent2"/>
              <w:left w:val="single" w:sz="4" w:space="0" w:color="438086" w:themeColor="accent2"/>
              <w:bottom w:val="single" w:sz="4" w:space="0" w:color="438086" w:themeColor="accent2"/>
              <w:right w:val="nil"/>
            </w:tcBorders>
            <w:shd w:val="clear" w:color="4F81BD" w:fill="438086" w:themeFill="accent2"/>
            <w:noWrap/>
            <w:vAlign w:val="bottom"/>
            <w:hideMark/>
          </w:tcPr>
          <w:p w:rsidR="004A6DBC" w:rsidRPr="00F12288" w:rsidRDefault="006341B5" w:rsidP="004A6DBC">
            <w:pPr>
              <w:spacing w:after="0" w:line="240" w:lineRule="auto"/>
              <w:jc w:val="center"/>
              <w:rPr>
                <w:rFonts w:eastAsia="Times New Roman" w:cs="Calibri"/>
                <w:b/>
                <w:bCs/>
                <w:color w:val="FFFFFF"/>
                <w:sz w:val="18"/>
                <w:szCs w:val="18"/>
              </w:rPr>
            </w:pPr>
            <w:r w:rsidRPr="00F12288">
              <w:rPr>
                <w:rFonts w:eastAsia="Times New Roman" w:cs="Calibri"/>
                <w:b/>
                <w:bCs/>
                <w:color w:val="FFFFFF"/>
                <w:sz w:val="18"/>
                <w:szCs w:val="18"/>
              </w:rPr>
              <w:t>TIPO</w:t>
            </w: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4F81BD" w:fill="438086" w:themeFill="accent2"/>
            <w:noWrap/>
            <w:vAlign w:val="bottom"/>
            <w:hideMark/>
          </w:tcPr>
          <w:p w:rsidR="004A6DBC" w:rsidRPr="00F12288" w:rsidRDefault="006341B5" w:rsidP="004A6DBC">
            <w:pPr>
              <w:spacing w:after="0" w:line="240" w:lineRule="auto"/>
              <w:jc w:val="center"/>
              <w:rPr>
                <w:rFonts w:eastAsia="Times New Roman" w:cs="Calibri"/>
                <w:b/>
                <w:bCs/>
                <w:color w:val="FFFFFF"/>
                <w:sz w:val="18"/>
                <w:szCs w:val="18"/>
              </w:rPr>
            </w:pPr>
            <w:r w:rsidRPr="00F12288">
              <w:rPr>
                <w:rFonts w:eastAsia="Times New Roman" w:cs="Calibri"/>
                <w:b/>
                <w:bCs/>
                <w:color w:val="FFFFFF"/>
                <w:sz w:val="18"/>
                <w:szCs w:val="18"/>
              </w:rPr>
              <w:t>ENTIDAD</w:t>
            </w:r>
          </w:p>
        </w:tc>
      </w:tr>
      <w:tr w:rsidR="006341B5" w:rsidRPr="00F12288" w:rsidTr="006341B5">
        <w:trPr>
          <w:trHeight w:val="300"/>
        </w:trPr>
        <w:tc>
          <w:tcPr>
            <w:tcW w:w="2836" w:type="dxa"/>
            <w:vMerge w:val="restart"/>
            <w:tcBorders>
              <w:top w:val="single" w:sz="4" w:space="0" w:color="438086" w:themeColor="accent2"/>
              <w:left w:val="single" w:sz="4" w:space="0" w:color="438086" w:themeColor="accent2"/>
              <w:right w:val="nil"/>
            </w:tcBorders>
            <w:shd w:val="clear" w:color="auto" w:fill="auto"/>
            <w:noWrap/>
            <w:vAlign w:val="center"/>
            <w:hideMark/>
          </w:tcPr>
          <w:p w:rsidR="006341B5" w:rsidRPr="00F12288" w:rsidRDefault="006341B5" w:rsidP="006341B5">
            <w:pPr>
              <w:spacing w:after="0" w:line="240" w:lineRule="auto"/>
              <w:jc w:val="center"/>
              <w:rPr>
                <w:rFonts w:eastAsia="Times New Roman" w:cs="Calibri"/>
                <w:color w:val="000000"/>
                <w:sz w:val="18"/>
                <w:szCs w:val="18"/>
              </w:rPr>
            </w:pPr>
            <w:r w:rsidRPr="00F12288">
              <w:rPr>
                <w:rFonts w:eastAsia="Times New Roman" w:cs="Calibri"/>
                <w:color w:val="000000"/>
                <w:sz w:val="18"/>
                <w:szCs w:val="18"/>
              </w:rPr>
              <w:t>ASOCIACIONES</w:t>
            </w: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000000" w:fill="auto"/>
            <w:noWrap/>
            <w:vAlign w:val="bottom"/>
            <w:hideMark/>
          </w:tcPr>
          <w:p w:rsidR="006341B5" w:rsidRPr="00F12288" w:rsidRDefault="006341B5" w:rsidP="00C519BE">
            <w:pPr>
              <w:spacing w:after="0" w:line="240" w:lineRule="auto"/>
              <w:jc w:val="left"/>
              <w:rPr>
                <w:rFonts w:eastAsia="Times New Roman" w:cs="Calibri"/>
                <w:color w:val="000000"/>
                <w:sz w:val="18"/>
                <w:szCs w:val="18"/>
              </w:rPr>
            </w:pPr>
            <w:r w:rsidRPr="00F12288">
              <w:rPr>
                <w:rFonts w:eastAsia="Times New Roman" w:cs="Calibri"/>
                <w:color w:val="000000"/>
                <w:sz w:val="18"/>
                <w:szCs w:val="18"/>
              </w:rPr>
              <w:t>CONFEDERACION ESPAÑOLA DEL TRANSPORTE DE MERCANCIAS</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000000"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FSP-UGT FEDERACIÓN DE SERVICIOS PÚBLICOS DE LA UNIÓN GENERAL DE TRABAJADORES</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000000"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ASOCIACIÓN AGRARIA DE JÓVENES AGRICULTORES</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000000"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ASOCIACION DE ARMADORES PUNTA DEL MORAL</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000000"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ASOC CONSUM. Y USUARIOS EN ACCION FACUA</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000000"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SOLARTYS</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000000"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ASOCIACIÓN CLÚSTER GRANADA PLAZA TECNOLÓGICA Y BIOTECNOLÓGICA</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000000"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 xml:space="preserve">FEDERACION ESPAÑOLA DE ASOCIACIONES DE GANADO  SELECTO </w:t>
            </w:r>
            <w:r w:rsidRPr="00F12288">
              <w:rPr>
                <w:rFonts w:eastAsia="Times New Roman" w:cs="Calibri"/>
                <w:color w:val="000000"/>
                <w:sz w:val="18"/>
                <w:szCs w:val="18"/>
              </w:rPr>
              <w:lastRenderedPageBreak/>
              <w:t>(FEAGAS)</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000000"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ASOC DE USUARIOS DE LA COMUNICACION</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 xml:space="preserve"> FENADISMER</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ORGANIZACIÓN DE PRODUCTORES DE BUQUES CONGELADORES DE MERLÚCIDOS, CEFALÓPODOS Y ESPECIES VARIAS.</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ASOC CLUSTER DE LA ENERGIA DE LA COMUNITAT VALENCIANA</w:t>
            </w:r>
          </w:p>
        </w:tc>
      </w:tr>
      <w:tr w:rsidR="006341B5" w:rsidRPr="00F12288" w:rsidTr="00E35AFE">
        <w:trPr>
          <w:trHeight w:val="300"/>
        </w:trPr>
        <w:tc>
          <w:tcPr>
            <w:tcW w:w="2836" w:type="dxa"/>
            <w:vMerge/>
            <w:tcBorders>
              <w:left w:val="single" w:sz="4" w:space="0" w:color="438086" w:themeColor="accent2"/>
              <w:bottom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CSI-F CENTRAL SINDICAL INDEPENDIENTE Y DE FUNCIONARIOS</w:t>
            </w:r>
          </w:p>
        </w:tc>
      </w:tr>
      <w:tr w:rsidR="006341B5" w:rsidRPr="00F12288" w:rsidTr="006341B5">
        <w:trPr>
          <w:trHeight w:val="300"/>
        </w:trPr>
        <w:tc>
          <w:tcPr>
            <w:tcW w:w="2836" w:type="dxa"/>
            <w:vMerge w:val="restart"/>
            <w:tcBorders>
              <w:top w:val="single" w:sz="4" w:space="0" w:color="438086" w:themeColor="accent2"/>
              <w:left w:val="single" w:sz="4" w:space="0" w:color="438086" w:themeColor="accent2"/>
              <w:right w:val="nil"/>
            </w:tcBorders>
            <w:shd w:val="clear" w:color="auto" w:fill="auto"/>
            <w:noWrap/>
            <w:vAlign w:val="center"/>
            <w:hideMark/>
          </w:tcPr>
          <w:p w:rsidR="006341B5" w:rsidRPr="00F12288" w:rsidRDefault="006341B5" w:rsidP="006341B5">
            <w:pPr>
              <w:spacing w:after="0" w:line="240" w:lineRule="auto"/>
              <w:jc w:val="center"/>
              <w:rPr>
                <w:rFonts w:eastAsia="Times New Roman" w:cs="Calibri"/>
                <w:color w:val="000000"/>
                <w:sz w:val="18"/>
                <w:szCs w:val="18"/>
              </w:rPr>
            </w:pPr>
            <w:r w:rsidRPr="00F12288">
              <w:rPr>
                <w:rFonts w:eastAsia="Times New Roman" w:cs="Calibri"/>
                <w:color w:val="000000"/>
                <w:sz w:val="18"/>
                <w:szCs w:val="18"/>
              </w:rPr>
              <w:t>EMPRESAS</w:t>
            </w: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CENTRO ESPAÑOL DE PLASTICOS</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LABORATORIOS FARMACEUTICOS ROVI, S.A.</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VELAMEN, S.A</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EVARM INNOVACION SL</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 xml:space="preserve"> GS INIMA ENVIRONMENT SA</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VERSA DESIGN SL</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INMUNOTEK, S.L.</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LABORATORIOS LETI SL</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UVAX CONCEPTS SL</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GUADAIRA SERVICIOS AMBIENTALES SL</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SOCIEDAD IBERICA DE CONSTRUCCIONES ELECTRICAS, S.A.</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ALUDIUM TRANSFORMACION DE PRODUCTOS SL</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ROBOTNIK AUTOMATION, S.L.L.</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METALICAS COYSA, S.L.</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 xml:space="preserve"> CITRICOS LA PAZ SL</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OTC ENGINEERING SL</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NETIPBOX TECHNOLOGIES SL</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GLOBAL FEED SL</w:t>
            </w:r>
          </w:p>
        </w:tc>
      </w:tr>
      <w:tr w:rsidR="006341B5" w:rsidRPr="00F12288" w:rsidTr="00E35AFE">
        <w:trPr>
          <w:trHeight w:val="300"/>
        </w:trPr>
        <w:tc>
          <w:tcPr>
            <w:tcW w:w="2836" w:type="dxa"/>
            <w:vMerge/>
            <w:tcBorders>
              <w:left w:val="single" w:sz="4" w:space="0" w:color="438086" w:themeColor="accent2"/>
              <w:bottom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INES ROSALES S.A.U.</w:t>
            </w:r>
          </w:p>
        </w:tc>
      </w:tr>
      <w:tr w:rsidR="006341B5" w:rsidRPr="00F12288" w:rsidTr="006341B5">
        <w:trPr>
          <w:trHeight w:val="300"/>
        </w:trPr>
        <w:tc>
          <w:tcPr>
            <w:tcW w:w="2836" w:type="dxa"/>
            <w:vMerge w:val="restart"/>
            <w:tcBorders>
              <w:top w:val="single" w:sz="4" w:space="0" w:color="438086" w:themeColor="accent2"/>
              <w:left w:val="single" w:sz="4" w:space="0" w:color="438086" w:themeColor="accent2"/>
              <w:right w:val="nil"/>
            </w:tcBorders>
            <w:shd w:val="clear" w:color="auto" w:fill="auto"/>
            <w:noWrap/>
            <w:vAlign w:val="center"/>
            <w:hideMark/>
          </w:tcPr>
          <w:p w:rsidR="006341B5" w:rsidRPr="00F12288" w:rsidRDefault="006341B5" w:rsidP="006341B5">
            <w:pPr>
              <w:spacing w:after="0" w:line="240" w:lineRule="auto"/>
              <w:jc w:val="center"/>
              <w:rPr>
                <w:rFonts w:eastAsia="Times New Roman" w:cs="Calibri"/>
                <w:color w:val="000000"/>
                <w:sz w:val="18"/>
                <w:szCs w:val="18"/>
              </w:rPr>
            </w:pPr>
            <w:r w:rsidRPr="00F12288">
              <w:rPr>
                <w:rFonts w:eastAsia="Times New Roman" w:cs="Calibri"/>
                <w:color w:val="000000"/>
                <w:sz w:val="18"/>
                <w:szCs w:val="18"/>
              </w:rPr>
              <w:t>FUNDACIONES</w:t>
            </w: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FUNDACION HUMANISMO Y DEMOCRACIA</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UND CENTRO CIRUGIA MIN INV JESUS USON</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FUNDACIÓN ONCE</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 xml:space="preserve"> FUNDACION DE INVESTIGACION HM HOSPITALES</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FUNDACION PABLO IGLESIAS</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FUNDACIÓN CULTURAL OFICINA MEDIA ESPAÑA</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INSTITUTO DE INVESTIGACION SANITARIA FUNDACION JIMENEZ DIAZ</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 xml:space="preserve"> FUNDACIÓN SAN EZEQUIEL MORENO</w:t>
            </w:r>
          </w:p>
        </w:tc>
      </w:tr>
      <w:tr w:rsidR="006341B5" w:rsidRPr="00F12288" w:rsidTr="00E35AFE">
        <w:trPr>
          <w:trHeight w:val="300"/>
        </w:trPr>
        <w:tc>
          <w:tcPr>
            <w:tcW w:w="2836" w:type="dxa"/>
            <w:vMerge/>
            <w:tcBorders>
              <w:left w:val="single" w:sz="4" w:space="0" w:color="438086" w:themeColor="accent2"/>
              <w:bottom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INSTITUT DE RECERCA CONTRA LA LEUCEMIA JOSEP CARRERAS</w:t>
            </w:r>
          </w:p>
        </w:tc>
      </w:tr>
      <w:tr w:rsidR="006341B5" w:rsidRPr="00F12288" w:rsidTr="006341B5">
        <w:trPr>
          <w:trHeight w:val="300"/>
        </w:trPr>
        <w:tc>
          <w:tcPr>
            <w:tcW w:w="2836" w:type="dxa"/>
            <w:vMerge w:val="restart"/>
            <w:tcBorders>
              <w:top w:val="single" w:sz="4" w:space="0" w:color="438086" w:themeColor="accent2"/>
              <w:left w:val="single" w:sz="4" w:space="0" w:color="438086" w:themeColor="accent2"/>
              <w:right w:val="nil"/>
            </w:tcBorders>
            <w:shd w:val="clear" w:color="auto" w:fill="auto"/>
            <w:noWrap/>
            <w:vAlign w:val="center"/>
            <w:hideMark/>
          </w:tcPr>
          <w:p w:rsidR="006341B5" w:rsidRPr="00F12288" w:rsidRDefault="006341B5" w:rsidP="006341B5">
            <w:pPr>
              <w:spacing w:after="0" w:line="240" w:lineRule="auto"/>
              <w:jc w:val="center"/>
              <w:rPr>
                <w:rFonts w:eastAsia="Times New Roman" w:cs="Calibri"/>
                <w:color w:val="000000"/>
                <w:sz w:val="18"/>
                <w:szCs w:val="18"/>
              </w:rPr>
            </w:pPr>
            <w:r w:rsidRPr="00F12288">
              <w:rPr>
                <w:rFonts w:eastAsia="Times New Roman" w:cs="Calibri"/>
                <w:color w:val="000000"/>
                <w:sz w:val="18"/>
                <w:szCs w:val="18"/>
              </w:rPr>
              <w:t>ONG</w:t>
            </w: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ACULCO ASOC SOCIO CULTURAL Y DE COOPERACION</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ONG DE DESARROLLO FIET GRATIA</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ASOC. PARA LA PROMOCION Y GESTION DE SERVICIOS SOCIALES GENERALES Y ESPECIALIZADOS (PROGESTIÓN)</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ASOCIACION PARA LA ATENCION PREVENCION Y REINSERCION DE LA MUJER PROSTITUIDA (APRAMP)</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RED ACOGE</w:t>
            </w:r>
          </w:p>
        </w:tc>
      </w:tr>
      <w:tr w:rsidR="006341B5" w:rsidRPr="00F12288" w:rsidTr="00E35AFE">
        <w:trPr>
          <w:trHeight w:val="300"/>
        </w:trPr>
        <w:tc>
          <w:tcPr>
            <w:tcW w:w="2836" w:type="dxa"/>
            <w:vMerge/>
            <w:tcBorders>
              <w:left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C519BE">
            <w:pPr>
              <w:spacing w:after="0" w:line="240" w:lineRule="auto"/>
              <w:jc w:val="left"/>
              <w:rPr>
                <w:rFonts w:eastAsia="Times New Roman" w:cs="Calibri"/>
                <w:color w:val="000000"/>
                <w:sz w:val="18"/>
                <w:szCs w:val="18"/>
              </w:rPr>
            </w:pPr>
            <w:r w:rsidRPr="00F12288">
              <w:rPr>
                <w:rFonts w:eastAsia="Times New Roman" w:cs="Calibri"/>
                <w:color w:val="000000"/>
                <w:sz w:val="18"/>
                <w:szCs w:val="18"/>
              </w:rPr>
              <w:t xml:space="preserve"> CONFEDERACION ESTATAL DE PERSONAS SORDAS DE ESPAÑA</w:t>
            </w:r>
          </w:p>
        </w:tc>
      </w:tr>
      <w:tr w:rsidR="006341B5" w:rsidRPr="00F12288" w:rsidTr="00E35AFE">
        <w:trPr>
          <w:trHeight w:val="300"/>
        </w:trPr>
        <w:tc>
          <w:tcPr>
            <w:tcW w:w="2836" w:type="dxa"/>
            <w:vMerge/>
            <w:tcBorders>
              <w:left w:val="single" w:sz="4" w:space="0" w:color="438086" w:themeColor="accent2"/>
              <w:bottom w:val="single" w:sz="4" w:space="0" w:color="438086" w:themeColor="accent2"/>
              <w:right w:val="nil"/>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hideMark/>
          </w:tcPr>
          <w:p w:rsidR="006341B5" w:rsidRPr="00F12288" w:rsidRDefault="006341B5" w:rsidP="004A6DBC">
            <w:pPr>
              <w:spacing w:after="0" w:line="240" w:lineRule="auto"/>
              <w:jc w:val="left"/>
              <w:rPr>
                <w:rFonts w:eastAsia="Times New Roman" w:cs="Calibri"/>
                <w:color w:val="000000"/>
                <w:sz w:val="18"/>
                <w:szCs w:val="18"/>
              </w:rPr>
            </w:pPr>
            <w:r w:rsidRPr="00F12288">
              <w:rPr>
                <w:rFonts w:eastAsia="Times New Roman" w:cs="Calibri"/>
                <w:color w:val="000000"/>
                <w:sz w:val="18"/>
                <w:szCs w:val="18"/>
              </w:rPr>
              <w:t>CÁRITAS ESPAÑOLA</w:t>
            </w:r>
          </w:p>
        </w:tc>
      </w:tr>
      <w:tr w:rsidR="00D42228" w:rsidRPr="00F12288" w:rsidTr="00914D8C">
        <w:trPr>
          <w:trHeight w:val="300"/>
        </w:trPr>
        <w:tc>
          <w:tcPr>
            <w:tcW w:w="9425" w:type="dxa"/>
            <w:gridSpan w:val="2"/>
            <w:tcBorders>
              <w:top w:val="single" w:sz="4" w:space="0" w:color="438086" w:themeColor="accent2"/>
              <w:left w:val="single" w:sz="4" w:space="0" w:color="438086" w:themeColor="accent2"/>
              <w:bottom w:val="single" w:sz="4" w:space="0" w:color="438086" w:themeColor="accent2"/>
              <w:right w:val="single" w:sz="4" w:space="0" w:color="438086" w:themeColor="accent2"/>
            </w:tcBorders>
            <w:shd w:val="clear" w:color="auto" w:fill="438086" w:themeFill="accent2"/>
            <w:noWrap/>
            <w:vAlign w:val="bottom"/>
          </w:tcPr>
          <w:p w:rsidR="00D42228" w:rsidRPr="00F12288" w:rsidRDefault="006341B5" w:rsidP="00D42228">
            <w:pPr>
              <w:spacing w:after="0" w:line="240" w:lineRule="auto"/>
              <w:jc w:val="center"/>
              <w:rPr>
                <w:rFonts w:eastAsia="Times New Roman" w:cs="Calibri"/>
                <w:b/>
                <w:color w:val="FFFFFF" w:themeColor="background1"/>
                <w:sz w:val="18"/>
                <w:szCs w:val="18"/>
              </w:rPr>
            </w:pPr>
            <w:r w:rsidRPr="00F12288">
              <w:rPr>
                <w:rFonts w:eastAsia="Times New Roman" w:cs="Calibri"/>
                <w:b/>
                <w:color w:val="FFFFFF" w:themeColor="background1"/>
                <w:sz w:val="18"/>
                <w:szCs w:val="18"/>
              </w:rPr>
              <w:t>PRIMERA EVALUACIÓN EN 2022</w:t>
            </w:r>
          </w:p>
        </w:tc>
      </w:tr>
      <w:tr w:rsidR="006341B5" w:rsidRPr="00F12288" w:rsidTr="00F12288">
        <w:trPr>
          <w:trHeight w:val="300"/>
        </w:trPr>
        <w:tc>
          <w:tcPr>
            <w:tcW w:w="2836" w:type="dxa"/>
            <w:vMerge w:val="restart"/>
            <w:tcBorders>
              <w:top w:val="single" w:sz="4" w:space="0" w:color="438086" w:themeColor="accent2"/>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r w:rsidRPr="00F12288">
              <w:rPr>
                <w:rFonts w:eastAsia="Times New Roman" w:cs="Calibri"/>
                <w:sz w:val="18"/>
                <w:szCs w:val="18"/>
              </w:rPr>
              <w:t>ASOCIACIONES</w:t>
            </w: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jc w:val="left"/>
              <w:rPr>
                <w:sz w:val="18"/>
                <w:szCs w:val="18"/>
              </w:rPr>
            </w:pPr>
            <w:r w:rsidRPr="00F12288">
              <w:rPr>
                <w:sz w:val="18"/>
                <w:szCs w:val="18"/>
              </w:rPr>
              <w:t>CEOE</w:t>
            </w:r>
          </w:p>
        </w:tc>
      </w:tr>
      <w:tr w:rsidR="006341B5" w:rsidRPr="00F12288" w:rsidTr="00F12288">
        <w:trPr>
          <w:trHeight w:val="356"/>
        </w:trPr>
        <w:tc>
          <w:tcPr>
            <w:tcW w:w="2836" w:type="dxa"/>
            <w:vMerge/>
            <w:tcBorders>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jc w:val="left"/>
              <w:rPr>
                <w:sz w:val="18"/>
                <w:szCs w:val="18"/>
              </w:rPr>
            </w:pPr>
            <w:r w:rsidRPr="00F12288">
              <w:rPr>
                <w:sz w:val="18"/>
                <w:szCs w:val="18"/>
              </w:rPr>
              <w:t>FEMP</w:t>
            </w:r>
          </w:p>
        </w:tc>
      </w:tr>
      <w:tr w:rsidR="006341B5" w:rsidRPr="00F12288" w:rsidTr="00F12288">
        <w:trPr>
          <w:trHeight w:val="300"/>
        </w:trPr>
        <w:tc>
          <w:tcPr>
            <w:tcW w:w="2836" w:type="dxa"/>
            <w:vMerge/>
            <w:tcBorders>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spacing w:after="0" w:line="240" w:lineRule="auto"/>
              <w:jc w:val="left"/>
              <w:rPr>
                <w:rFonts w:eastAsia="Times New Roman" w:cs="Calibri"/>
                <w:sz w:val="18"/>
                <w:szCs w:val="18"/>
              </w:rPr>
            </w:pPr>
            <w:r w:rsidRPr="00F12288">
              <w:rPr>
                <w:rFonts w:eastAsia="Times New Roman" w:cs="Calibri"/>
                <w:sz w:val="18"/>
                <w:szCs w:val="18"/>
              </w:rPr>
              <w:t>FEDERACIÓN DE ENSEÑANZA CC.OO</w:t>
            </w:r>
          </w:p>
        </w:tc>
      </w:tr>
      <w:tr w:rsidR="006341B5" w:rsidRPr="00F12288" w:rsidTr="00F12288">
        <w:trPr>
          <w:trHeight w:val="300"/>
        </w:trPr>
        <w:tc>
          <w:tcPr>
            <w:tcW w:w="2836" w:type="dxa"/>
            <w:vMerge/>
            <w:tcBorders>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spacing w:after="0" w:line="240" w:lineRule="auto"/>
              <w:jc w:val="left"/>
              <w:rPr>
                <w:rFonts w:eastAsia="Times New Roman" w:cs="Calibri"/>
                <w:sz w:val="18"/>
                <w:szCs w:val="18"/>
              </w:rPr>
            </w:pPr>
            <w:r w:rsidRPr="00F12288">
              <w:rPr>
                <w:rFonts w:eastAsia="Times New Roman" w:cs="Calibri"/>
                <w:sz w:val="18"/>
                <w:szCs w:val="18"/>
              </w:rPr>
              <w:t>SOCIEDAD ESPAÑOLA DE ORNITOLOGÍA</w:t>
            </w:r>
          </w:p>
        </w:tc>
      </w:tr>
      <w:tr w:rsidR="006341B5" w:rsidRPr="00F12288" w:rsidTr="00F12288">
        <w:trPr>
          <w:trHeight w:val="300"/>
        </w:trPr>
        <w:tc>
          <w:tcPr>
            <w:tcW w:w="2836" w:type="dxa"/>
            <w:vMerge/>
            <w:tcBorders>
              <w:left w:val="single" w:sz="4" w:space="0" w:color="438086" w:themeColor="accent2"/>
              <w:bottom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spacing w:after="0" w:line="240" w:lineRule="auto"/>
              <w:jc w:val="left"/>
              <w:rPr>
                <w:rFonts w:eastAsia="Times New Roman" w:cs="Calibri"/>
                <w:sz w:val="18"/>
                <w:szCs w:val="18"/>
              </w:rPr>
            </w:pPr>
            <w:r w:rsidRPr="00F12288">
              <w:rPr>
                <w:rFonts w:eastAsia="Times New Roman" w:cs="Calibri"/>
                <w:sz w:val="18"/>
                <w:szCs w:val="18"/>
              </w:rPr>
              <w:t>APROMAR</w:t>
            </w:r>
          </w:p>
        </w:tc>
      </w:tr>
      <w:tr w:rsidR="006341B5" w:rsidRPr="00F12288" w:rsidTr="00F12288">
        <w:trPr>
          <w:trHeight w:val="300"/>
        </w:trPr>
        <w:tc>
          <w:tcPr>
            <w:tcW w:w="2836" w:type="dxa"/>
            <w:vMerge w:val="restart"/>
            <w:tcBorders>
              <w:top w:val="single" w:sz="4" w:space="0" w:color="438086" w:themeColor="accent2"/>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r w:rsidRPr="00F12288">
              <w:rPr>
                <w:rFonts w:eastAsia="Times New Roman" w:cs="Calibri"/>
                <w:sz w:val="18"/>
                <w:szCs w:val="18"/>
              </w:rPr>
              <w:t>EMPRESAS</w:t>
            </w: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spacing w:after="0" w:line="240" w:lineRule="auto"/>
              <w:jc w:val="left"/>
              <w:rPr>
                <w:rFonts w:eastAsia="Times New Roman" w:cs="Calibri"/>
                <w:sz w:val="18"/>
                <w:szCs w:val="18"/>
              </w:rPr>
            </w:pPr>
            <w:r w:rsidRPr="00F12288">
              <w:rPr>
                <w:rFonts w:eastAsia="Times New Roman" w:cs="Calibri"/>
                <w:sz w:val="18"/>
                <w:szCs w:val="18"/>
              </w:rPr>
              <w:t>UNIVERSIDAD CAMILO JOSÉ CELA</w:t>
            </w:r>
          </w:p>
        </w:tc>
      </w:tr>
      <w:tr w:rsidR="006341B5" w:rsidRPr="00F12288" w:rsidTr="00F12288">
        <w:trPr>
          <w:trHeight w:val="300"/>
        </w:trPr>
        <w:tc>
          <w:tcPr>
            <w:tcW w:w="2836" w:type="dxa"/>
            <w:vMerge/>
            <w:tcBorders>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spacing w:after="0" w:line="240" w:lineRule="auto"/>
              <w:jc w:val="left"/>
              <w:rPr>
                <w:rFonts w:eastAsia="Times New Roman" w:cs="Calibri"/>
                <w:sz w:val="18"/>
                <w:szCs w:val="18"/>
              </w:rPr>
            </w:pPr>
            <w:r w:rsidRPr="00F12288">
              <w:rPr>
                <w:rFonts w:eastAsia="Times New Roman" w:cs="Calibri"/>
                <w:sz w:val="18"/>
                <w:szCs w:val="18"/>
              </w:rPr>
              <w:t>UBE SPAIN</w:t>
            </w:r>
          </w:p>
        </w:tc>
      </w:tr>
      <w:tr w:rsidR="006341B5" w:rsidRPr="00F12288" w:rsidTr="00F12288">
        <w:trPr>
          <w:trHeight w:val="300"/>
        </w:trPr>
        <w:tc>
          <w:tcPr>
            <w:tcW w:w="2836" w:type="dxa"/>
            <w:vMerge/>
            <w:tcBorders>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jc w:val="left"/>
              <w:rPr>
                <w:sz w:val="18"/>
                <w:szCs w:val="18"/>
              </w:rPr>
            </w:pPr>
            <w:proofErr w:type="spellStart"/>
            <w:r w:rsidRPr="00F12288">
              <w:rPr>
                <w:sz w:val="18"/>
                <w:szCs w:val="18"/>
              </w:rPr>
              <w:t>1A</w:t>
            </w:r>
            <w:proofErr w:type="spellEnd"/>
            <w:r w:rsidRPr="00F12288">
              <w:rPr>
                <w:sz w:val="18"/>
                <w:szCs w:val="18"/>
              </w:rPr>
              <w:t xml:space="preserve"> INGENIEROS SLP</w:t>
            </w:r>
          </w:p>
        </w:tc>
      </w:tr>
      <w:tr w:rsidR="006341B5" w:rsidRPr="00F12288" w:rsidTr="00F12288">
        <w:trPr>
          <w:trHeight w:val="300"/>
        </w:trPr>
        <w:tc>
          <w:tcPr>
            <w:tcW w:w="2836" w:type="dxa"/>
            <w:vMerge/>
            <w:tcBorders>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jc w:val="left"/>
              <w:rPr>
                <w:sz w:val="18"/>
                <w:szCs w:val="18"/>
              </w:rPr>
            </w:pPr>
            <w:r w:rsidRPr="00F12288">
              <w:rPr>
                <w:sz w:val="18"/>
                <w:szCs w:val="18"/>
              </w:rPr>
              <w:t>BAOBAB SOLUCIONES, SL</w:t>
            </w:r>
          </w:p>
        </w:tc>
      </w:tr>
      <w:tr w:rsidR="006341B5" w:rsidRPr="00F12288" w:rsidTr="00F12288">
        <w:trPr>
          <w:trHeight w:val="300"/>
        </w:trPr>
        <w:tc>
          <w:tcPr>
            <w:tcW w:w="2836" w:type="dxa"/>
            <w:vMerge/>
            <w:tcBorders>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jc w:val="left"/>
              <w:rPr>
                <w:sz w:val="18"/>
                <w:szCs w:val="18"/>
              </w:rPr>
            </w:pPr>
            <w:r w:rsidRPr="00F12288">
              <w:rPr>
                <w:sz w:val="18"/>
                <w:szCs w:val="18"/>
              </w:rPr>
              <w:t>SAMPOL</w:t>
            </w:r>
          </w:p>
        </w:tc>
      </w:tr>
      <w:tr w:rsidR="006341B5" w:rsidRPr="00F12288" w:rsidTr="00F12288">
        <w:trPr>
          <w:trHeight w:val="300"/>
        </w:trPr>
        <w:tc>
          <w:tcPr>
            <w:tcW w:w="2836" w:type="dxa"/>
            <w:vMerge/>
            <w:tcBorders>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jc w:val="left"/>
              <w:rPr>
                <w:sz w:val="18"/>
                <w:szCs w:val="18"/>
              </w:rPr>
            </w:pPr>
            <w:r w:rsidRPr="00F12288">
              <w:rPr>
                <w:sz w:val="18"/>
                <w:szCs w:val="18"/>
              </w:rPr>
              <w:t>SOFIDEL</w:t>
            </w:r>
          </w:p>
        </w:tc>
      </w:tr>
      <w:tr w:rsidR="006341B5" w:rsidRPr="00F12288" w:rsidTr="00F12288">
        <w:trPr>
          <w:trHeight w:val="300"/>
        </w:trPr>
        <w:tc>
          <w:tcPr>
            <w:tcW w:w="2836" w:type="dxa"/>
            <w:vMerge/>
            <w:tcBorders>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jc w:val="left"/>
              <w:rPr>
                <w:sz w:val="18"/>
                <w:szCs w:val="18"/>
              </w:rPr>
            </w:pPr>
            <w:r w:rsidRPr="00F12288">
              <w:rPr>
                <w:sz w:val="18"/>
                <w:szCs w:val="18"/>
              </w:rPr>
              <w:t>ADAMO</w:t>
            </w:r>
          </w:p>
        </w:tc>
      </w:tr>
      <w:tr w:rsidR="006341B5" w:rsidRPr="00F12288" w:rsidTr="00F12288">
        <w:trPr>
          <w:trHeight w:val="300"/>
        </w:trPr>
        <w:tc>
          <w:tcPr>
            <w:tcW w:w="2836" w:type="dxa"/>
            <w:vMerge/>
            <w:tcBorders>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jc w:val="left"/>
              <w:rPr>
                <w:sz w:val="18"/>
                <w:szCs w:val="18"/>
              </w:rPr>
            </w:pPr>
            <w:r w:rsidRPr="00F12288">
              <w:rPr>
                <w:sz w:val="18"/>
                <w:szCs w:val="18"/>
              </w:rPr>
              <w:t>INTARCON</w:t>
            </w:r>
          </w:p>
        </w:tc>
      </w:tr>
      <w:tr w:rsidR="006341B5" w:rsidRPr="00F12288" w:rsidTr="00F12288">
        <w:trPr>
          <w:trHeight w:val="300"/>
        </w:trPr>
        <w:tc>
          <w:tcPr>
            <w:tcW w:w="2836" w:type="dxa"/>
            <w:vMerge/>
            <w:tcBorders>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jc w:val="left"/>
              <w:rPr>
                <w:sz w:val="18"/>
                <w:szCs w:val="18"/>
              </w:rPr>
            </w:pPr>
            <w:r w:rsidRPr="00F12288">
              <w:rPr>
                <w:sz w:val="18"/>
                <w:szCs w:val="18"/>
              </w:rPr>
              <w:t>MEGASA</w:t>
            </w:r>
          </w:p>
        </w:tc>
      </w:tr>
      <w:tr w:rsidR="006341B5" w:rsidRPr="00F12288" w:rsidTr="00F12288">
        <w:trPr>
          <w:trHeight w:val="300"/>
        </w:trPr>
        <w:tc>
          <w:tcPr>
            <w:tcW w:w="2836" w:type="dxa"/>
            <w:vMerge/>
            <w:tcBorders>
              <w:left w:val="single" w:sz="4" w:space="0" w:color="438086" w:themeColor="accent2"/>
              <w:bottom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jc w:val="left"/>
              <w:rPr>
                <w:sz w:val="18"/>
                <w:szCs w:val="18"/>
              </w:rPr>
            </w:pPr>
            <w:r w:rsidRPr="00F12288">
              <w:rPr>
                <w:sz w:val="18"/>
                <w:szCs w:val="18"/>
              </w:rPr>
              <w:t>QUIBIM</w:t>
            </w:r>
          </w:p>
        </w:tc>
      </w:tr>
      <w:tr w:rsidR="006341B5" w:rsidRPr="00F12288" w:rsidTr="00F12288">
        <w:trPr>
          <w:trHeight w:val="300"/>
        </w:trPr>
        <w:tc>
          <w:tcPr>
            <w:tcW w:w="2836" w:type="dxa"/>
            <w:vMerge w:val="restart"/>
            <w:tcBorders>
              <w:top w:val="single" w:sz="4" w:space="0" w:color="438086" w:themeColor="accent2"/>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r w:rsidRPr="00F12288">
              <w:rPr>
                <w:rFonts w:eastAsia="Times New Roman" w:cs="Calibri"/>
                <w:sz w:val="18"/>
                <w:szCs w:val="18"/>
              </w:rPr>
              <w:t>FEDERACIONES DEPORTIVAS</w:t>
            </w: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jc w:val="left"/>
              <w:rPr>
                <w:sz w:val="18"/>
                <w:szCs w:val="18"/>
              </w:rPr>
            </w:pPr>
            <w:r w:rsidRPr="00F12288">
              <w:rPr>
                <w:sz w:val="18"/>
                <w:szCs w:val="18"/>
              </w:rPr>
              <w:t>REAL FEDERACIÓN ESPAÑOLA DE FÚTBOL</w:t>
            </w:r>
          </w:p>
        </w:tc>
      </w:tr>
      <w:tr w:rsidR="006341B5" w:rsidRPr="00F12288" w:rsidTr="00F12288">
        <w:trPr>
          <w:trHeight w:val="300"/>
        </w:trPr>
        <w:tc>
          <w:tcPr>
            <w:tcW w:w="2836" w:type="dxa"/>
            <w:vMerge/>
            <w:tcBorders>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jc w:val="left"/>
              <w:rPr>
                <w:sz w:val="18"/>
                <w:szCs w:val="18"/>
              </w:rPr>
            </w:pPr>
            <w:r w:rsidRPr="00F12288">
              <w:rPr>
                <w:sz w:val="18"/>
                <w:szCs w:val="18"/>
              </w:rPr>
              <w:t>REAL FEDERACIÓN ESPAÑOLA DE TAEKWONDO</w:t>
            </w:r>
          </w:p>
        </w:tc>
      </w:tr>
      <w:tr w:rsidR="006341B5" w:rsidRPr="00F12288" w:rsidTr="00F12288">
        <w:trPr>
          <w:trHeight w:val="300"/>
        </w:trPr>
        <w:tc>
          <w:tcPr>
            <w:tcW w:w="2836" w:type="dxa"/>
            <w:vMerge/>
            <w:tcBorders>
              <w:left w:val="single" w:sz="4" w:space="0" w:color="438086" w:themeColor="accent2"/>
              <w:bottom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spacing w:after="0" w:line="240" w:lineRule="auto"/>
              <w:jc w:val="left"/>
              <w:rPr>
                <w:rFonts w:eastAsia="Times New Roman" w:cs="Calibri"/>
                <w:sz w:val="18"/>
                <w:szCs w:val="18"/>
              </w:rPr>
            </w:pPr>
            <w:r w:rsidRPr="00F12288">
              <w:rPr>
                <w:rFonts w:eastAsia="Times New Roman" w:cs="Calibri"/>
                <w:sz w:val="18"/>
                <w:szCs w:val="18"/>
              </w:rPr>
              <w:t>REAL FEDERACIÓN ESPAÑOLA DE BÉISBOL</w:t>
            </w:r>
          </w:p>
        </w:tc>
      </w:tr>
      <w:tr w:rsidR="006341B5" w:rsidRPr="00F12288" w:rsidTr="00F12288">
        <w:trPr>
          <w:trHeight w:val="300"/>
        </w:trPr>
        <w:tc>
          <w:tcPr>
            <w:tcW w:w="2836" w:type="dxa"/>
            <w:vMerge w:val="restart"/>
            <w:tcBorders>
              <w:top w:val="single" w:sz="4" w:space="0" w:color="438086" w:themeColor="accent2"/>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r w:rsidRPr="00F12288">
              <w:rPr>
                <w:rFonts w:eastAsia="Times New Roman" w:cs="Calibri"/>
                <w:sz w:val="18"/>
                <w:szCs w:val="18"/>
              </w:rPr>
              <w:t>FUNDACIONES</w:t>
            </w: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spacing w:after="0" w:line="240" w:lineRule="auto"/>
              <w:jc w:val="left"/>
              <w:rPr>
                <w:rFonts w:eastAsia="Times New Roman" w:cs="Calibri"/>
                <w:sz w:val="18"/>
                <w:szCs w:val="18"/>
              </w:rPr>
            </w:pPr>
            <w:r w:rsidRPr="00F12288">
              <w:rPr>
                <w:rFonts w:eastAsia="Times New Roman" w:cs="Calibri"/>
                <w:sz w:val="18"/>
                <w:szCs w:val="18"/>
              </w:rPr>
              <w:t>FUNDACIÓN 1º DE MAYO</w:t>
            </w:r>
          </w:p>
        </w:tc>
      </w:tr>
      <w:tr w:rsidR="006341B5" w:rsidRPr="00F12288" w:rsidTr="00F12288">
        <w:trPr>
          <w:trHeight w:val="300"/>
        </w:trPr>
        <w:tc>
          <w:tcPr>
            <w:tcW w:w="2836" w:type="dxa"/>
            <w:vMerge/>
            <w:tcBorders>
              <w:left w:val="single" w:sz="4" w:space="0" w:color="438086" w:themeColor="accent2"/>
              <w:bottom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spacing w:after="0" w:line="240" w:lineRule="auto"/>
              <w:jc w:val="left"/>
              <w:rPr>
                <w:rFonts w:eastAsia="Times New Roman" w:cs="Calibri"/>
                <w:sz w:val="18"/>
                <w:szCs w:val="18"/>
              </w:rPr>
            </w:pPr>
            <w:r w:rsidRPr="00F12288">
              <w:rPr>
                <w:rFonts w:eastAsia="Times New Roman" w:cs="Calibri"/>
                <w:sz w:val="18"/>
                <w:szCs w:val="18"/>
              </w:rPr>
              <w:t>FUNDACIÓN RAÍCES</w:t>
            </w:r>
          </w:p>
        </w:tc>
      </w:tr>
      <w:tr w:rsidR="006341B5" w:rsidRPr="00F12288" w:rsidTr="00F12288">
        <w:trPr>
          <w:trHeight w:val="300"/>
        </w:trPr>
        <w:tc>
          <w:tcPr>
            <w:tcW w:w="2836" w:type="dxa"/>
            <w:vMerge w:val="restart"/>
            <w:tcBorders>
              <w:top w:val="single" w:sz="4" w:space="0" w:color="438086" w:themeColor="accent2"/>
              <w:left w:val="single" w:sz="4" w:space="0" w:color="438086" w:themeColor="accent2"/>
              <w:right w:val="nil"/>
            </w:tcBorders>
            <w:shd w:val="clear" w:color="auto" w:fill="auto"/>
            <w:noWrap/>
            <w:vAlign w:val="center"/>
          </w:tcPr>
          <w:p w:rsidR="006341B5" w:rsidRPr="00F12288" w:rsidRDefault="006341B5" w:rsidP="006341B5">
            <w:pPr>
              <w:spacing w:after="0" w:line="240" w:lineRule="auto"/>
              <w:jc w:val="center"/>
              <w:rPr>
                <w:rFonts w:eastAsia="Times New Roman" w:cs="Calibri"/>
                <w:sz w:val="18"/>
                <w:szCs w:val="18"/>
              </w:rPr>
            </w:pPr>
            <w:r w:rsidRPr="00F12288">
              <w:rPr>
                <w:rFonts w:eastAsia="Times New Roman" w:cs="Calibri"/>
                <w:sz w:val="18"/>
                <w:szCs w:val="18"/>
              </w:rPr>
              <w:t>ONG</w:t>
            </w: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spacing w:after="0" w:line="240" w:lineRule="auto"/>
              <w:jc w:val="left"/>
              <w:rPr>
                <w:rFonts w:eastAsia="Times New Roman" w:cs="Calibri"/>
                <w:sz w:val="18"/>
                <w:szCs w:val="18"/>
              </w:rPr>
            </w:pPr>
            <w:r w:rsidRPr="00F12288">
              <w:rPr>
                <w:rFonts w:eastAsia="Times New Roman" w:cs="Calibri"/>
                <w:sz w:val="18"/>
                <w:szCs w:val="18"/>
              </w:rPr>
              <w:t>LARES ASOCIACIÓN</w:t>
            </w:r>
          </w:p>
        </w:tc>
      </w:tr>
      <w:tr w:rsidR="006341B5" w:rsidRPr="00F12288" w:rsidTr="00F12288">
        <w:trPr>
          <w:trHeight w:val="300"/>
        </w:trPr>
        <w:tc>
          <w:tcPr>
            <w:tcW w:w="2836" w:type="dxa"/>
            <w:vMerge/>
            <w:tcBorders>
              <w:left w:val="single" w:sz="4" w:space="0" w:color="438086" w:themeColor="accent2"/>
              <w:right w:val="nil"/>
            </w:tcBorders>
            <w:shd w:val="clear" w:color="auto" w:fill="auto"/>
            <w:noWrap/>
            <w:vAlign w:val="bottom"/>
          </w:tcPr>
          <w:p w:rsidR="006341B5" w:rsidRPr="00F12288" w:rsidRDefault="006341B5" w:rsidP="004A6DBC">
            <w:pPr>
              <w:spacing w:after="0" w:line="240" w:lineRule="auto"/>
              <w:jc w:val="left"/>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spacing w:after="0" w:line="240" w:lineRule="auto"/>
              <w:jc w:val="left"/>
              <w:rPr>
                <w:rFonts w:eastAsia="Times New Roman" w:cs="Calibri"/>
                <w:sz w:val="18"/>
                <w:szCs w:val="18"/>
              </w:rPr>
            </w:pPr>
            <w:r w:rsidRPr="00F12288">
              <w:rPr>
                <w:rFonts w:eastAsia="Times New Roman" w:cs="Calibri"/>
                <w:sz w:val="18"/>
                <w:szCs w:val="18"/>
              </w:rPr>
              <w:t>ALDEAS INFANTILES SOS</w:t>
            </w:r>
          </w:p>
        </w:tc>
      </w:tr>
      <w:tr w:rsidR="006341B5" w:rsidRPr="00F12288" w:rsidTr="00F12288">
        <w:trPr>
          <w:trHeight w:val="300"/>
        </w:trPr>
        <w:tc>
          <w:tcPr>
            <w:tcW w:w="2836" w:type="dxa"/>
            <w:vMerge/>
            <w:tcBorders>
              <w:left w:val="single" w:sz="4" w:space="0" w:color="438086" w:themeColor="accent2"/>
              <w:right w:val="nil"/>
            </w:tcBorders>
            <w:shd w:val="clear" w:color="auto" w:fill="auto"/>
            <w:noWrap/>
            <w:vAlign w:val="bottom"/>
          </w:tcPr>
          <w:p w:rsidR="006341B5" w:rsidRPr="00F12288" w:rsidRDefault="006341B5" w:rsidP="004A6DBC">
            <w:pPr>
              <w:spacing w:after="0" w:line="240" w:lineRule="auto"/>
              <w:jc w:val="left"/>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spacing w:after="0" w:line="240" w:lineRule="auto"/>
              <w:jc w:val="left"/>
              <w:rPr>
                <w:rFonts w:eastAsia="Times New Roman" w:cs="Calibri"/>
                <w:sz w:val="18"/>
                <w:szCs w:val="18"/>
              </w:rPr>
            </w:pPr>
            <w:r w:rsidRPr="00F12288">
              <w:rPr>
                <w:rFonts w:eastAsia="Times New Roman" w:cs="Calibri"/>
                <w:sz w:val="18"/>
                <w:szCs w:val="18"/>
              </w:rPr>
              <w:t>ACCIÓN CONTRA EL HAMBRE</w:t>
            </w:r>
          </w:p>
        </w:tc>
      </w:tr>
      <w:tr w:rsidR="006341B5" w:rsidRPr="00F12288" w:rsidTr="00F12288">
        <w:trPr>
          <w:trHeight w:val="300"/>
        </w:trPr>
        <w:tc>
          <w:tcPr>
            <w:tcW w:w="2836" w:type="dxa"/>
            <w:vMerge/>
            <w:tcBorders>
              <w:left w:val="single" w:sz="4" w:space="0" w:color="438086" w:themeColor="accent2"/>
              <w:bottom w:val="single" w:sz="4" w:space="0" w:color="438086" w:themeColor="accent2"/>
              <w:right w:val="nil"/>
            </w:tcBorders>
            <w:shd w:val="clear" w:color="auto" w:fill="auto"/>
            <w:noWrap/>
            <w:vAlign w:val="bottom"/>
          </w:tcPr>
          <w:p w:rsidR="006341B5" w:rsidRPr="00F12288" w:rsidRDefault="006341B5" w:rsidP="004A6DBC">
            <w:pPr>
              <w:spacing w:after="0" w:line="240" w:lineRule="auto"/>
              <w:jc w:val="left"/>
              <w:rPr>
                <w:rFonts w:eastAsia="Times New Roman" w:cs="Calibri"/>
                <w:sz w:val="18"/>
                <w:szCs w:val="18"/>
              </w:rPr>
            </w:pPr>
          </w:p>
        </w:tc>
        <w:tc>
          <w:tcPr>
            <w:tcW w:w="6589" w:type="dxa"/>
            <w:tcBorders>
              <w:top w:val="single" w:sz="4" w:space="0" w:color="438086" w:themeColor="accent2"/>
              <w:left w:val="nil"/>
              <w:bottom w:val="single" w:sz="4" w:space="0" w:color="438086" w:themeColor="accent2"/>
              <w:right w:val="single" w:sz="4" w:space="0" w:color="438086" w:themeColor="accent2"/>
            </w:tcBorders>
            <w:shd w:val="clear" w:color="auto" w:fill="auto"/>
            <w:noWrap/>
            <w:vAlign w:val="bottom"/>
          </w:tcPr>
          <w:p w:rsidR="006341B5" w:rsidRPr="00F12288" w:rsidRDefault="006341B5" w:rsidP="00F12288">
            <w:pPr>
              <w:spacing w:after="0" w:line="240" w:lineRule="auto"/>
              <w:jc w:val="left"/>
              <w:rPr>
                <w:rFonts w:eastAsia="Times New Roman" w:cs="Calibri"/>
                <w:sz w:val="18"/>
                <w:szCs w:val="18"/>
              </w:rPr>
            </w:pPr>
            <w:r w:rsidRPr="00F12288">
              <w:rPr>
                <w:rFonts w:eastAsia="Times New Roman" w:cs="Calibri"/>
                <w:sz w:val="18"/>
                <w:szCs w:val="18"/>
              </w:rPr>
              <w:t>ALIANZA POR LA SOLIDARIDAD</w:t>
            </w:r>
          </w:p>
        </w:tc>
      </w:tr>
    </w:tbl>
    <w:p w:rsidR="00141DBA" w:rsidRDefault="00141DBA" w:rsidP="00077CDF">
      <w:pPr>
        <w:pStyle w:val="Ttulo2"/>
      </w:pPr>
    </w:p>
    <w:p w:rsidR="00D42228" w:rsidRPr="00D42228" w:rsidRDefault="00D42228" w:rsidP="00D42228"/>
    <w:p w:rsidR="00CE43A8" w:rsidRPr="00CE43A8" w:rsidRDefault="00CE43A8" w:rsidP="00077CDF">
      <w:pPr>
        <w:pStyle w:val="Ttulo2"/>
      </w:pPr>
      <w:bookmarkStart w:id="3" w:name="_Toc120521808"/>
      <w:r w:rsidRPr="00CE43A8">
        <w:t>II.2 Delimitación de las obligaciones de publicidad activa aplicables.</w:t>
      </w:r>
      <w:bookmarkEnd w:id="3"/>
    </w:p>
    <w:p w:rsidR="00077CDF" w:rsidRDefault="00077CDF" w:rsidP="00CE43A8"/>
    <w:p w:rsidR="001D364C" w:rsidRDefault="00077CDF" w:rsidP="00CE43A8">
      <w:r>
        <w:t>E</w:t>
      </w:r>
      <w:r w:rsidR="00CE43A8">
        <w:t xml:space="preserve">l alcance de la evaluación se ha definido en función de las obligaciones de publicidad activa que son aplicables </w:t>
      </w:r>
      <w:r w:rsidR="00D42228">
        <w:t>a este grupo de sujetos obligados</w:t>
      </w:r>
      <w:r w:rsidR="00141DBA">
        <w:t>.</w:t>
      </w:r>
      <w:r w:rsidR="00F12288">
        <w:t xml:space="preserve"> Estas obligaciones son las que se recogen en el </w:t>
      </w:r>
      <w:r w:rsidR="00CE43A8">
        <w:t>siguiente cuadro</w:t>
      </w:r>
      <w:r w:rsidR="009417A3">
        <w:t>.</w:t>
      </w:r>
    </w:p>
    <w:p w:rsidR="00F12288" w:rsidRDefault="00F12288" w:rsidP="00CE43A8"/>
    <w:p w:rsidR="00563729" w:rsidRDefault="00563729" w:rsidP="00563729">
      <w:pPr>
        <w:pStyle w:val="Epgrafe"/>
        <w:keepNext/>
        <w:rPr>
          <w:color w:val="325F64" w:themeColor="accent2" w:themeShade="BF"/>
          <w:sz w:val="22"/>
          <w:szCs w:val="22"/>
        </w:rPr>
      </w:pPr>
      <w:r w:rsidRPr="00563729">
        <w:rPr>
          <w:color w:val="325F64" w:themeColor="accent2" w:themeShade="BF"/>
          <w:sz w:val="22"/>
          <w:szCs w:val="22"/>
        </w:rPr>
        <w:lastRenderedPageBreak/>
        <w:t xml:space="preserve">Cuadro </w:t>
      </w:r>
      <w:r w:rsidRPr="00563729">
        <w:rPr>
          <w:color w:val="325F64" w:themeColor="accent2" w:themeShade="BF"/>
          <w:sz w:val="22"/>
          <w:szCs w:val="22"/>
        </w:rPr>
        <w:fldChar w:fldCharType="begin"/>
      </w:r>
      <w:r w:rsidRPr="00563729">
        <w:rPr>
          <w:color w:val="325F64" w:themeColor="accent2" w:themeShade="BF"/>
          <w:sz w:val="22"/>
          <w:szCs w:val="22"/>
        </w:rPr>
        <w:instrText xml:space="preserve"> SEQ Cuadro \* ARABIC </w:instrText>
      </w:r>
      <w:r w:rsidRPr="00563729">
        <w:rPr>
          <w:color w:val="325F64" w:themeColor="accent2" w:themeShade="BF"/>
          <w:sz w:val="22"/>
          <w:szCs w:val="22"/>
        </w:rPr>
        <w:fldChar w:fldCharType="separate"/>
      </w:r>
      <w:r w:rsidR="00801472">
        <w:rPr>
          <w:noProof/>
          <w:color w:val="325F64" w:themeColor="accent2" w:themeShade="BF"/>
          <w:sz w:val="22"/>
          <w:szCs w:val="22"/>
        </w:rPr>
        <w:t>1</w:t>
      </w:r>
      <w:r w:rsidRPr="00563729">
        <w:rPr>
          <w:color w:val="325F64" w:themeColor="accent2" w:themeShade="BF"/>
          <w:sz w:val="22"/>
          <w:szCs w:val="22"/>
        </w:rPr>
        <w:fldChar w:fldCharType="end"/>
      </w:r>
      <w:r w:rsidRPr="00563729">
        <w:rPr>
          <w:color w:val="325F64" w:themeColor="accent2" w:themeShade="BF"/>
          <w:sz w:val="22"/>
          <w:szCs w:val="22"/>
        </w:rPr>
        <w:t xml:space="preserve">: Obligaciones aplicables a las </w:t>
      </w:r>
      <w:r w:rsidR="00375B00">
        <w:rPr>
          <w:color w:val="325F64" w:themeColor="accent2" w:themeShade="BF"/>
          <w:sz w:val="22"/>
          <w:szCs w:val="22"/>
        </w:rPr>
        <w:t xml:space="preserve">entidades </w:t>
      </w:r>
      <w:r w:rsidR="00D37A2F">
        <w:rPr>
          <w:color w:val="325F64" w:themeColor="accent2" w:themeShade="BF"/>
          <w:sz w:val="22"/>
          <w:szCs w:val="22"/>
        </w:rPr>
        <w:t>perceptoras de subvenciones y ayudas públicas</w:t>
      </w:r>
      <w:r w:rsidRPr="00563729">
        <w:rPr>
          <w:color w:val="325F64" w:themeColor="accent2" w:themeShade="BF"/>
          <w:sz w:val="22"/>
          <w:szCs w:val="22"/>
        </w:rPr>
        <w:t xml:space="preserve"> </w:t>
      </w:r>
    </w:p>
    <w:tbl>
      <w:tblPr>
        <w:tblStyle w:val="Tablaconcuadrcula2"/>
        <w:tblW w:w="0" w:type="auto"/>
        <w:tblBorders>
          <w:top w:val="single" w:sz="4" w:space="0" w:color="438086" w:themeColor="accent2"/>
          <w:left w:val="single" w:sz="4" w:space="0" w:color="438086" w:themeColor="accent2"/>
          <w:bottom w:val="single" w:sz="4" w:space="0" w:color="438086" w:themeColor="accent2"/>
          <w:right w:val="single" w:sz="4" w:space="0" w:color="438086" w:themeColor="accent2"/>
          <w:insideH w:val="single" w:sz="4" w:space="0" w:color="438086" w:themeColor="accent2"/>
          <w:insideV w:val="none" w:sz="0" w:space="0" w:color="auto"/>
        </w:tblBorders>
        <w:tblLook w:val="04A0" w:firstRow="1" w:lastRow="0" w:firstColumn="1" w:lastColumn="0" w:noHBand="0" w:noVBand="1"/>
      </w:tblPr>
      <w:tblGrid>
        <w:gridCol w:w="1535"/>
        <w:gridCol w:w="7078"/>
      </w:tblGrid>
      <w:tr w:rsidR="00D42228" w:rsidRPr="003256DE" w:rsidTr="006341B5">
        <w:tc>
          <w:tcPr>
            <w:tcW w:w="1535" w:type="dxa"/>
            <w:shd w:val="clear" w:color="auto" w:fill="438086" w:themeFill="accent2"/>
          </w:tcPr>
          <w:p w:rsidR="00D42228" w:rsidRPr="003256DE" w:rsidRDefault="00D42228" w:rsidP="001D364C">
            <w:pPr>
              <w:jc w:val="left"/>
              <w:rPr>
                <w:rFonts w:cs="Times New Roman"/>
                <w:b/>
                <w:color w:val="FFFFFF"/>
                <w:sz w:val="18"/>
                <w:szCs w:val="18"/>
              </w:rPr>
            </w:pPr>
            <w:r w:rsidRPr="003256DE">
              <w:rPr>
                <w:rFonts w:cs="Times New Roman"/>
                <w:b/>
                <w:color w:val="FFFFFF"/>
                <w:sz w:val="18"/>
                <w:szCs w:val="18"/>
              </w:rPr>
              <w:t>Bloque de obligaciones</w:t>
            </w:r>
          </w:p>
        </w:tc>
        <w:tc>
          <w:tcPr>
            <w:tcW w:w="7078" w:type="dxa"/>
            <w:tcBorders>
              <w:bottom w:val="single" w:sz="4" w:space="0" w:color="438086" w:themeColor="accent2"/>
            </w:tcBorders>
            <w:shd w:val="clear" w:color="auto" w:fill="438086" w:themeFill="accent2"/>
          </w:tcPr>
          <w:p w:rsidR="00D42228" w:rsidRPr="003256DE" w:rsidRDefault="00D42228" w:rsidP="001D364C">
            <w:pPr>
              <w:jc w:val="center"/>
              <w:rPr>
                <w:rFonts w:cs="Times New Roman"/>
                <w:b/>
                <w:color w:val="FFFFFF"/>
                <w:sz w:val="18"/>
                <w:szCs w:val="18"/>
              </w:rPr>
            </w:pPr>
            <w:r w:rsidRPr="003256DE">
              <w:rPr>
                <w:rFonts w:cs="Times New Roman"/>
                <w:b/>
                <w:color w:val="FFFFFF"/>
                <w:sz w:val="18"/>
                <w:szCs w:val="18"/>
              </w:rPr>
              <w:t>Obligaciones</w:t>
            </w:r>
          </w:p>
        </w:tc>
      </w:tr>
      <w:tr w:rsidR="00D42228" w:rsidRPr="003256DE" w:rsidTr="006341B5">
        <w:tc>
          <w:tcPr>
            <w:tcW w:w="1535" w:type="dxa"/>
            <w:vMerge w:val="restart"/>
            <w:shd w:val="clear" w:color="auto" w:fill="438086" w:themeFill="accent2"/>
            <w:textDirection w:val="btLr"/>
          </w:tcPr>
          <w:p w:rsidR="00914D8C" w:rsidRDefault="00D42228" w:rsidP="00914D8C">
            <w:pPr>
              <w:ind w:left="113" w:right="113"/>
              <w:jc w:val="center"/>
              <w:rPr>
                <w:rFonts w:cs="Times New Roman"/>
                <w:b/>
                <w:color w:val="FFFFFF"/>
                <w:sz w:val="18"/>
                <w:szCs w:val="18"/>
              </w:rPr>
            </w:pPr>
            <w:r w:rsidRPr="003256DE">
              <w:rPr>
                <w:rFonts w:cs="Times New Roman"/>
                <w:b/>
                <w:color w:val="FFFFFF"/>
                <w:sz w:val="18"/>
                <w:szCs w:val="18"/>
              </w:rPr>
              <w:t>Institucional, Organizativa</w:t>
            </w:r>
          </w:p>
          <w:p w:rsidR="00D42228" w:rsidRPr="003256DE" w:rsidRDefault="00D42228" w:rsidP="00914D8C">
            <w:pPr>
              <w:ind w:left="113" w:right="113"/>
              <w:jc w:val="center"/>
              <w:rPr>
                <w:rFonts w:cs="Times New Roman"/>
                <w:b/>
                <w:color w:val="FFFFFF"/>
                <w:sz w:val="18"/>
                <w:szCs w:val="18"/>
              </w:rPr>
            </w:pPr>
            <w:r w:rsidRPr="003256DE">
              <w:rPr>
                <w:rFonts w:cs="Times New Roman"/>
                <w:b/>
                <w:color w:val="FFFFFF"/>
                <w:sz w:val="18"/>
                <w:szCs w:val="18"/>
              </w:rPr>
              <w:t>y de Planificación</w:t>
            </w:r>
          </w:p>
        </w:tc>
        <w:tc>
          <w:tcPr>
            <w:tcW w:w="7078" w:type="dxa"/>
            <w:tcBorders>
              <w:bottom w:val="nil"/>
            </w:tcBorders>
          </w:tcPr>
          <w:p w:rsidR="00D42228" w:rsidRPr="003256DE" w:rsidRDefault="00D42228" w:rsidP="001D364C">
            <w:pPr>
              <w:jc w:val="left"/>
              <w:rPr>
                <w:rFonts w:cs="Times New Roman"/>
                <w:sz w:val="18"/>
                <w:szCs w:val="18"/>
              </w:rPr>
            </w:pPr>
            <w:r w:rsidRPr="003256DE">
              <w:rPr>
                <w:rFonts w:cs="Times New Roman"/>
                <w:sz w:val="18"/>
                <w:szCs w:val="18"/>
              </w:rPr>
              <w:t>Normativa aplicable</w:t>
            </w:r>
          </w:p>
        </w:tc>
      </w:tr>
      <w:tr w:rsidR="00D42228" w:rsidRPr="003256DE" w:rsidTr="006341B5">
        <w:tc>
          <w:tcPr>
            <w:tcW w:w="1535" w:type="dxa"/>
            <w:vMerge/>
            <w:shd w:val="clear" w:color="auto" w:fill="438086" w:themeFill="accent2"/>
          </w:tcPr>
          <w:p w:rsidR="00D42228" w:rsidRPr="003256DE" w:rsidRDefault="00D42228" w:rsidP="00914D8C">
            <w:pPr>
              <w:jc w:val="center"/>
              <w:rPr>
                <w:rFonts w:cs="Times New Roman"/>
                <w:b/>
                <w:color w:val="FFFFFF"/>
                <w:sz w:val="18"/>
                <w:szCs w:val="18"/>
              </w:rPr>
            </w:pPr>
          </w:p>
        </w:tc>
        <w:tc>
          <w:tcPr>
            <w:tcW w:w="7078" w:type="dxa"/>
            <w:tcBorders>
              <w:top w:val="nil"/>
              <w:bottom w:val="nil"/>
            </w:tcBorders>
          </w:tcPr>
          <w:p w:rsidR="00D42228" w:rsidRPr="003256DE" w:rsidRDefault="00D42228" w:rsidP="001D364C">
            <w:pPr>
              <w:jc w:val="left"/>
              <w:rPr>
                <w:rFonts w:cs="Times New Roman"/>
                <w:sz w:val="18"/>
                <w:szCs w:val="18"/>
              </w:rPr>
            </w:pPr>
            <w:r w:rsidRPr="003256DE">
              <w:rPr>
                <w:rFonts w:cs="Times New Roman"/>
                <w:sz w:val="18"/>
                <w:szCs w:val="18"/>
              </w:rPr>
              <w:t>Funciones</w:t>
            </w:r>
          </w:p>
        </w:tc>
      </w:tr>
      <w:tr w:rsidR="00D42228" w:rsidRPr="003256DE" w:rsidTr="006341B5">
        <w:trPr>
          <w:trHeight w:val="898"/>
        </w:trPr>
        <w:tc>
          <w:tcPr>
            <w:tcW w:w="1535" w:type="dxa"/>
            <w:vMerge/>
            <w:shd w:val="clear" w:color="auto" w:fill="438086" w:themeFill="accent2"/>
          </w:tcPr>
          <w:p w:rsidR="00D42228" w:rsidRPr="003256DE" w:rsidRDefault="00D42228" w:rsidP="00914D8C">
            <w:pPr>
              <w:jc w:val="center"/>
              <w:rPr>
                <w:rFonts w:cs="Times New Roman"/>
                <w:b/>
                <w:color w:val="FFFFFF"/>
                <w:sz w:val="18"/>
                <w:szCs w:val="18"/>
              </w:rPr>
            </w:pPr>
          </w:p>
        </w:tc>
        <w:tc>
          <w:tcPr>
            <w:tcW w:w="7078" w:type="dxa"/>
            <w:tcBorders>
              <w:top w:val="nil"/>
            </w:tcBorders>
          </w:tcPr>
          <w:p w:rsidR="00D42228" w:rsidRPr="00D42228" w:rsidRDefault="00D42228" w:rsidP="00D42228">
            <w:pPr>
              <w:jc w:val="left"/>
              <w:rPr>
                <w:rFonts w:cs="Times New Roman"/>
                <w:sz w:val="18"/>
                <w:szCs w:val="18"/>
              </w:rPr>
            </w:pPr>
            <w:r w:rsidRPr="00D42228">
              <w:rPr>
                <w:rFonts w:cs="Times New Roman"/>
                <w:sz w:val="18"/>
                <w:szCs w:val="18"/>
              </w:rPr>
              <w:t>Descripción estructura organizativa</w:t>
            </w:r>
          </w:p>
          <w:p w:rsidR="00D42228" w:rsidRPr="00D42228" w:rsidRDefault="00D42228" w:rsidP="00D42228">
            <w:pPr>
              <w:jc w:val="left"/>
              <w:rPr>
                <w:rFonts w:cs="Times New Roman"/>
                <w:sz w:val="18"/>
                <w:szCs w:val="18"/>
              </w:rPr>
            </w:pPr>
            <w:r w:rsidRPr="00D42228">
              <w:rPr>
                <w:rFonts w:cs="Times New Roman"/>
                <w:sz w:val="18"/>
                <w:szCs w:val="18"/>
              </w:rPr>
              <w:t>Organigrama</w:t>
            </w:r>
          </w:p>
          <w:p w:rsidR="00D42228" w:rsidRPr="00D42228" w:rsidRDefault="00D42228" w:rsidP="00D42228">
            <w:pPr>
              <w:jc w:val="left"/>
              <w:rPr>
                <w:rFonts w:cs="Times New Roman"/>
                <w:sz w:val="18"/>
                <w:szCs w:val="18"/>
              </w:rPr>
            </w:pPr>
            <w:r w:rsidRPr="00D42228">
              <w:rPr>
                <w:rFonts w:cs="Times New Roman"/>
                <w:sz w:val="18"/>
                <w:szCs w:val="18"/>
              </w:rPr>
              <w:t>Identificación Responsables</w:t>
            </w:r>
          </w:p>
          <w:p w:rsidR="00914D8C" w:rsidRPr="003256DE" w:rsidRDefault="00D42228" w:rsidP="006341B5">
            <w:pPr>
              <w:jc w:val="left"/>
              <w:rPr>
                <w:rFonts w:cs="Times New Roman"/>
                <w:sz w:val="18"/>
                <w:szCs w:val="18"/>
              </w:rPr>
            </w:pPr>
            <w:r w:rsidRPr="00D42228">
              <w:rPr>
                <w:rFonts w:cs="Times New Roman"/>
                <w:sz w:val="18"/>
                <w:szCs w:val="18"/>
              </w:rPr>
              <w:t>Perfil y trayectoria profesional responsables</w:t>
            </w:r>
          </w:p>
        </w:tc>
      </w:tr>
      <w:tr w:rsidR="00914D8C" w:rsidRPr="003256DE" w:rsidTr="00914D8C">
        <w:trPr>
          <w:trHeight w:val="1776"/>
        </w:trPr>
        <w:tc>
          <w:tcPr>
            <w:tcW w:w="1535" w:type="dxa"/>
            <w:shd w:val="clear" w:color="auto" w:fill="438086" w:themeFill="accent2"/>
            <w:textDirection w:val="btLr"/>
          </w:tcPr>
          <w:p w:rsidR="00914D8C" w:rsidRDefault="00914D8C" w:rsidP="00914D8C">
            <w:pPr>
              <w:ind w:left="113" w:right="113"/>
              <w:jc w:val="center"/>
              <w:rPr>
                <w:rFonts w:cs="Times New Roman"/>
                <w:b/>
                <w:color w:val="FFFFFF"/>
                <w:sz w:val="18"/>
                <w:szCs w:val="18"/>
              </w:rPr>
            </w:pPr>
            <w:r w:rsidRPr="003256DE">
              <w:rPr>
                <w:rFonts w:cs="Times New Roman"/>
                <w:b/>
                <w:color w:val="FFFFFF"/>
                <w:sz w:val="18"/>
                <w:szCs w:val="18"/>
              </w:rPr>
              <w:t>Económica, Presupuestaria</w:t>
            </w:r>
          </w:p>
          <w:p w:rsidR="00914D8C" w:rsidRPr="003256DE" w:rsidRDefault="00914D8C" w:rsidP="00914D8C">
            <w:pPr>
              <w:ind w:left="113" w:right="113"/>
              <w:jc w:val="center"/>
              <w:rPr>
                <w:rFonts w:cs="Times New Roman"/>
                <w:b/>
                <w:color w:val="FFFFFF"/>
                <w:sz w:val="18"/>
                <w:szCs w:val="18"/>
              </w:rPr>
            </w:pPr>
            <w:r w:rsidRPr="003256DE">
              <w:rPr>
                <w:rFonts w:cs="Times New Roman"/>
                <w:b/>
                <w:color w:val="FFFFFF"/>
                <w:sz w:val="18"/>
                <w:szCs w:val="18"/>
              </w:rPr>
              <w:t>y Estadística</w:t>
            </w:r>
          </w:p>
        </w:tc>
        <w:tc>
          <w:tcPr>
            <w:tcW w:w="7078" w:type="dxa"/>
          </w:tcPr>
          <w:p w:rsidR="00914D8C" w:rsidRPr="003256DE" w:rsidRDefault="00914D8C" w:rsidP="00914D8C">
            <w:pPr>
              <w:jc w:val="left"/>
              <w:rPr>
                <w:rFonts w:cs="Times New Roman"/>
                <w:sz w:val="18"/>
                <w:szCs w:val="18"/>
              </w:rPr>
            </w:pPr>
            <w:r w:rsidRPr="003256DE">
              <w:rPr>
                <w:rFonts w:cs="Times New Roman"/>
                <w:sz w:val="18"/>
                <w:szCs w:val="18"/>
              </w:rPr>
              <w:t xml:space="preserve">Contratos </w:t>
            </w:r>
            <w:r>
              <w:rPr>
                <w:rFonts w:cs="Times New Roman"/>
                <w:sz w:val="18"/>
                <w:szCs w:val="18"/>
              </w:rPr>
              <w:t>adjudicados por administraciones públicas</w:t>
            </w:r>
          </w:p>
          <w:p w:rsidR="00914D8C" w:rsidRPr="00914D8C" w:rsidRDefault="00914D8C" w:rsidP="00914D8C">
            <w:pPr>
              <w:jc w:val="left"/>
              <w:rPr>
                <w:rFonts w:cs="Times New Roman"/>
                <w:sz w:val="18"/>
                <w:szCs w:val="18"/>
              </w:rPr>
            </w:pPr>
            <w:r w:rsidRPr="00914D8C">
              <w:rPr>
                <w:rFonts w:cs="Times New Roman"/>
                <w:sz w:val="18"/>
                <w:szCs w:val="18"/>
              </w:rPr>
              <w:t>Contratos Menores adjudicados por administraciones públicas</w:t>
            </w:r>
          </w:p>
          <w:p w:rsidR="00914D8C" w:rsidRPr="00914D8C" w:rsidRDefault="00914D8C" w:rsidP="00914D8C">
            <w:pPr>
              <w:jc w:val="left"/>
              <w:rPr>
                <w:rFonts w:cs="Times New Roman"/>
                <w:sz w:val="18"/>
                <w:szCs w:val="18"/>
              </w:rPr>
            </w:pPr>
            <w:r w:rsidRPr="00914D8C">
              <w:rPr>
                <w:rFonts w:cs="Times New Roman"/>
                <w:sz w:val="18"/>
                <w:szCs w:val="18"/>
              </w:rPr>
              <w:t>Relación de los convenios suscritos con administraciones públicas</w:t>
            </w:r>
          </w:p>
          <w:p w:rsidR="00914D8C" w:rsidRPr="00914D8C" w:rsidRDefault="00914D8C" w:rsidP="00914D8C">
            <w:pPr>
              <w:jc w:val="left"/>
              <w:rPr>
                <w:rFonts w:cs="Times New Roman"/>
                <w:sz w:val="18"/>
                <w:szCs w:val="18"/>
              </w:rPr>
            </w:pPr>
            <w:r w:rsidRPr="00914D8C">
              <w:rPr>
                <w:rFonts w:cs="Times New Roman"/>
                <w:sz w:val="18"/>
                <w:szCs w:val="18"/>
              </w:rPr>
              <w:t>Subvenciones y ayudas públicas percibidas</w:t>
            </w:r>
          </w:p>
          <w:p w:rsidR="00914D8C" w:rsidRPr="00914D8C" w:rsidRDefault="00914D8C" w:rsidP="00914D8C">
            <w:pPr>
              <w:jc w:val="left"/>
              <w:rPr>
                <w:rFonts w:cs="Times New Roman"/>
                <w:sz w:val="18"/>
                <w:szCs w:val="18"/>
              </w:rPr>
            </w:pPr>
            <w:r w:rsidRPr="00914D8C">
              <w:rPr>
                <w:rFonts w:cs="Times New Roman"/>
                <w:sz w:val="18"/>
                <w:szCs w:val="18"/>
              </w:rPr>
              <w:t>Presupuestos</w:t>
            </w:r>
          </w:p>
          <w:p w:rsidR="00914D8C" w:rsidRPr="00914D8C" w:rsidRDefault="00914D8C" w:rsidP="00914D8C">
            <w:pPr>
              <w:jc w:val="left"/>
              <w:rPr>
                <w:rFonts w:cs="Times New Roman"/>
                <w:sz w:val="18"/>
                <w:szCs w:val="18"/>
              </w:rPr>
            </w:pPr>
            <w:r w:rsidRPr="00914D8C">
              <w:rPr>
                <w:rFonts w:cs="Times New Roman"/>
                <w:sz w:val="18"/>
                <w:szCs w:val="18"/>
              </w:rPr>
              <w:t>Cuentas anuales</w:t>
            </w:r>
          </w:p>
          <w:p w:rsidR="00914D8C" w:rsidRPr="00914D8C" w:rsidRDefault="00914D8C" w:rsidP="00914D8C">
            <w:pPr>
              <w:jc w:val="left"/>
              <w:rPr>
                <w:rFonts w:cs="Times New Roman"/>
                <w:sz w:val="18"/>
                <w:szCs w:val="18"/>
              </w:rPr>
            </w:pPr>
            <w:r w:rsidRPr="00914D8C">
              <w:rPr>
                <w:rFonts w:cs="Times New Roman"/>
                <w:sz w:val="18"/>
                <w:szCs w:val="18"/>
              </w:rPr>
              <w:t xml:space="preserve">Informes de auditoría de cuentas </w:t>
            </w:r>
          </w:p>
          <w:p w:rsidR="00914D8C" w:rsidRPr="003256DE" w:rsidRDefault="00914D8C" w:rsidP="00914D8C">
            <w:pPr>
              <w:jc w:val="left"/>
              <w:rPr>
                <w:rFonts w:cs="Times New Roman"/>
                <w:sz w:val="18"/>
                <w:szCs w:val="18"/>
              </w:rPr>
            </w:pPr>
            <w:r w:rsidRPr="00914D8C">
              <w:rPr>
                <w:rFonts w:cs="Times New Roman"/>
                <w:sz w:val="18"/>
                <w:szCs w:val="18"/>
              </w:rPr>
              <w:t>Retribuciones anuales de los máximos responsables</w:t>
            </w:r>
          </w:p>
        </w:tc>
      </w:tr>
    </w:tbl>
    <w:p w:rsidR="001D364C" w:rsidRDefault="001D364C" w:rsidP="00CE43A8"/>
    <w:p w:rsidR="00E719EF" w:rsidRDefault="00F07996" w:rsidP="00E719EF">
      <w:r w:rsidRPr="00F07996">
        <w:t xml:space="preserve">Además pueden existir ámbitos en los que </w:t>
      </w:r>
      <w:r w:rsidR="009417A3">
        <w:t>una</w:t>
      </w:r>
      <w:r w:rsidRPr="00F07996">
        <w:t xml:space="preserve"> </w:t>
      </w:r>
      <w:r w:rsidR="009417A3">
        <w:t>entidad concreta</w:t>
      </w:r>
      <w:r w:rsidRPr="00F07996">
        <w:t xml:space="preserve"> carezca de competencias para desarrollar las actividades a las que se refiere una determinada obligación de publicidad activa o </w:t>
      </w:r>
      <w:r w:rsidR="00F12288">
        <w:t xml:space="preserve">suceder </w:t>
      </w:r>
      <w:r w:rsidRPr="00F07996">
        <w:t>que</w:t>
      </w:r>
      <w:r w:rsidR="00F12288">
        <w:t>,</w:t>
      </w:r>
      <w:r w:rsidRPr="00F07996">
        <w:t xml:space="preserve"> en un ámbito concreto</w:t>
      </w:r>
      <w:r w:rsidR="00F12288">
        <w:t>,</w:t>
      </w:r>
      <w:r w:rsidRPr="00F07996">
        <w:t xml:space="preserve"> no haya existido actividad –por ejemplo, que no se haya </w:t>
      </w:r>
      <w:r w:rsidR="006341B5">
        <w:t>suscrito</w:t>
      </w:r>
      <w:r w:rsidRPr="00F07996">
        <w:t xml:space="preserve"> ningún convenio de colaborac</w:t>
      </w:r>
      <w:r w:rsidR="00914D8C">
        <w:t>ión</w:t>
      </w:r>
      <w:r w:rsidR="006341B5">
        <w:t xml:space="preserve"> con administraciones públicas</w:t>
      </w:r>
      <w:r w:rsidRPr="00F07996">
        <w:t>.</w:t>
      </w:r>
    </w:p>
    <w:p w:rsidR="005F586A" w:rsidRPr="00077CDF" w:rsidRDefault="000B5A54" w:rsidP="00E719EF">
      <w:pPr>
        <w:pStyle w:val="Ttulo1"/>
      </w:pPr>
      <w:bookmarkStart w:id="4" w:name="_Toc120521809"/>
      <w:r w:rsidRPr="00E719EF">
        <w:rPr>
          <w:rStyle w:val="Ttulo1Car"/>
        </w:rPr>
        <w:t xml:space="preserve">III. </w:t>
      </w:r>
      <w:r w:rsidR="005F586A" w:rsidRPr="00E719EF">
        <w:rPr>
          <w:rStyle w:val="Ttulo1Car"/>
        </w:rPr>
        <w:t>Evaluación del cumplimiento de las obligaciones de publicidad activa</w:t>
      </w:r>
      <w:r w:rsidR="00090A3E" w:rsidRPr="00E719EF">
        <w:rPr>
          <w:rStyle w:val="Ttulo1Car"/>
        </w:rPr>
        <w:t xml:space="preserve"> por parte de las </w:t>
      </w:r>
      <w:r w:rsidR="00196E57" w:rsidRPr="00E719EF">
        <w:rPr>
          <w:rStyle w:val="Ttulo1Car"/>
        </w:rPr>
        <w:t xml:space="preserve">entidades </w:t>
      </w:r>
      <w:r w:rsidR="00D37A2F">
        <w:rPr>
          <w:rStyle w:val="Ttulo1Car"/>
        </w:rPr>
        <w:t>perceptoras de subvenciones y ayudas públicas</w:t>
      </w:r>
      <w:r w:rsidR="00090A3E" w:rsidRPr="00077CDF">
        <w:t>.</w:t>
      </w:r>
      <w:bookmarkEnd w:id="4"/>
    </w:p>
    <w:p w:rsidR="005F586A" w:rsidRDefault="005F586A" w:rsidP="005F586A"/>
    <w:p w:rsidR="005F586A" w:rsidRDefault="000B5A54" w:rsidP="00077CDF">
      <w:pPr>
        <w:pStyle w:val="Ttulo2"/>
      </w:pPr>
      <w:bookmarkStart w:id="5" w:name="_Toc120521810"/>
      <w:r>
        <w:t>III.</w:t>
      </w:r>
      <w:r w:rsidR="00077CDF">
        <w:t>1</w:t>
      </w:r>
      <w:r>
        <w:t xml:space="preserve"> </w:t>
      </w:r>
      <w:r w:rsidR="00513EC7">
        <w:t>Localización y estructuración de la información</w:t>
      </w:r>
      <w:bookmarkEnd w:id="5"/>
    </w:p>
    <w:p w:rsidR="00513EC7" w:rsidRDefault="00513EC7" w:rsidP="00513EC7"/>
    <w:p w:rsidR="00235A5B" w:rsidRDefault="00E35AFE" w:rsidP="00235A5B">
      <w:r>
        <w:t>La proporción de</w:t>
      </w:r>
      <w:r w:rsidR="00235A5B">
        <w:t xml:space="preserve"> entidades evaluadas </w:t>
      </w:r>
      <w:r>
        <w:t xml:space="preserve">que </w:t>
      </w:r>
      <w:r w:rsidR="00144DA6">
        <w:t>dispone de un</w:t>
      </w:r>
      <w:r w:rsidR="00235A5B">
        <w:t xml:space="preserve"> Portal de Transparencia</w:t>
      </w:r>
      <w:r w:rsidR="00144DA6">
        <w:t xml:space="preserve"> en su web institucional</w:t>
      </w:r>
      <w:r>
        <w:t>, se sitúa en el 40,8%</w:t>
      </w:r>
      <w:r w:rsidR="00235A5B">
        <w:t>.</w:t>
      </w:r>
      <w:r w:rsidR="00144DA6">
        <w:t xml:space="preserve"> De ellas</w:t>
      </w:r>
      <w:r>
        <w:t>,</w:t>
      </w:r>
      <w:r w:rsidR="00144DA6">
        <w:t xml:space="preserve"> </w:t>
      </w:r>
      <w:r>
        <w:t>casi el 55</w:t>
      </w:r>
      <w:r w:rsidR="00144DA6">
        <w:t>% da acceso a este Portal mediante un banner ubicado en un lugar visible de la página principa</w:t>
      </w:r>
      <w:r w:rsidR="00F12288">
        <w:t>l,</w:t>
      </w:r>
      <w:r w:rsidR="00144DA6">
        <w:t xml:space="preserve"> mientras que el </w:t>
      </w:r>
      <w:r>
        <w:t>45</w:t>
      </w:r>
      <w:r w:rsidR="00144DA6">
        <w:t>% restante enlaza a</w:t>
      </w:r>
      <w:r w:rsidR="004856CF">
        <w:t xml:space="preserve"> su</w:t>
      </w:r>
      <w:r w:rsidR="00144DA6">
        <w:t xml:space="preserve"> Portal a través de un link dependiente de alguno de los accesos principales de la página de inicio.  </w:t>
      </w:r>
    </w:p>
    <w:p w:rsidR="00144DA6" w:rsidRDefault="00235A5B" w:rsidP="00235A5B">
      <w:r>
        <w:t>La información se estructura conforme a los bloques de obligaciones en materia de publicidad activa que establece la LTAIBG</w:t>
      </w:r>
      <w:r w:rsidR="00144DA6">
        <w:t xml:space="preserve"> en el </w:t>
      </w:r>
      <w:r w:rsidR="0010181A">
        <w:t>1</w:t>
      </w:r>
      <w:r w:rsidR="00E35AFE">
        <w:t>0,5</w:t>
      </w:r>
      <w:r w:rsidR="00144DA6">
        <w:t xml:space="preserve">% de los casos. Un </w:t>
      </w:r>
      <w:r w:rsidR="00E35AFE">
        <w:t>23,7</w:t>
      </w:r>
      <w:r w:rsidR="00144DA6">
        <w:t xml:space="preserve">% adicional presenta la información obligatoria organizada pero siguiendo un patrón diferente del establecido por la LTAIBG. En los </w:t>
      </w:r>
      <w:r w:rsidR="0010181A">
        <w:t xml:space="preserve">restantes </w:t>
      </w:r>
      <w:r w:rsidR="00144DA6">
        <w:t>casos</w:t>
      </w:r>
      <w:r w:rsidR="00E35AFE">
        <w:t>,</w:t>
      </w:r>
      <w:r w:rsidR="00144DA6">
        <w:t xml:space="preserve"> la información está dispersa y se localiza en diferentes lugares de la web institucional. </w:t>
      </w:r>
    </w:p>
    <w:p w:rsidR="00152FBA" w:rsidRDefault="0010181A" w:rsidP="00235A5B">
      <w:r>
        <w:lastRenderedPageBreak/>
        <w:t xml:space="preserve">Un </w:t>
      </w:r>
      <w:r w:rsidR="00E35AFE">
        <w:t>67,7</w:t>
      </w:r>
      <w:r w:rsidR="00144DA6">
        <w:t>%</w:t>
      </w:r>
      <w:r>
        <w:t xml:space="preserve"> de las entidades que disponen de Portal de Transparencia, </w:t>
      </w:r>
      <w:r w:rsidR="00144DA6">
        <w:t xml:space="preserve">publica </w:t>
      </w:r>
      <w:r w:rsidR="00152FBA">
        <w:t>informaciones sujetas a obligaciones de publicidad activa en otros apartados de su web institucional</w:t>
      </w:r>
      <w:r w:rsidR="00E35AFE">
        <w:t>,</w:t>
      </w:r>
      <w:r w:rsidR="00152FBA">
        <w:t xml:space="preserve"> distintos del </w:t>
      </w:r>
      <w:r w:rsidR="004856CF">
        <w:t>P</w:t>
      </w:r>
      <w:r w:rsidR="00152FBA">
        <w:t>ortal de Transparencia.</w:t>
      </w:r>
    </w:p>
    <w:p w:rsidR="0010181A" w:rsidRDefault="0010181A" w:rsidP="00235A5B">
      <w:r>
        <w:t xml:space="preserve">Las entidades evaluadas </w:t>
      </w:r>
      <w:r w:rsidR="001F4BB6">
        <w:t xml:space="preserve">por primera vez </w:t>
      </w:r>
      <w:r>
        <w:t>en 202</w:t>
      </w:r>
      <w:r w:rsidR="001F4BB6">
        <w:t>1</w:t>
      </w:r>
      <w:r>
        <w:t xml:space="preserve"> disponen de Portal de Transparencia en una proporción más e</w:t>
      </w:r>
      <w:r w:rsidR="00EB2173">
        <w:t>levada que las evaluadas en 2022</w:t>
      </w:r>
      <w:r>
        <w:t xml:space="preserve">: un </w:t>
      </w:r>
      <w:r w:rsidR="001F4BB6">
        <w:t>64,7</w:t>
      </w:r>
      <w:r>
        <w:t xml:space="preserve">% frente al </w:t>
      </w:r>
      <w:r w:rsidR="001F4BB6">
        <w:t>48</w:t>
      </w:r>
      <w:r>
        <w:t xml:space="preserve">%. </w:t>
      </w:r>
      <w:r w:rsidR="001F4BB6">
        <w:t>Sin embargo,</w:t>
      </w:r>
      <w:r>
        <w:t xml:space="preserve"> es más frecuente que las entidades evaluadas </w:t>
      </w:r>
      <w:r w:rsidR="001F4BB6">
        <w:t>por primera vez en 2022</w:t>
      </w:r>
      <w:r>
        <w:t xml:space="preserve"> </w:t>
      </w:r>
      <w:r w:rsidR="001F4BB6">
        <w:t xml:space="preserve">que disponen de Portal de Transparencia, </w:t>
      </w:r>
      <w:r>
        <w:t>ordenen la información contenida en el Portal conforme al patrón de la LTAIBG y que publiquen todas sus informaciones obligatorias en el Portal de Transparencia</w:t>
      </w:r>
      <w:r w:rsidR="001F4BB6">
        <w:t>.</w:t>
      </w:r>
    </w:p>
    <w:p w:rsidR="00513EC7" w:rsidRDefault="00984881" w:rsidP="00984881">
      <w:pPr>
        <w:pStyle w:val="Ttulo2"/>
      </w:pPr>
      <w:bookmarkStart w:id="6" w:name="_Toc120521811"/>
      <w:r>
        <w:t>III</w:t>
      </w:r>
      <w:r w:rsidR="000B5A54">
        <w:t>.</w:t>
      </w:r>
      <w:r>
        <w:t>2</w:t>
      </w:r>
      <w:r w:rsidR="000B5A54">
        <w:t xml:space="preserve">. </w:t>
      </w:r>
      <w:r w:rsidR="00E924EF">
        <w:t>Cumplimiento de las o</w:t>
      </w:r>
      <w:r w:rsidR="00513EC7">
        <w:t>bligaciones de publicidad activa</w:t>
      </w:r>
      <w:bookmarkEnd w:id="6"/>
    </w:p>
    <w:p w:rsidR="0010181A" w:rsidRDefault="0010181A" w:rsidP="0010181A"/>
    <w:p w:rsidR="0010181A" w:rsidRDefault="0010181A" w:rsidP="0010181A">
      <w:pPr>
        <w:pStyle w:val="Ttulo3"/>
      </w:pPr>
      <w:bookmarkStart w:id="7" w:name="_Toc120521812"/>
      <w:r>
        <w:t>III.2.1.  Aplicación de las recomendaciones derivadas de la evaluación 2020.</w:t>
      </w:r>
      <w:bookmarkEnd w:id="7"/>
      <w:r>
        <w:t xml:space="preserve"> </w:t>
      </w:r>
    </w:p>
    <w:p w:rsidR="0010181A" w:rsidRDefault="0010181A" w:rsidP="0010181A"/>
    <w:p w:rsidR="0010181A" w:rsidRDefault="0010181A" w:rsidP="0010181A">
      <w:r>
        <w:t>En 202</w:t>
      </w:r>
      <w:r w:rsidR="00C061D5">
        <w:t>1</w:t>
      </w:r>
      <w:r>
        <w:t xml:space="preserve"> se efectuaron </w:t>
      </w:r>
      <w:r w:rsidR="00C061D5">
        <w:t>592</w:t>
      </w:r>
      <w:r w:rsidR="009A6396">
        <w:t xml:space="preserve"> </w:t>
      </w:r>
      <w:r>
        <w:t xml:space="preserve"> recomendaciones a las </w:t>
      </w:r>
      <w:r w:rsidR="00C061D5">
        <w:t>51</w:t>
      </w:r>
      <w:r>
        <w:t xml:space="preserve"> </w:t>
      </w:r>
      <w:r w:rsidR="009A6396">
        <w:t>entidades</w:t>
      </w:r>
      <w:r>
        <w:t xml:space="preserve"> evaluadas ese año. En promedio se realizaron casi </w:t>
      </w:r>
      <w:r w:rsidR="00C061D5">
        <w:t>12</w:t>
      </w:r>
      <w:r>
        <w:t xml:space="preserve"> recomendaciones por </w:t>
      </w:r>
      <w:r w:rsidR="009A6396">
        <w:t>entidad</w:t>
      </w:r>
      <w:r>
        <w:t xml:space="preserve">. De ellas se ha aplicado un total de </w:t>
      </w:r>
      <w:r w:rsidR="00C061D5">
        <w:t>60</w:t>
      </w:r>
      <w:r>
        <w:t xml:space="preserve">, lo que supone un </w:t>
      </w:r>
      <w:r w:rsidR="00C061D5">
        <w:t>10,1</w:t>
      </w:r>
      <w:r>
        <w:t xml:space="preserve">% del total. Un </w:t>
      </w:r>
      <w:r w:rsidR="00C061D5">
        <w:t>68,6</w:t>
      </w:r>
      <w:r w:rsidR="009A6396">
        <w:t>%</w:t>
      </w:r>
      <w:r>
        <w:t xml:space="preserve"> de las entidades evaluadas no aplic</w:t>
      </w:r>
      <w:r w:rsidR="009A6396">
        <w:t>ó</w:t>
      </w:r>
      <w:r>
        <w:t xml:space="preserve"> ninguna de las recomendaciones</w:t>
      </w:r>
      <w:r w:rsidR="009A6396">
        <w:t xml:space="preserve"> efectuadas</w:t>
      </w:r>
      <w:r>
        <w:t>.</w:t>
      </w:r>
    </w:p>
    <w:p w:rsidR="009A6396" w:rsidRPr="00800423" w:rsidRDefault="009A6396" w:rsidP="009A6396">
      <w:pPr>
        <w:rPr>
          <w:b/>
          <w:color w:val="438086" w:themeColor="accent2"/>
          <w:szCs w:val="22"/>
        </w:rPr>
      </w:pPr>
      <w:r w:rsidRPr="00800423">
        <w:rPr>
          <w:b/>
          <w:color w:val="438086" w:themeColor="accent2"/>
          <w:szCs w:val="22"/>
        </w:rPr>
        <w:t xml:space="preserve">Gráfico </w:t>
      </w:r>
      <w:r w:rsidRPr="00800423">
        <w:rPr>
          <w:b/>
          <w:color w:val="438086" w:themeColor="accent2"/>
          <w:szCs w:val="22"/>
        </w:rPr>
        <w:fldChar w:fldCharType="begin"/>
      </w:r>
      <w:r w:rsidRPr="00800423">
        <w:rPr>
          <w:b/>
          <w:color w:val="438086" w:themeColor="accent2"/>
          <w:szCs w:val="22"/>
        </w:rPr>
        <w:instrText xml:space="preserve"> SEQ Gráfico \* ARABIC </w:instrText>
      </w:r>
      <w:r w:rsidRPr="00800423">
        <w:rPr>
          <w:b/>
          <w:color w:val="438086" w:themeColor="accent2"/>
          <w:szCs w:val="22"/>
        </w:rPr>
        <w:fldChar w:fldCharType="separate"/>
      </w:r>
      <w:r w:rsidR="00D37A2F">
        <w:rPr>
          <w:b/>
          <w:noProof/>
          <w:color w:val="438086" w:themeColor="accent2"/>
          <w:szCs w:val="22"/>
        </w:rPr>
        <w:t>1</w:t>
      </w:r>
      <w:r w:rsidRPr="00800423">
        <w:rPr>
          <w:b/>
          <w:color w:val="438086" w:themeColor="accent2"/>
          <w:szCs w:val="22"/>
        </w:rPr>
        <w:fldChar w:fldCharType="end"/>
      </w:r>
      <w:r w:rsidRPr="00800423">
        <w:rPr>
          <w:b/>
          <w:color w:val="438086" w:themeColor="accent2"/>
          <w:szCs w:val="22"/>
        </w:rPr>
        <w:t>: Grado de aplicación de las recomendaciones derivadas de la evaluación 202</w:t>
      </w:r>
      <w:r w:rsidR="00C061D5">
        <w:rPr>
          <w:b/>
          <w:color w:val="438086" w:themeColor="accent2"/>
          <w:szCs w:val="22"/>
        </w:rPr>
        <w:t>1</w:t>
      </w:r>
      <w:r w:rsidRPr="00800423">
        <w:rPr>
          <w:b/>
          <w:color w:val="438086" w:themeColor="accent2"/>
          <w:szCs w:val="22"/>
        </w:rPr>
        <w:t>.</w:t>
      </w:r>
    </w:p>
    <w:p w:rsidR="009A6396" w:rsidRDefault="009A6396" w:rsidP="00984881">
      <w:pPr>
        <w:pStyle w:val="Ttulo3"/>
      </w:pPr>
    </w:p>
    <w:p w:rsidR="009A6396" w:rsidRDefault="00C061D5" w:rsidP="00984881">
      <w:pPr>
        <w:pStyle w:val="Ttulo3"/>
      </w:pPr>
      <w:bookmarkStart w:id="8" w:name="_Toc120521813"/>
      <w:r>
        <w:rPr>
          <w:noProof/>
        </w:rPr>
        <w:drawing>
          <wp:inline distT="0" distB="0" distL="0" distR="0" wp14:anchorId="407D3CE8" wp14:editId="65A35943">
            <wp:extent cx="5741582" cy="2456121"/>
            <wp:effectExtent l="0" t="0" r="12065" b="2095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End w:id="8"/>
    </w:p>
    <w:p w:rsidR="009A6396" w:rsidRDefault="009A6396" w:rsidP="00984881">
      <w:pPr>
        <w:pStyle w:val="Ttulo3"/>
      </w:pPr>
    </w:p>
    <w:p w:rsidR="00513EC7" w:rsidRDefault="000B5A54" w:rsidP="00984881">
      <w:pPr>
        <w:pStyle w:val="Ttulo3"/>
      </w:pPr>
      <w:bookmarkStart w:id="9" w:name="_Toc120521814"/>
      <w:r>
        <w:t>III.</w:t>
      </w:r>
      <w:r w:rsidR="00984881">
        <w:t>2</w:t>
      </w:r>
      <w:r>
        <w:t>.</w:t>
      </w:r>
      <w:r w:rsidR="00D249F3">
        <w:t>2</w:t>
      </w:r>
      <w:r>
        <w:t xml:space="preserve">.  </w:t>
      </w:r>
      <w:r w:rsidR="00513EC7">
        <w:t>Información Institucional, Organizativa y de Planificación</w:t>
      </w:r>
      <w:bookmarkEnd w:id="9"/>
    </w:p>
    <w:p w:rsidR="00513EC7" w:rsidRDefault="00513EC7" w:rsidP="00513EC7">
      <w:pPr>
        <w:pStyle w:val="Ttulo4"/>
        <w:rPr>
          <w:i w:val="0"/>
        </w:rPr>
      </w:pPr>
    </w:p>
    <w:p w:rsidR="00152FBA" w:rsidRDefault="00F23B80" w:rsidP="00152FBA">
      <w:r>
        <w:t>En promedio se publica</w:t>
      </w:r>
      <w:r w:rsidR="00984881">
        <w:t xml:space="preserve"> </w:t>
      </w:r>
      <w:r w:rsidR="00100FDC">
        <w:t xml:space="preserve">el </w:t>
      </w:r>
      <w:r w:rsidR="00B54BF2">
        <w:t>58,3</w:t>
      </w:r>
      <w:r w:rsidR="00100FDC">
        <w:t>%</w:t>
      </w:r>
      <w:r>
        <w:t xml:space="preserve"> de las informaciones obligatorias</w:t>
      </w:r>
      <w:r w:rsidR="005C658E">
        <w:t xml:space="preserve"> de este bloque</w:t>
      </w:r>
      <w:r>
        <w:t xml:space="preserve">, con un rango de variación de entre el </w:t>
      </w:r>
      <w:r w:rsidR="009A6396">
        <w:t>10</w:t>
      </w:r>
      <w:r>
        <w:t xml:space="preserve"> y el </w:t>
      </w:r>
      <w:r w:rsidR="009A6396">
        <w:t>6</w:t>
      </w:r>
      <w:r w:rsidR="00BB5FFF">
        <w:t>0</w:t>
      </w:r>
      <w:r>
        <w:t>%.</w:t>
      </w:r>
    </w:p>
    <w:p w:rsidR="00C21873" w:rsidRDefault="00C21873" w:rsidP="00152FBA">
      <w:r>
        <w:lastRenderedPageBreak/>
        <w:t>Respecto de 2021, se produce una reducción de la proporción de contenidos obligatorios publicados de 7 puntos porcentuales (en adelante, p.p.)</w:t>
      </w:r>
    </w:p>
    <w:p w:rsidR="00B54BF2" w:rsidRDefault="00B54BF2" w:rsidP="00B54BF2">
      <w:r>
        <w:t xml:space="preserve">Existen diferencias en cuanto a la proporción de contenidos obligatorios que publican un grupo u otro de entidades. </w:t>
      </w:r>
      <w:r w:rsidR="00C21873">
        <w:t xml:space="preserve">A diferencia de lo ocurrido en los años 2020 y 2021, las entidades evaluadas en 2022 por primera vez, publican en mayor proporción las informaciones obligatorias correspondientes a este bloque de obligaciones de publicidad activa. </w:t>
      </w:r>
    </w:p>
    <w:p w:rsidR="00D37A2F" w:rsidRPr="00D37A2F" w:rsidRDefault="00D37A2F" w:rsidP="00D37A2F">
      <w:pPr>
        <w:pStyle w:val="Epgrafe"/>
        <w:keepNext/>
        <w:rPr>
          <w:bCs w:val="0"/>
          <w:color w:val="438086" w:themeColor="accent2"/>
          <w:sz w:val="22"/>
          <w:szCs w:val="22"/>
        </w:rPr>
      </w:pPr>
      <w:r w:rsidRPr="00D37A2F">
        <w:rPr>
          <w:bCs w:val="0"/>
          <w:color w:val="438086" w:themeColor="accent2"/>
          <w:sz w:val="22"/>
          <w:szCs w:val="22"/>
        </w:rPr>
        <w:t xml:space="preserve">Gráfico </w:t>
      </w:r>
      <w:r w:rsidRPr="00D37A2F">
        <w:rPr>
          <w:bCs w:val="0"/>
          <w:color w:val="438086" w:themeColor="accent2"/>
          <w:sz w:val="22"/>
          <w:szCs w:val="22"/>
        </w:rPr>
        <w:fldChar w:fldCharType="begin"/>
      </w:r>
      <w:r w:rsidRPr="00D37A2F">
        <w:rPr>
          <w:bCs w:val="0"/>
          <w:color w:val="438086" w:themeColor="accent2"/>
          <w:sz w:val="22"/>
          <w:szCs w:val="22"/>
        </w:rPr>
        <w:instrText xml:space="preserve"> SEQ Gráfico \* ARABIC </w:instrText>
      </w:r>
      <w:r w:rsidRPr="00D37A2F">
        <w:rPr>
          <w:bCs w:val="0"/>
          <w:color w:val="438086" w:themeColor="accent2"/>
          <w:sz w:val="22"/>
          <w:szCs w:val="22"/>
        </w:rPr>
        <w:fldChar w:fldCharType="separate"/>
      </w:r>
      <w:r w:rsidRPr="00D37A2F">
        <w:rPr>
          <w:bCs w:val="0"/>
          <w:color w:val="438086" w:themeColor="accent2"/>
          <w:sz w:val="22"/>
          <w:szCs w:val="22"/>
        </w:rPr>
        <w:t>2</w:t>
      </w:r>
      <w:r w:rsidRPr="00D37A2F">
        <w:rPr>
          <w:bCs w:val="0"/>
          <w:color w:val="438086" w:themeColor="accent2"/>
          <w:sz w:val="22"/>
          <w:szCs w:val="22"/>
        </w:rPr>
        <w:fldChar w:fldCharType="end"/>
      </w:r>
      <w:r w:rsidRPr="00D37A2F">
        <w:rPr>
          <w:bCs w:val="0"/>
          <w:color w:val="438086" w:themeColor="accent2"/>
          <w:sz w:val="22"/>
          <w:szCs w:val="22"/>
        </w:rPr>
        <w:t>: Proporción de informaciones publicadas según momento de la evaluación (Información Institucional y Organizativa)</w:t>
      </w:r>
    </w:p>
    <w:p w:rsidR="00B54BF2" w:rsidRDefault="00C21873" w:rsidP="00B54BF2">
      <w:r>
        <w:rPr>
          <w:noProof/>
        </w:rPr>
        <w:drawing>
          <wp:inline distT="0" distB="0" distL="0" distR="0" wp14:anchorId="45D33856" wp14:editId="4EFD2B71">
            <wp:extent cx="5773480" cy="2743200"/>
            <wp:effectExtent l="0" t="0" r="17780" b="1905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21873" w:rsidRDefault="00C21873" w:rsidP="00405363"/>
    <w:p w:rsidR="00913792" w:rsidRDefault="00405363" w:rsidP="00405363">
      <w:r>
        <w:t>También se observan diferencias estadísticamente significativas entre los distintos tipos de entidades. Las ONG</w:t>
      </w:r>
      <w:r w:rsidR="00FA5D94">
        <w:t>, las fundaciones privadas</w:t>
      </w:r>
      <w:r>
        <w:t xml:space="preserve"> y </w:t>
      </w:r>
      <w:r w:rsidR="00FA5D94">
        <w:t xml:space="preserve">las </w:t>
      </w:r>
      <w:r>
        <w:t>federaciones deportivas publican una mayor proporción de contenidos que las empresas.</w:t>
      </w:r>
    </w:p>
    <w:p w:rsidR="00FA5D94" w:rsidRDefault="00FA5D94" w:rsidP="00DB52E9">
      <w:pPr>
        <w:pStyle w:val="Epgrafe"/>
        <w:keepNext/>
        <w:rPr>
          <w:bCs w:val="0"/>
          <w:color w:val="438086" w:themeColor="accent2"/>
          <w:sz w:val="22"/>
          <w:szCs w:val="22"/>
        </w:rPr>
      </w:pPr>
    </w:p>
    <w:p w:rsidR="00FA5D94" w:rsidRPr="00FA5D94" w:rsidRDefault="00FA5D94" w:rsidP="00FA5D94"/>
    <w:p w:rsidR="00DB52E9" w:rsidRPr="00DB52E9" w:rsidRDefault="00DB52E9" w:rsidP="00DB52E9">
      <w:pPr>
        <w:pStyle w:val="Epgrafe"/>
        <w:keepNext/>
        <w:rPr>
          <w:bCs w:val="0"/>
          <w:color w:val="438086" w:themeColor="accent2"/>
          <w:sz w:val="22"/>
          <w:szCs w:val="22"/>
        </w:rPr>
      </w:pPr>
      <w:r w:rsidRPr="00DB52E9">
        <w:rPr>
          <w:bCs w:val="0"/>
          <w:color w:val="438086" w:themeColor="accent2"/>
          <w:sz w:val="22"/>
          <w:szCs w:val="22"/>
        </w:rPr>
        <w:lastRenderedPageBreak/>
        <w:t xml:space="preserve">Gráfico </w:t>
      </w:r>
      <w:r w:rsidRPr="00DB52E9">
        <w:rPr>
          <w:bCs w:val="0"/>
          <w:color w:val="438086" w:themeColor="accent2"/>
          <w:sz w:val="22"/>
          <w:szCs w:val="22"/>
        </w:rPr>
        <w:fldChar w:fldCharType="begin"/>
      </w:r>
      <w:r w:rsidRPr="00DB52E9">
        <w:rPr>
          <w:bCs w:val="0"/>
          <w:color w:val="438086" w:themeColor="accent2"/>
          <w:sz w:val="22"/>
          <w:szCs w:val="22"/>
        </w:rPr>
        <w:instrText xml:space="preserve"> SEQ Gráfico \* ARABIC </w:instrText>
      </w:r>
      <w:r w:rsidRPr="00DB52E9">
        <w:rPr>
          <w:bCs w:val="0"/>
          <w:color w:val="438086" w:themeColor="accent2"/>
          <w:sz w:val="22"/>
          <w:szCs w:val="22"/>
        </w:rPr>
        <w:fldChar w:fldCharType="separate"/>
      </w:r>
      <w:r w:rsidR="00D37A2F">
        <w:rPr>
          <w:bCs w:val="0"/>
          <w:noProof/>
          <w:color w:val="438086" w:themeColor="accent2"/>
          <w:sz w:val="22"/>
          <w:szCs w:val="22"/>
        </w:rPr>
        <w:t>3</w:t>
      </w:r>
      <w:r w:rsidRPr="00DB52E9">
        <w:rPr>
          <w:bCs w:val="0"/>
          <w:color w:val="438086" w:themeColor="accent2"/>
          <w:sz w:val="22"/>
          <w:szCs w:val="22"/>
        </w:rPr>
        <w:fldChar w:fldCharType="end"/>
      </w:r>
      <w:r w:rsidRPr="00DB52E9">
        <w:rPr>
          <w:bCs w:val="0"/>
          <w:color w:val="438086" w:themeColor="accent2"/>
          <w:sz w:val="22"/>
          <w:szCs w:val="22"/>
        </w:rPr>
        <w:t>: Porcentaje de contenidos obligatorios publicados según tipología de entidad evaluada</w:t>
      </w:r>
      <w:r w:rsidR="00757000">
        <w:rPr>
          <w:bCs w:val="0"/>
          <w:color w:val="438086" w:themeColor="accent2"/>
          <w:sz w:val="22"/>
          <w:szCs w:val="22"/>
        </w:rPr>
        <w:t xml:space="preserve"> (Información Institucional</w:t>
      </w:r>
      <w:r w:rsidR="00CC223D">
        <w:rPr>
          <w:bCs w:val="0"/>
          <w:color w:val="438086" w:themeColor="accent2"/>
          <w:sz w:val="22"/>
          <w:szCs w:val="22"/>
        </w:rPr>
        <w:t xml:space="preserve"> y</w:t>
      </w:r>
      <w:r w:rsidR="00757000">
        <w:rPr>
          <w:bCs w:val="0"/>
          <w:color w:val="438086" w:themeColor="accent2"/>
          <w:sz w:val="22"/>
          <w:szCs w:val="22"/>
        </w:rPr>
        <w:t xml:space="preserve"> Organizativa).</w:t>
      </w:r>
    </w:p>
    <w:p w:rsidR="00FA5D94" w:rsidRDefault="00FA5D94" w:rsidP="00152FBA">
      <w:r>
        <w:rPr>
          <w:noProof/>
        </w:rPr>
        <w:drawing>
          <wp:inline distT="0" distB="0" distL="0" distR="0" wp14:anchorId="6E53CEC0" wp14:editId="5E3F48A5">
            <wp:extent cx="6007396" cy="2211572"/>
            <wp:effectExtent l="0" t="0" r="12700" b="1778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A25D1" w:rsidRDefault="00F23B80" w:rsidP="00152FBA">
      <w:r>
        <w:t xml:space="preserve">El principal déficit de publicación de contenidos obligatorios se localiza </w:t>
      </w:r>
      <w:r w:rsidR="00BA25D1">
        <w:t>en los organigramas,</w:t>
      </w:r>
      <w:r w:rsidR="00FA5D94">
        <w:t xml:space="preserve"> la descripción de la estructura organizativa,</w:t>
      </w:r>
      <w:r w:rsidR="00CC223D">
        <w:t xml:space="preserve"> la</w:t>
      </w:r>
      <w:r w:rsidR="00BA25D1">
        <w:t xml:space="preserve"> normativa aplicable a la entidad y </w:t>
      </w:r>
      <w:r w:rsidR="00CC223D">
        <w:t xml:space="preserve">el </w:t>
      </w:r>
      <w:r w:rsidR="00BA25D1">
        <w:t xml:space="preserve">perfil y trayectoria profesional de </w:t>
      </w:r>
      <w:r w:rsidR="00D37A2F">
        <w:t>sus</w:t>
      </w:r>
      <w:r w:rsidR="00BA25D1">
        <w:t xml:space="preserve"> máximos responsables.</w:t>
      </w:r>
      <w:r w:rsidR="00F20DF6">
        <w:t xml:space="preserve"> </w:t>
      </w:r>
    </w:p>
    <w:p w:rsidR="00F245CD" w:rsidRDefault="00F245CD" w:rsidP="00152FBA">
      <w:r>
        <w:t xml:space="preserve">Respecto del cumplimiento de los requisitos de calidad de la información que establece la LTAIBG, </w:t>
      </w:r>
      <w:r w:rsidR="003549D0">
        <w:t>el</w:t>
      </w:r>
      <w:r>
        <w:t xml:space="preserve"> principal déficit se localiza en la </w:t>
      </w:r>
      <w:r w:rsidR="00984881">
        <w:t>carencia</w:t>
      </w:r>
      <w:r>
        <w:t xml:space="preserve"> de referencias que permitan conocer si la inform</w:t>
      </w:r>
      <w:r w:rsidR="00841A00">
        <w:t xml:space="preserve">ación publicada está vigente. </w:t>
      </w:r>
      <w:r w:rsidR="003E4333">
        <w:t xml:space="preserve">Tan sólo un </w:t>
      </w:r>
      <w:r w:rsidR="00FA5D94">
        <w:t>15,2</w:t>
      </w:r>
      <w:r w:rsidR="003E4333">
        <w:t>%</w:t>
      </w:r>
      <w:r>
        <w:t xml:space="preserve"> de las informaciones de este bloque de obligaciones</w:t>
      </w:r>
      <w:r w:rsidR="00F12288">
        <w:t>,</w:t>
      </w:r>
      <w:r>
        <w:t xml:space="preserve"> </w:t>
      </w:r>
      <w:r w:rsidR="008220D7">
        <w:t xml:space="preserve">contiene alguna </w:t>
      </w:r>
      <w:r w:rsidR="003E4333">
        <w:t>referencia</w:t>
      </w:r>
      <w:r w:rsidR="008220D7">
        <w:t xml:space="preserve"> sobre la última fecha en que se revisó o actualizó.</w:t>
      </w:r>
    </w:p>
    <w:p w:rsidR="00F23B80" w:rsidRPr="003F10D6" w:rsidRDefault="00F23B80" w:rsidP="005915F6">
      <w:pPr>
        <w:rPr>
          <w:b/>
          <w:color w:val="438086" w:themeColor="accent2"/>
          <w:szCs w:val="22"/>
        </w:rPr>
      </w:pPr>
      <w:r w:rsidRPr="003F10D6">
        <w:rPr>
          <w:b/>
          <w:color w:val="438086" w:themeColor="accent2"/>
          <w:szCs w:val="22"/>
        </w:rPr>
        <w:t xml:space="preserve">Gráfico </w:t>
      </w:r>
      <w:r w:rsidR="005915F6" w:rsidRPr="003F10D6">
        <w:rPr>
          <w:b/>
          <w:color w:val="438086" w:themeColor="accent2"/>
          <w:szCs w:val="22"/>
        </w:rPr>
        <w:fldChar w:fldCharType="begin"/>
      </w:r>
      <w:r w:rsidR="005915F6" w:rsidRPr="003F10D6">
        <w:rPr>
          <w:b/>
          <w:color w:val="438086" w:themeColor="accent2"/>
          <w:szCs w:val="22"/>
        </w:rPr>
        <w:instrText xml:space="preserve"> SEQ Gráfico \* ARABIC </w:instrText>
      </w:r>
      <w:r w:rsidR="005915F6" w:rsidRPr="003F10D6">
        <w:rPr>
          <w:b/>
          <w:color w:val="438086" w:themeColor="accent2"/>
          <w:szCs w:val="22"/>
        </w:rPr>
        <w:fldChar w:fldCharType="separate"/>
      </w:r>
      <w:r w:rsidR="00D37A2F">
        <w:rPr>
          <w:b/>
          <w:noProof/>
          <w:color w:val="438086" w:themeColor="accent2"/>
          <w:szCs w:val="22"/>
        </w:rPr>
        <w:t>4</w:t>
      </w:r>
      <w:r w:rsidR="005915F6" w:rsidRPr="003F10D6">
        <w:rPr>
          <w:b/>
          <w:color w:val="438086" w:themeColor="accent2"/>
          <w:szCs w:val="22"/>
        </w:rPr>
        <w:fldChar w:fldCharType="end"/>
      </w:r>
      <w:r w:rsidRPr="003F10D6">
        <w:rPr>
          <w:b/>
          <w:color w:val="438086" w:themeColor="accent2"/>
          <w:szCs w:val="22"/>
        </w:rPr>
        <w:t>:</w:t>
      </w:r>
      <w:r w:rsidR="00AA2D83" w:rsidRPr="003F10D6">
        <w:rPr>
          <w:b/>
          <w:color w:val="438086" w:themeColor="accent2"/>
          <w:szCs w:val="22"/>
        </w:rPr>
        <w:t xml:space="preserve"> Evaluación de la publicación (contenido) y de los atributos de calidad de información Institucional</w:t>
      </w:r>
      <w:r w:rsidR="00BA25D1">
        <w:rPr>
          <w:b/>
          <w:color w:val="438086" w:themeColor="accent2"/>
          <w:szCs w:val="22"/>
        </w:rPr>
        <w:t xml:space="preserve"> y</w:t>
      </w:r>
      <w:r w:rsidR="00AA2D83" w:rsidRPr="003F10D6">
        <w:rPr>
          <w:b/>
          <w:color w:val="438086" w:themeColor="accent2"/>
          <w:szCs w:val="22"/>
        </w:rPr>
        <w:t xml:space="preserve"> </w:t>
      </w:r>
      <w:r w:rsidR="003F10D6">
        <w:rPr>
          <w:b/>
          <w:color w:val="438086" w:themeColor="accent2"/>
          <w:szCs w:val="22"/>
        </w:rPr>
        <w:t>Organizativa.</w:t>
      </w:r>
      <w:r w:rsidR="00550FCC">
        <w:rPr>
          <w:b/>
          <w:color w:val="438086" w:themeColor="accent2"/>
          <w:szCs w:val="22"/>
        </w:rPr>
        <w:t xml:space="preserve"> </w:t>
      </w:r>
    </w:p>
    <w:p w:rsidR="00F23B80" w:rsidRDefault="00B042DE" w:rsidP="00841A00">
      <w:r>
        <w:rPr>
          <w:noProof/>
        </w:rPr>
        <w:drawing>
          <wp:inline distT="0" distB="0" distL="0" distR="0" wp14:anchorId="67DE14B8" wp14:editId="6ACE6F67">
            <wp:extent cx="5805377" cy="2721935"/>
            <wp:effectExtent l="0" t="0" r="24130" b="2159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549D0" w:rsidRDefault="003549D0" w:rsidP="003549D0">
      <w:r>
        <w:t xml:space="preserve">El grado de cumplimiento medio de este bloque de obligaciones es del </w:t>
      </w:r>
      <w:r w:rsidR="00B042DE">
        <w:t>47,2</w:t>
      </w:r>
      <w:r>
        <w:t xml:space="preserve">% con un rango de variación que oscila entre el </w:t>
      </w:r>
      <w:r w:rsidR="00B95A20">
        <w:t>14,3</w:t>
      </w:r>
      <w:r>
        <w:t xml:space="preserve"> y el </w:t>
      </w:r>
      <w:r w:rsidR="00B042DE">
        <w:t>98,8</w:t>
      </w:r>
      <w:r>
        <w:t>%.</w:t>
      </w:r>
      <w:r w:rsidR="00B042DE">
        <w:t xml:space="preserve"> Respecto de 2021 se </w:t>
      </w:r>
      <w:r w:rsidR="00B042DE">
        <w:lastRenderedPageBreak/>
        <w:t>produce una disminución en el Índice de Cumplimiento de la Información Obligatoria de 5,9 p.p.</w:t>
      </w:r>
    </w:p>
    <w:p w:rsidR="003E4333" w:rsidRDefault="003E4333" w:rsidP="00E719EF">
      <w:r w:rsidRPr="003E4333">
        <w:t xml:space="preserve">Existen diferencias </w:t>
      </w:r>
      <w:r w:rsidR="00B042DE">
        <w:t xml:space="preserve">en el nivel de cumplimiento alcanzado </w:t>
      </w:r>
      <w:r w:rsidR="00B95A20">
        <w:t>según el año en que se produce la primera evaluación – el grado de cumplimiento de las evaluadas en 202</w:t>
      </w:r>
      <w:r w:rsidR="00B042DE">
        <w:t>2</w:t>
      </w:r>
      <w:r w:rsidR="00B95A20">
        <w:t xml:space="preserve"> es más elevado</w:t>
      </w:r>
      <w:r w:rsidR="00B042DE">
        <w:t>: el 54,7% frente al 43,5%</w:t>
      </w:r>
      <w:r w:rsidR="00B95A20">
        <w:t>-</w:t>
      </w:r>
      <w:r w:rsidR="00B042DE">
        <w:t>. Estas diferencias son estadísticamente significativas, si la comparación se efectúa en función de la naturaleza de la entidad evaluada</w:t>
      </w:r>
      <w:r w:rsidR="00B95A20">
        <w:t xml:space="preserve">: las ONG presentan un nivel de cumplimiento significativamente más elevado que las empresas. </w:t>
      </w:r>
    </w:p>
    <w:p w:rsidR="00381193" w:rsidRPr="00381193" w:rsidRDefault="00381193" w:rsidP="00381193">
      <w:pPr>
        <w:pStyle w:val="Epgrafe"/>
        <w:keepNext/>
        <w:rPr>
          <w:color w:val="438086" w:themeColor="accent2"/>
          <w:sz w:val="22"/>
          <w:szCs w:val="22"/>
        </w:rPr>
      </w:pPr>
      <w:r w:rsidRPr="00381193">
        <w:rPr>
          <w:color w:val="438086" w:themeColor="accent2"/>
          <w:sz w:val="22"/>
          <w:szCs w:val="22"/>
        </w:rPr>
        <w:t xml:space="preserve">Gráfico </w:t>
      </w:r>
      <w:r w:rsidRPr="00381193">
        <w:rPr>
          <w:color w:val="438086" w:themeColor="accent2"/>
          <w:sz w:val="22"/>
          <w:szCs w:val="22"/>
        </w:rPr>
        <w:fldChar w:fldCharType="begin"/>
      </w:r>
      <w:r w:rsidRPr="00381193">
        <w:rPr>
          <w:color w:val="438086" w:themeColor="accent2"/>
          <w:sz w:val="22"/>
          <w:szCs w:val="22"/>
        </w:rPr>
        <w:instrText xml:space="preserve"> SEQ Gráfico \* ARABIC </w:instrText>
      </w:r>
      <w:r w:rsidRPr="00381193">
        <w:rPr>
          <w:color w:val="438086" w:themeColor="accent2"/>
          <w:sz w:val="22"/>
          <w:szCs w:val="22"/>
        </w:rPr>
        <w:fldChar w:fldCharType="separate"/>
      </w:r>
      <w:r w:rsidR="00D37A2F">
        <w:rPr>
          <w:noProof/>
          <w:color w:val="438086" w:themeColor="accent2"/>
          <w:sz w:val="22"/>
          <w:szCs w:val="22"/>
        </w:rPr>
        <w:t>5</w:t>
      </w:r>
      <w:r w:rsidRPr="00381193">
        <w:rPr>
          <w:color w:val="438086" w:themeColor="accent2"/>
          <w:sz w:val="22"/>
          <w:szCs w:val="22"/>
        </w:rPr>
        <w:fldChar w:fldCharType="end"/>
      </w:r>
      <w:r w:rsidRPr="00381193">
        <w:rPr>
          <w:color w:val="438086" w:themeColor="accent2"/>
          <w:sz w:val="22"/>
          <w:szCs w:val="22"/>
        </w:rPr>
        <w:t>: Cumplimiento global en el bloque</w:t>
      </w:r>
      <w:r w:rsidR="002D5384">
        <w:rPr>
          <w:color w:val="438086" w:themeColor="accent2"/>
          <w:sz w:val="22"/>
          <w:szCs w:val="22"/>
        </w:rPr>
        <w:t xml:space="preserve"> de informaciones Institucional y</w:t>
      </w:r>
      <w:r w:rsidRPr="00381193">
        <w:rPr>
          <w:color w:val="438086" w:themeColor="accent2"/>
          <w:sz w:val="22"/>
          <w:szCs w:val="22"/>
        </w:rPr>
        <w:t xml:space="preserve"> Organizativa según tipología de </w:t>
      </w:r>
      <w:r w:rsidR="00F5298B">
        <w:rPr>
          <w:color w:val="438086" w:themeColor="accent2"/>
          <w:sz w:val="22"/>
          <w:szCs w:val="22"/>
        </w:rPr>
        <w:t xml:space="preserve">entidad </w:t>
      </w:r>
      <w:r w:rsidRPr="00381193">
        <w:rPr>
          <w:color w:val="438086" w:themeColor="accent2"/>
          <w:sz w:val="22"/>
          <w:szCs w:val="22"/>
        </w:rPr>
        <w:t>evaluad</w:t>
      </w:r>
      <w:r w:rsidR="00F5298B">
        <w:rPr>
          <w:color w:val="438086" w:themeColor="accent2"/>
          <w:sz w:val="22"/>
          <w:szCs w:val="22"/>
        </w:rPr>
        <w:t>a</w:t>
      </w:r>
      <w:r>
        <w:rPr>
          <w:color w:val="438086" w:themeColor="accent2"/>
          <w:sz w:val="22"/>
          <w:szCs w:val="22"/>
        </w:rPr>
        <w:t>.</w:t>
      </w:r>
    </w:p>
    <w:p w:rsidR="00F5298B" w:rsidRDefault="002B7F01" w:rsidP="00AF02EB">
      <w:pPr>
        <w:pStyle w:val="Ttulo3"/>
      </w:pPr>
      <w:bookmarkStart w:id="10" w:name="_Toc120521815"/>
      <w:r>
        <w:rPr>
          <w:noProof/>
        </w:rPr>
        <w:drawing>
          <wp:inline distT="0" distB="0" distL="0" distR="0" wp14:anchorId="559E9838" wp14:editId="40428638">
            <wp:extent cx="5932968" cy="2796363"/>
            <wp:effectExtent l="0" t="0" r="10795" b="2349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End w:id="10"/>
    </w:p>
    <w:p w:rsidR="002B7F01" w:rsidRDefault="002B7F01" w:rsidP="00AF02EB">
      <w:pPr>
        <w:pStyle w:val="Ttulo3"/>
      </w:pPr>
    </w:p>
    <w:p w:rsidR="002B7F01" w:rsidRDefault="002B7F01" w:rsidP="00AF02EB">
      <w:pPr>
        <w:pStyle w:val="Ttulo3"/>
      </w:pPr>
    </w:p>
    <w:p w:rsidR="00513EC7" w:rsidRDefault="00F23BD7" w:rsidP="00AF02EB">
      <w:pPr>
        <w:pStyle w:val="Ttulo3"/>
      </w:pPr>
      <w:bookmarkStart w:id="11" w:name="_Toc120521816"/>
      <w:r>
        <w:t>III.</w:t>
      </w:r>
      <w:r w:rsidR="0047212C">
        <w:t>2</w:t>
      </w:r>
      <w:r>
        <w:t xml:space="preserve">.3.  </w:t>
      </w:r>
      <w:r w:rsidR="00513EC7">
        <w:t>Información Económica, Presupuestaria y Estadística</w:t>
      </w:r>
      <w:bookmarkEnd w:id="11"/>
    </w:p>
    <w:p w:rsidR="00513EC7" w:rsidRDefault="00513EC7" w:rsidP="00513EC7"/>
    <w:p w:rsidR="00DF7C00" w:rsidRDefault="00DF7C00" w:rsidP="00513EC7">
      <w:r>
        <w:t>La proporción de informaciones obligatorias publicadas en este grupo</w:t>
      </w:r>
      <w:r w:rsidR="00E709D2">
        <w:t>,</w:t>
      </w:r>
      <w:r>
        <w:t xml:space="preserve"> disminuye respecto de</w:t>
      </w:r>
      <w:r w:rsidR="004C740B">
        <w:t>l</w:t>
      </w:r>
      <w:r>
        <w:t xml:space="preserve"> bloque</w:t>
      </w:r>
      <w:r w:rsidR="002D5384">
        <w:t xml:space="preserve"> de información Institucional y </w:t>
      </w:r>
      <w:r w:rsidR="004C740B">
        <w:t>Organizativa</w:t>
      </w:r>
      <w:r w:rsidR="00E1322B">
        <w:t xml:space="preserve">, </w:t>
      </w:r>
      <w:r w:rsidR="00463BE8">
        <w:t xml:space="preserve">al situarse en </w:t>
      </w:r>
      <w:r w:rsidR="00E1322B">
        <w:t xml:space="preserve">un </w:t>
      </w:r>
      <w:r w:rsidR="002B7F01">
        <w:t>21,7</w:t>
      </w:r>
      <w:r w:rsidR="00E1322B">
        <w:t>% en promedio</w:t>
      </w:r>
      <w:r w:rsidR="00463BE8">
        <w:t>,</w:t>
      </w:r>
      <w:r w:rsidR="00E1322B">
        <w:t xml:space="preserve"> con un rango de variación de entre el </w:t>
      </w:r>
      <w:r w:rsidR="00033C6B">
        <w:t>0</w:t>
      </w:r>
      <w:r w:rsidR="00E1322B">
        <w:t xml:space="preserve"> y el </w:t>
      </w:r>
      <w:r w:rsidR="00D249F3">
        <w:t>100</w:t>
      </w:r>
      <w:r w:rsidR="00E1322B">
        <w:t>%.</w:t>
      </w:r>
      <w:r w:rsidR="002B7F01">
        <w:t xml:space="preserve"> Respecto de 2021 se produce una reducción de la proporción de contenidos obligatorios publicados de 3,1 p.p.</w:t>
      </w:r>
    </w:p>
    <w:p w:rsidR="00D249F3" w:rsidRDefault="004F7C58" w:rsidP="00513EC7">
      <w:r>
        <w:t xml:space="preserve">Las entidades evaluadas </w:t>
      </w:r>
      <w:r w:rsidR="00EB4694">
        <w:t xml:space="preserve">por primera vez </w:t>
      </w:r>
      <w:r>
        <w:t>en 202</w:t>
      </w:r>
      <w:r w:rsidR="00EB4694">
        <w:t>2,</w:t>
      </w:r>
      <w:r>
        <w:t xml:space="preserve"> publican </w:t>
      </w:r>
      <w:r w:rsidR="00B44631">
        <w:t>una proporción significativamente más elevada de contenidos obligatorios que las evaluadas por primera vez en 2021.</w:t>
      </w:r>
    </w:p>
    <w:p w:rsidR="00D249F3" w:rsidRPr="004F7C58" w:rsidRDefault="00D249F3" w:rsidP="00D249F3">
      <w:pPr>
        <w:pStyle w:val="Epgrafe"/>
        <w:keepNext/>
        <w:rPr>
          <w:color w:val="438086" w:themeColor="accent2"/>
          <w:sz w:val="22"/>
          <w:szCs w:val="22"/>
        </w:rPr>
      </w:pPr>
      <w:r w:rsidRPr="004F7C58">
        <w:rPr>
          <w:color w:val="438086" w:themeColor="accent2"/>
          <w:sz w:val="22"/>
          <w:szCs w:val="22"/>
        </w:rPr>
        <w:lastRenderedPageBreak/>
        <w:t xml:space="preserve">Gráfico </w:t>
      </w:r>
      <w:r w:rsidRPr="004F7C58">
        <w:rPr>
          <w:color w:val="438086" w:themeColor="accent2"/>
          <w:sz w:val="22"/>
          <w:szCs w:val="22"/>
        </w:rPr>
        <w:fldChar w:fldCharType="begin"/>
      </w:r>
      <w:r w:rsidRPr="004F7C58">
        <w:rPr>
          <w:color w:val="438086" w:themeColor="accent2"/>
          <w:sz w:val="22"/>
          <w:szCs w:val="22"/>
        </w:rPr>
        <w:instrText xml:space="preserve"> SEQ Gráfico \* ARABIC </w:instrText>
      </w:r>
      <w:r w:rsidRPr="004F7C58">
        <w:rPr>
          <w:color w:val="438086" w:themeColor="accent2"/>
          <w:sz w:val="22"/>
          <w:szCs w:val="22"/>
        </w:rPr>
        <w:fldChar w:fldCharType="separate"/>
      </w:r>
      <w:r w:rsidR="00D37A2F">
        <w:rPr>
          <w:noProof/>
          <w:color w:val="438086" w:themeColor="accent2"/>
          <w:sz w:val="22"/>
          <w:szCs w:val="22"/>
        </w:rPr>
        <w:t>6</w:t>
      </w:r>
      <w:r w:rsidRPr="004F7C58">
        <w:rPr>
          <w:color w:val="438086" w:themeColor="accent2"/>
          <w:sz w:val="22"/>
          <w:szCs w:val="22"/>
        </w:rPr>
        <w:fldChar w:fldCharType="end"/>
      </w:r>
      <w:r w:rsidR="004F7C58" w:rsidRPr="004F7C58">
        <w:rPr>
          <w:color w:val="438086" w:themeColor="accent2"/>
          <w:sz w:val="22"/>
          <w:szCs w:val="22"/>
        </w:rPr>
        <w:t>: Porcentaje de contenidos obligatorios publicados según momento de la primera evaluación (Información Económica)</w:t>
      </w:r>
    </w:p>
    <w:p w:rsidR="00B44631" w:rsidRDefault="00431486" w:rsidP="00513EC7">
      <w:pPr>
        <w:rPr>
          <w:noProof/>
        </w:rPr>
      </w:pPr>
      <w:r>
        <w:rPr>
          <w:noProof/>
        </w:rPr>
        <w:drawing>
          <wp:inline distT="0" distB="0" distL="0" distR="0" wp14:anchorId="12FABCAB" wp14:editId="73897A08">
            <wp:extent cx="5762847" cy="2456121"/>
            <wp:effectExtent l="0" t="0" r="9525" b="2095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44631" w:rsidRDefault="00B44631" w:rsidP="00513EC7">
      <w:pPr>
        <w:rPr>
          <w:noProof/>
        </w:rPr>
      </w:pPr>
      <w:r>
        <w:rPr>
          <w:noProof/>
        </w:rPr>
        <w:t>Al analizar según tipo de entidad evaluada</w:t>
      </w:r>
      <w:r w:rsidR="00E709D2">
        <w:rPr>
          <w:noProof/>
        </w:rPr>
        <w:t>,</w:t>
      </w:r>
      <w:r>
        <w:rPr>
          <w:noProof/>
        </w:rPr>
        <w:t xml:space="preserve"> se constatan diferencias </w:t>
      </w:r>
      <w:r w:rsidR="00431486">
        <w:rPr>
          <w:noProof/>
        </w:rPr>
        <w:t xml:space="preserve">estadísticamente significativas </w:t>
      </w:r>
      <w:r>
        <w:rPr>
          <w:noProof/>
        </w:rPr>
        <w:t>en cuanto a la proporción de contenidos obligatorios que publican los distintos tipos de entidades.</w:t>
      </w:r>
      <w:r w:rsidR="00431486">
        <w:rPr>
          <w:noProof/>
        </w:rPr>
        <w:t xml:space="preserve"> Las federaciones deportivas publican una proporción de conten</w:t>
      </w:r>
      <w:r w:rsidR="00E709D2">
        <w:rPr>
          <w:noProof/>
        </w:rPr>
        <w:t>id</w:t>
      </w:r>
      <w:r w:rsidR="00431486">
        <w:rPr>
          <w:noProof/>
        </w:rPr>
        <w:t>os obligatorios  significativamente más elevada que las empresas y las asociaciones.</w:t>
      </w:r>
    </w:p>
    <w:p w:rsidR="00757000" w:rsidRPr="00757000" w:rsidRDefault="00757000" w:rsidP="00757000">
      <w:pPr>
        <w:pStyle w:val="Epgrafe"/>
        <w:keepNext/>
        <w:rPr>
          <w:bCs w:val="0"/>
          <w:color w:val="438086" w:themeColor="accent2"/>
          <w:sz w:val="22"/>
          <w:szCs w:val="22"/>
        </w:rPr>
      </w:pPr>
      <w:r w:rsidRPr="00757000">
        <w:rPr>
          <w:bCs w:val="0"/>
          <w:color w:val="438086" w:themeColor="accent2"/>
          <w:sz w:val="22"/>
          <w:szCs w:val="22"/>
        </w:rPr>
        <w:t xml:space="preserve">Gráfico </w:t>
      </w:r>
      <w:r w:rsidRPr="00757000">
        <w:rPr>
          <w:bCs w:val="0"/>
          <w:color w:val="438086" w:themeColor="accent2"/>
          <w:sz w:val="22"/>
          <w:szCs w:val="22"/>
        </w:rPr>
        <w:fldChar w:fldCharType="begin"/>
      </w:r>
      <w:r w:rsidRPr="00757000">
        <w:rPr>
          <w:bCs w:val="0"/>
          <w:color w:val="438086" w:themeColor="accent2"/>
          <w:sz w:val="22"/>
          <w:szCs w:val="22"/>
        </w:rPr>
        <w:instrText xml:space="preserve"> SEQ Gráfico \* ARABIC </w:instrText>
      </w:r>
      <w:r w:rsidRPr="00757000">
        <w:rPr>
          <w:bCs w:val="0"/>
          <w:color w:val="438086" w:themeColor="accent2"/>
          <w:sz w:val="22"/>
          <w:szCs w:val="22"/>
        </w:rPr>
        <w:fldChar w:fldCharType="separate"/>
      </w:r>
      <w:r w:rsidR="00D37A2F">
        <w:rPr>
          <w:bCs w:val="0"/>
          <w:noProof/>
          <w:color w:val="438086" w:themeColor="accent2"/>
          <w:sz w:val="22"/>
          <w:szCs w:val="22"/>
        </w:rPr>
        <w:t>7</w:t>
      </w:r>
      <w:r w:rsidRPr="00757000">
        <w:rPr>
          <w:bCs w:val="0"/>
          <w:color w:val="438086" w:themeColor="accent2"/>
          <w:sz w:val="22"/>
          <w:szCs w:val="22"/>
        </w:rPr>
        <w:fldChar w:fldCharType="end"/>
      </w:r>
      <w:r w:rsidRPr="00757000">
        <w:rPr>
          <w:bCs w:val="0"/>
          <w:color w:val="438086" w:themeColor="accent2"/>
          <w:sz w:val="22"/>
          <w:szCs w:val="22"/>
        </w:rPr>
        <w:t>: Porcentaje de contenidos obligatorios publicados según tipología de entidad evaluada</w:t>
      </w:r>
      <w:r>
        <w:rPr>
          <w:bCs w:val="0"/>
          <w:color w:val="438086" w:themeColor="accent2"/>
          <w:sz w:val="22"/>
          <w:szCs w:val="22"/>
        </w:rPr>
        <w:t xml:space="preserve"> (Información Económica)</w:t>
      </w:r>
    </w:p>
    <w:p w:rsidR="00255EC4" w:rsidRDefault="00D83420" w:rsidP="00513EC7">
      <w:r>
        <w:rPr>
          <w:noProof/>
        </w:rPr>
        <w:drawing>
          <wp:inline distT="0" distB="0" distL="0" distR="0" wp14:anchorId="4FCD7A98" wp14:editId="213C4469">
            <wp:extent cx="5762847" cy="2615609"/>
            <wp:effectExtent l="0" t="0" r="9525" b="1333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709D2" w:rsidRDefault="00E709D2" w:rsidP="00513EC7"/>
    <w:p w:rsidR="00EA0FD2" w:rsidRDefault="00EA0FD2" w:rsidP="00513EC7">
      <w:r w:rsidRPr="00EB4694">
        <w:t>La siguiente tabla muestra las informaciones correspondientes a este bloque de obligaciones que presentan un menor cumplimiento en cuanto a su publicación.</w:t>
      </w:r>
      <w:r>
        <w:t xml:space="preserve"> </w:t>
      </w:r>
    </w:p>
    <w:p w:rsidR="00E709D2" w:rsidRDefault="00E709D2" w:rsidP="00513EC7"/>
    <w:tbl>
      <w:tblPr>
        <w:tblStyle w:val="Listaclara-nfasis2"/>
        <w:tblW w:w="0" w:type="auto"/>
        <w:tblLook w:val="04A0" w:firstRow="1" w:lastRow="0" w:firstColumn="1" w:lastColumn="0" w:noHBand="0" w:noVBand="1"/>
      </w:tblPr>
      <w:tblGrid>
        <w:gridCol w:w="4605"/>
        <w:gridCol w:w="4606"/>
      </w:tblGrid>
      <w:tr w:rsidR="00EA0FD2" w:rsidRPr="00277C4C" w:rsidTr="001C0ECE">
        <w:trPr>
          <w:cnfStyle w:val="100000000000" w:firstRow="1" w:lastRow="0" w:firstColumn="0" w:lastColumn="0" w:oddVBand="0" w:evenVBand="0" w:oddHBand="0"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4605" w:type="dxa"/>
          </w:tcPr>
          <w:p w:rsidR="00EA0FD2" w:rsidRPr="00277C4C" w:rsidRDefault="00EA0FD2" w:rsidP="00EA0FD2">
            <w:pPr>
              <w:jc w:val="center"/>
              <w:rPr>
                <w:sz w:val="20"/>
              </w:rPr>
            </w:pPr>
            <w:r w:rsidRPr="00277C4C">
              <w:rPr>
                <w:sz w:val="20"/>
              </w:rPr>
              <w:lastRenderedPageBreak/>
              <w:t>Obligación</w:t>
            </w:r>
          </w:p>
        </w:tc>
        <w:tc>
          <w:tcPr>
            <w:tcW w:w="4606" w:type="dxa"/>
          </w:tcPr>
          <w:p w:rsidR="00EA0FD2" w:rsidRPr="00277C4C" w:rsidRDefault="00EA0FD2" w:rsidP="00EA0FD2">
            <w:pPr>
              <w:jc w:val="center"/>
              <w:cnfStyle w:val="100000000000" w:firstRow="1" w:lastRow="0" w:firstColumn="0" w:lastColumn="0" w:oddVBand="0" w:evenVBand="0" w:oddHBand="0" w:evenHBand="0" w:firstRowFirstColumn="0" w:firstRowLastColumn="0" w:lastRowFirstColumn="0" w:lastRowLastColumn="0"/>
              <w:rPr>
                <w:sz w:val="20"/>
              </w:rPr>
            </w:pPr>
            <w:r w:rsidRPr="00277C4C">
              <w:rPr>
                <w:sz w:val="20"/>
              </w:rPr>
              <w:t>Proporción de organismos a los que es de aplicación la obligación que publican contenidos</w:t>
            </w:r>
          </w:p>
        </w:tc>
      </w:tr>
      <w:tr w:rsidR="00A36403" w:rsidRPr="00277C4C" w:rsidTr="00277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A36403" w:rsidRPr="00277C4C" w:rsidRDefault="00336258" w:rsidP="00DF4260">
            <w:pPr>
              <w:rPr>
                <w:sz w:val="20"/>
              </w:rPr>
            </w:pPr>
            <w:r>
              <w:rPr>
                <w:sz w:val="20"/>
              </w:rPr>
              <w:t xml:space="preserve">Contratos </w:t>
            </w:r>
          </w:p>
        </w:tc>
        <w:tc>
          <w:tcPr>
            <w:tcW w:w="4606" w:type="dxa"/>
            <w:vAlign w:val="center"/>
          </w:tcPr>
          <w:p w:rsidR="00A36403" w:rsidRPr="00277C4C" w:rsidRDefault="00DF4260" w:rsidP="00277C4C">
            <w:pPr>
              <w:jc w:val="center"/>
              <w:cnfStyle w:val="000000100000" w:firstRow="0" w:lastRow="0" w:firstColumn="0" w:lastColumn="0" w:oddVBand="0" w:evenVBand="0" w:oddHBand="1" w:evenHBand="0" w:firstRowFirstColumn="0" w:firstRowLastColumn="0" w:lastRowFirstColumn="0" w:lastRowLastColumn="0"/>
              <w:rPr>
                <w:sz w:val="20"/>
              </w:rPr>
            </w:pPr>
            <w:r>
              <w:rPr>
                <w:sz w:val="20"/>
              </w:rPr>
              <w:t>8,1</w:t>
            </w:r>
            <w:r w:rsidR="00A36403" w:rsidRPr="00277C4C">
              <w:rPr>
                <w:sz w:val="20"/>
              </w:rPr>
              <w:t>%</w:t>
            </w:r>
          </w:p>
        </w:tc>
      </w:tr>
      <w:tr w:rsidR="00A36403" w:rsidRPr="00277C4C" w:rsidTr="00277C4C">
        <w:tc>
          <w:tcPr>
            <w:cnfStyle w:val="001000000000" w:firstRow="0" w:lastRow="0" w:firstColumn="1" w:lastColumn="0" w:oddVBand="0" w:evenVBand="0" w:oddHBand="0" w:evenHBand="0" w:firstRowFirstColumn="0" w:firstRowLastColumn="0" w:lastRowFirstColumn="0" w:lastRowLastColumn="0"/>
            <w:tcW w:w="4605" w:type="dxa"/>
          </w:tcPr>
          <w:p w:rsidR="00A36403" w:rsidRPr="00277C4C" w:rsidRDefault="00336258" w:rsidP="00A36403">
            <w:pPr>
              <w:rPr>
                <w:sz w:val="20"/>
              </w:rPr>
            </w:pPr>
            <w:r w:rsidRPr="00277C4C">
              <w:rPr>
                <w:sz w:val="20"/>
              </w:rPr>
              <w:t>Retribuciones</w:t>
            </w:r>
          </w:p>
        </w:tc>
        <w:tc>
          <w:tcPr>
            <w:tcW w:w="4606" w:type="dxa"/>
            <w:vAlign w:val="center"/>
          </w:tcPr>
          <w:p w:rsidR="00A36403" w:rsidRPr="00277C4C" w:rsidRDefault="00DF4260" w:rsidP="00277C4C">
            <w:pPr>
              <w:jc w:val="center"/>
              <w:cnfStyle w:val="000000000000" w:firstRow="0" w:lastRow="0" w:firstColumn="0" w:lastColumn="0" w:oddVBand="0" w:evenVBand="0" w:oddHBand="0" w:evenHBand="0" w:firstRowFirstColumn="0" w:firstRowLastColumn="0" w:lastRowFirstColumn="0" w:lastRowLastColumn="0"/>
              <w:rPr>
                <w:sz w:val="20"/>
              </w:rPr>
            </w:pPr>
            <w:r>
              <w:rPr>
                <w:sz w:val="20"/>
              </w:rPr>
              <w:t>12,0</w:t>
            </w:r>
            <w:r w:rsidR="00A36403" w:rsidRPr="00277C4C">
              <w:rPr>
                <w:sz w:val="20"/>
              </w:rPr>
              <w:t>%</w:t>
            </w:r>
          </w:p>
        </w:tc>
      </w:tr>
      <w:tr w:rsidR="00A36403" w:rsidRPr="00277C4C" w:rsidTr="00277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A36403" w:rsidRPr="00277C4C" w:rsidRDefault="00336258" w:rsidP="00A36403">
            <w:pPr>
              <w:rPr>
                <w:sz w:val="20"/>
              </w:rPr>
            </w:pPr>
            <w:r>
              <w:rPr>
                <w:sz w:val="20"/>
              </w:rPr>
              <w:t>Convenios</w:t>
            </w:r>
          </w:p>
        </w:tc>
        <w:tc>
          <w:tcPr>
            <w:tcW w:w="4606" w:type="dxa"/>
            <w:vAlign w:val="center"/>
          </w:tcPr>
          <w:p w:rsidR="00A36403" w:rsidRPr="00277C4C" w:rsidRDefault="00DF4260" w:rsidP="00277C4C">
            <w:pPr>
              <w:jc w:val="center"/>
              <w:cnfStyle w:val="000000100000" w:firstRow="0" w:lastRow="0" w:firstColumn="0" w:lastColumn="0" w:oddVBand="0" w:evenVBand="0" w:oddHBand="1" w:evenHBand="0" w:firstRowFirstColumn="0" w:firstRowLastColumn="0" w:lastRowFirstColumn="0" w:lastRowLastColumn="0"/>
              <w:rPr>
                <w:sz w:val="20"/>
              </w:rPr>
            </w:pPr>
            <w:r>
              <w:rPr>
                <w:sz w:val="20"/>
              </w:rPr>
              <w:t>12</w:t>
            </w:r>
            <w:r w:rsidR="00336258">
              <w:rPr>
                <w:sz w:val="20"/>
              </w:rPr>
              <w:t>,0</w:t>
            </w:r>
            <w:r w:rsidR="00A36403" w:rsidRPr="00277C4C">
              <w:rPr>
                <w:sz w:val="20"/>
              </w:rPr>
              <w:t>%</w:t>
            </w:r>
          </w:p>
        </w:tc>
      </w:tr>
      <w:tr w:rsidR="00A36403" w:rsidRPr="00277C4C" w:rsidTr="00277C4C">
        <w:tc>
          <w:tcPr>
            <w:cnfStyle w:val="001000000000" w:firstRow="0" w:lastRow="0" w:firstColumn="1" w:lastColumn="0" w:oddVBand="0" w:evenVBand="0" w:oddHBand="0" w:evenHBand="0" w:firstRowFirstColumn="0" w:firstRowLastColumn="0" w:lastRowFirstColumn="0" w:lastRowLastColumn="0"/>
            <w:tcW w:w="4605" w:type="dxa"/>
          </w:tcPr>
          <w:p w:rsidR="00A36403" w:rsidRPr="00277C4C" w:rsidRDefault="00336258" w:rsidP="00A36403">
            <w:pPr>
              <w:rPr>
                <w:sz w:val="20"/>
              </w:rPr>
            </w:pPr>
            <w:r>
              <w:rPr>
                <w:sz w:val="20"/>
              </w:rPr>
              <w:t>Presupuestos</w:t>
            </w:r>
          </w:p>
        </w:tc>
        <w:tc>
          <w:tcPr>
            <w:tcW w:w="4606" w:type="dxa"/>
            <w:vAlign w:val="center"/>
          </w:tcPr>
          <w:p w:rsidR="00A36403" w:rsidRPr="00277C4C" w:rsidRDefault="00DF4260" w:rsidP="00277C4C">
            <w:pPr>
              <w:jc w:val="center"/>
              <w:cnfStyle w:val="000000000000" w:firstRow="0" w:lastRow="0" w:firstColumn="0" w:lastColumn="0" w:oddVBand="0" w:evenVBand="0" w:oddHBand="0" w:evenHBand="0" w:firstRowFirstColumn="0" w:firstRowLastColumn="0" w:lastRowFirstColumn="0" w:lastRowLastColumn="0"/>
              <w:rPr>
                <w:sz w:val="20"/>
              </w:rPr>
            </w:pPr>
            <w:r>
              <w:rPr>
                <w:sz w:val="20"/>
              </w:rPr>
              <w:t>17,0</w:t>
            </w:r>
            <w:r w:rsidR="00A36403" w:rsidRPr="00277C4C">
              <w:rPr>
                <w:sz w:val="20"/>
              </w:rPr>
              <w:t>%</w:t>
            </w:r>
          </w:p>
        </w:tc>
      </w:tr>
      <w:tr w:rsidR="00BD3830" w:rsidRPr="00277C4C" w:rsidTr="00277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BD3830" w:rsidRDefault="00BD3830" w:rsidP="00A36403">
            <w:pPr>
              <w:rPr>
                <w:sz w:val="20"/>
              </w:rPr>
            </w:pPr>
            <w:r>
              <w:rPr>
                <w:sz w:val="20"/>
              </w:rPr>
              <w:t>Subvenciones</w:t>
            </w:r>
          </w:p>
        </w:tc>
        <w:tc>
          <w:tcPr>
            <w:tcW w:w="4606" w:type="dxa"/>
            <w:vAlign w:val="center"/>
          </w:tcPr>
          <w:p w:rsidR="00BD3830" w:rsidRDefault="00BD3830" w:rsidP="00277C4C">
            <w:pPr>
              <w:jc w:val="center"/>
              <w:cnfStyle w:val="000000100000" w:firstRow="0" w:lastRow="0" w:firstColumn="0" w:lastColumn="0" w:oddVBand="0" w:evenVBand="0" w:oddHBand="1" w:evenHBand="0" w:firstRowFirstColumn="0" w:firstRowLastColumn="0" w:lastRowFirstColumn="0" w:lastRowLastColumn="0"/>
              <w:rPr>
                <w:sz w:val="20"/>
              </w:rPr>
            </w:pPr>
            <w:r>
              <w:rPr>
                <w:sz w:val="20"/>
              </w:rPr>
              <w:t>35,0%</w:t>
            </w:r>
          </w:p>
        </w:tc>
      </w:tr>
    </w:tbl>
    <w:p w:rsidR="00EA0FD2" w:rsidRDefault="00EA0FD2" w:rsidP="00513EC7"/>
    <w:p w:rsidR="008A2FD0" w:rsidRDefault="008A2FD0" w:rsidP="00513EC7">
      <w:r>
        <w:t xml:space="preserve">La obligación que publica una mayor proporción de entidades son las cuentas anuales: </w:t>
      </w:r>
      <w:r w:rsidR="00D83420">
        <w:t>el</w:t>
      </w:r>
      <w:r>
        <w:t xml:space="preserve"> </w:t>
      </w:r>
      <w:r w:rsidR="00DF4260">
        <w:t>36</w:t>
      </w:r>
      <w:r>
        <w:t>%.</w:t>
      </w:r>
    </w:p>
    <w:p w:rsidR="00CB65E7" w:rsidRDefault="00CB65E7" w:rsidP="00513EC7">
      <w:r>
        <w:t xml:space="preserve">En cuanto al cumplimiento de los requisitos de calidad de la información, además de las dificultades para conocer si la información está actualizada, </w:t>
      </w:r>
      <w:r w:rsidR="008A2FD0">
        <w:t>también se observa que algunas entidades publican parte de las informaciones de este grupo  en formatos no reutilizables</w:t>
      </w:r>
      <w:r w:rsidR="00D631CC">
        <w:t xml:space="preserve">. </w:t>
      </w:r>
      <w:r>
        <w:t xml:space="preserve">    </w:t>
      </w:r>
    </w:p>
    <w:p w:rsidR="00D001DB" w:rsidRDefault="00D001DB" w:rsidP="00D001DB">
      <w:r>
        <w:t xml:space="preserve">El índice medio de cumplimiento de este bloque de obligaciones es del </w:t>
      </w:r>
      <w:r w:rsidR="008A2FD0">
        <w:t>2</w:t>
      </w:r>
      <w:r w:rsidR="00E709D2">
        <w:t>1,5</w:t>
      </w:r>
      <w:r>
        <w:t xml:space="preserve">%, con un rango que oscila entre el 0 y </w:t>
      </w:r>
      <w:r w:rsidR="008A2FD0">
        <w:t>100</w:t>
      </w:r>
      <w:r>
        <w:t>%.</w:t>
      </w:r>
      <w:r w:rsidR="00DF4260">
        <w:t xml:space="preserve"> Respecto de 2021 se produce una minoración de 2,5 p.p.</w:t>
      </w:r>
    </w:p>
    <w:p w:rsidR="00D631CC" w:rsidRPr="009E5841" w:rsidRDefault="00D631CC" w:rsidP="00D631CC">
      <w:pPr>
        <w:pStyle w:val="Epgrafe"/>
        <w:keepNext/>
        <w:rPr>
          <w:color w:val="438086" w:themeColor="accent2"/>
          <w:sz w:val="22"/>
          <w:szCs w:val="22"/>
        </w:rPr>
      </w:pPr>
      <w:r w:rsidRPr="009E5841">
        <w:rPr>
          <w:color w:val="438086" w:themeColor="accent2"/>
          <w:sz w:val="22"/>
          <w:szCs w:val="22"/>
        </w:rPr>
        <w:t xml:space="preserve">Gráfico </w:t>
      </w:r>
      <w:r w:rsidR="005915F6" w:rsidRPr="009E5841">
        <w:rPr>
          <w:color w:val="438086" w:themeColor="accent2"/>
          <w:sz w:val="22"/>
          <w:szCs w:val="22"/>
        </w:rPr>
        <w:fldChar w:fldCharType="begin"/>
      </w:r>
      <w:r w:rsidR="005915F6" w:rsidRPr="009E5841">
        <w:rPr>
          <w:color w:val="438086" w:themeColor="accent2"/>
          <w:sz w:val="22"/>
          <w:szCs w:val="22"/>
        </w:rPr>
        <w:instrText xml:space="preserve"> SEQ Gráfico \* ARABIC </w:instrText>
      </w:r>
      <w:r w:rsidR="005915F6" w:rsidRPr="009E5841">
        <w:rPr>
          <w:color w:val="438086" w:themeColor="accent2"/>
          <w:sz w:val="22"/>
          <w:szCs w:val="22"/>
        </w:rPr>
        <w:fldChar w:fldCharType="separate"/>
      </w:r>
      <w:r w:rsidR="00D37A2F">
        <w:rPr>
          <w:noProof/>
          <w:color w:val="438086" w:themeColor="accent2"/>
          <w:sz w:val="22"/>
          <w:szCs w:val="22"/>
        </w:rPr>
        <w:t>8</w:t>
      </w:r>
      <w:r w:rsidR="005915F6" w:rsidRPr="009E5841">
        <w:rPr>
          <w:color w:val="438086" w:themeColor="accent2"/>
          <w:sz w:val="22"/>
          <w:szCs w:val="22"/>
        </w:rPr>
        <w:fldChar w:fldCharType="end"/>
      </w:r>
      <w:r w:rsidRPr="009E5841">
        <w:rPr>
          <w:color w:val="438086" w:themeColor="accent2"/>
          <w:sz w:val="22"/>
          <w:szCs w:val="22"/>
        </w:rPr>
        <w:t>: Evaluación de la publicación (contenido) y de los atributos de calidad de información Económica, Presupuestaria y Estadística.</w:t>
      </w:r>
      <w:r w:rsidR="00550FCC" w:rsidRPr="009E5841">
        <w:rPr>
          <w:sz w:val="22"/>
          <w:szCs w:val="22"/>
        </w:rPr>
        <w:t xml:space="preserve"> </w:t>
      </w:r>
    </w:p>
    <w:p w:rsidR="00CB65E7" w:rsidRDefault="00DF4260" w:rsidP="00841A00">
      <w:r>
        <w:rPr>
          <w:noProof/>
        </w:rPr>
        <w:drawing>
          <wp:inline distT="0" distB="0" distL="0" distR="0" wp14:anchorId="59E9073E" wp14:editId="192EB6F9">
            <wp:extent cx="5741582" cy="2615609"/>
            <wp:effectExtent l="0" t="0" r="12065" b="1333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631CC" w:rsidRDefault="00D631CC" w:rsidP="00D631CC">
      <w:pPr>
        <w:pStyle w:val="Ttulo4"/>
      </w:pPr>
    </w:p>
    <w:p w:rsidR="008A2FD0" w:rsidRDefault="00DF4260" w:rsidP="00D001DB">
      <w:r>
        <w:t>Desde un p</w:t>
      </w:r>
      <w:r w:rsidR="00DE056B">
        <w:t xml:space="preserve">unto de vista descriptivo </w:t>
      </w:r>
      <w:r>
        <w:t xml:space="preserve">–no </w:t>
      </w:r>
      <w:r w:rsidR="00E709D2">
        <w:t>estadísticamente significativo</w:t>
      </w:r>
      <w:r w:rsidR="00DE056B">
        <w:t xml:space="preserve"> </w:t>
      </w:r>
      <w:r w:rsidR="00E709D2">
        <w:t>–,</w:t>
      </w:r>
      <w:r w:rsidR="008A2FD0">
        <w:t xml:space="preserve"> </w:t>
      </w:r>
      <w:r w:rsidR="00E709D2">
        <w:t xml:space="preserve">existen diferencias </w:t>
      </w:r>
      <w:r w:rsidR="008A2FD0">
        <w:t>entre las entidades según el momento de la primera evaluación: las evaluadas en 202</w:t>
      </w:r>
      <w:r w:rsidR="00DE056B">
        <w:t>2 por primera vez</w:t>
      </w:r>
      <w:r w:rsidR="008A2FD0">
        <w:t xml:space="preserve"> </w:t>
      </w:r>
      <w:r w:rsidR="00E709D2">
        <w:t>presentan</w:t>
      </w:r>
      <w:r w:rsidR="008A2FD0">
        <w:t xml:space="preserve"> un índice medio de cumplimiento del </w:t>
      </w:r>
      <w:r w:rsidR="00DE056B">
        <w:lastRenderedPageBreak/>
        <w:t>28,4</w:t>
      </w:r>
      <w:r w:rsidR="008A2FD0">
        <w:t xml:space="preserve">% mientras que el índice medio de cumplimiento para las evaluadas por primera vez en 2021 se sitúa en el </w:t>
      </w:r>
      <w:r w:rsidR="00DE056B">
        <w:t>19,5</w:t>
      </w:r>
      <w:r w:rsidR="008A2FD0">
        <w:t>%.</w:t>
      </w:r>
    </w:p>
    <w:p w:rsidR="00D001DB" w:rsidRDefault="008A2FD0" w:rsidP="00D001DB">
      <w:r>
        <w:t>Sin embargo</w:t>
      </w:r>
      <w:r w:rsidR="00DE056B">
        <w:t>,</w:t>
      </w:r>
      <w:r>
        <w:t xml:space="preserve"> las diferencias que se observan entre las entidades según tipo</w:t>
      </w:r>
      <w:r w:rsidR="00E709D2">
        <w:t>,</w:t>
      </w:r>
      <w:r>
        <w:t xml:space="preserve"> </w:t>
      </w:r>
      <w:r w:rsidR="00DE056B">
        <w:t>si</w:t>
      </w:r>
      <w:r>
        <w:t xml:space="preserve"> son </w:t>
      </w:r>
      <w:r w:rsidR="00DE056B">
        <w:t>estadísticamente significativas: las federaciones</w:t>
      </w:r>
      <w:r>
        <w:t xml:space="preserve"> </w:t>
      </w:r>
      <w:r w:rsidR="00DE056B">
        <w:t>deportivas alcanzan niveles de cumplimiento más elevados que todas las demás tipologías de entidades.</w:t>
      </w:r>
    </w:p>
    <w:p w:rsidR="00D001DB" w:rsidRPr="00D001DB" w:rsidRDefault="00D001DB" w:rsidP="00D001DB">
      <w:pPr>
        <w:pStyle w:val="Epgrafe"/>
        <w:keepNext/>
        <w:rPr>
          <w:color w:val="438086" w:themeColor="accent2"/>
          <w:sz w:val="22"/>
          <w:szCs w:val="22"/>
        </w:rPr>
      </w:pPr>
      <w:r w:rsidRPr="00D001DB">
        <w:rPr>
          <w:color w:val="438086" w:themeColor="accent2"/>
          <w:sz w:val="22"/>
          <w:szCs w:val="22"/>
        </w:rPr>
        <w:t xml:space="preserve">Gráfico </w:t>
      </w:r>
      <w:r w:rsidRPr="00D001DB">
        <w:rPr>
          <w:color w:val="438086" w:themeColor="accent2"/>
          <w:sz w:val="22"/>
          <w:szCs w:val="22"/>
        </w:rPr>
        <w:fldChar w:fldCharType="begin"/>
      </w:r>
      <w:r w:rsidRPr="00D001DB">
        <w:rPr>
          <w:color w:val="438086" w:themeColor="accent2"/>
          <w:sz w:val="22"/>
          <w:szCs w:val="22"/>
        </w:rPr>
        <w:instrText xml:space="preserve"> SEQ Gráfico \* ARABIC </w:instrText>
      </w:r>
      <w:r w:rsidRPr="00D001DB">
        <w:rPr>
          <w:color w:val="438086" w:themeColor="accent2"/>
          <w:sz w:val="22"/>
          <w:szCs w:val="22"/>
        </w:rPr>
        <w:fldChar w:fldCharType="separate"/>
      </w:r>
      <w:r w:rsidR="00D37A2F">
        <w:rPr>
          <w:noProof/>
          <w:color w:val="438086" w:themeColor="accent2"/>
          <w:sz w:val="22"/>
          <w:szCs w:val="22"/>
        </w:rPr>
        <w:t>9</w:t>
      </w:r>
      <w:r w:rsidRPr="00D001DB">
        <w:rPr>
          <w:color w:val="438086" w:themeColor="accent2"/>
          <w:sz w:val="22"/>
          <w:szCs w:val="22"/>
        </w:rPr>
        <w:fldChar w:fldCharType="end"/>
      </w:r>
      <w:r w:rsidRPr="00D001DB">
        <w:rPr>
          <w:color w:val="438086" w:themeColor="accent2"/>
          <w:sz w:val="22"/>
          <w:szCs w:val="22"/>
        </w:rPr>
        <w:t>: Cumplimiento global en el blo</w:t>
      </w:r>
      <w:r w:rsidR="00DF0601">
        <w:rPr>
          <w:color w:val="438086" w:themeColor="accent2"/>
          <w:sz w:val="22"/>
          <w:szCs w:val="22"/>
        </w:rPr>
        <w:t xml:space="preserve">que de informaciones Económica </w:t>
      </w:r>
      <w:r w:rsidRPr="00D001DB">
        <w:rPr>
          <w:color w:val="438086" w:themeColor="accent2"/>
          <w:sz w:val="22"/>
          <w:szCs w:val="22"/>
        </w:rPr>
        <w:t xml:space="preserve">según tipología de </w:t>
      </w:r>
      <w:r w:rsidR="00F5298B">
        <w:rPr>
          <w:color w:val="438086" w:themeColor="accent2"/>
          <w:sz w:val="22"/>
          <w:szCs w:val="22"/>
        </w:rPr>
        <w:t>entidad</w:t>
      </w:r>
      <w:r w:rsidRPr="00D001DB">
        <w:rPr>
          <w:color w:val="438086" w:themeColor="accent2"/>
          <w:sz w:val="22"/>
          <w:szCs w:val="22"/>
        </w:rPr>
        <w:t xml:space="preserve"> evaluad</w:t>
      </w:r>
      <w:r w:rsidR="00F5298B">
        <w:rPr>
          <w:color w:val="438086" w:themeColor="accent2"/>
          <w:sz w:val="22"/>
          <w:szCs w:val="22"/>
        </w:rPr>
        <w:t>a</w:t>
      </w:r>
      <w:r w:rsidRPr="00D001DB">
        <w:rPr>
          <w:color w:val="438086" w:themeColor="accent2"/>
          <w:sz w:val="22"/>
          <w:szCs w:val="22"/>
        </w:rPr>
        <w:t>.</w:t>
      </w:r>
    </w:p>
    <w:p w:rsidR="00D001DB" w:rsidRDefault="002B7CC9" w:rsidP="00AF02EB">
      <w:pPr>
        <w:pStyle w:val="Ttulo3"/>
      </w:pPr>
      <w:bookmarkStart w:id="12" w:name="_Toc120521817"/>
      <w:r>
        <w:rPr>
          <w:noProof/>
        </w:rPr>
        <w:drawing>
          <wp:inline distT="0" distB="0" distL="0" distR="0" wp14:anchorId="5A2F0BBD" wp14:editId="59548980">
            <wp:extent cx="5837275" cy="2743200"/>
            <wp:effectExtent l="0" t="0" r="11430" b="1905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End w:id="12"/>
    </w:p>
    <w:p w:rsidR="00D001DB" w:rsidRDefault="00D001DB" w:rsidP="00AF02EB">
      <w:pPr>
        <w:pStyle w:val="Ttulo3"/>
      </w:pPr>
    </w:p>
    <w:p w:rsidR="008234D9" w:rsidRDefault="008234D9" w:rsidP="00AF02EB">
      <w:pPr>
        <w:pStyle w:val="Ttulo3"/>
      </w:pPr>
    </w:p>
    <w:p w:rsidR="00513EC7" w:rsidRDefault="00F23BD7" w:rsidP="00513EC7">
      <w:pPr>
        <w:pStyle w:val="Ttulo3"/>
      </w:pPr>
      <w:bookmarkStart w:id="13" w:name="_Toc120521818"/>
      <w:r>
        <w:t>III.</w:t>
      </w:r>
      <w:r w:rsidR="0047212C">
        <w:t>2</w:t>
      </w:r>
      <w:r>
        <w:t>.</w:t>
      </w:r>
      <w:r w:rsidR="00F5298B">
        <w:t>4</w:t>
      </w:r>
      <w:r>
        <w:t xml:space="preserve">. </w:t>
      </w:r>
      <w:r w:rsidR="00513EC7">
        <w:t>Índice de Cumplimiento de la Información Obligatoria</w:t>
      </w:r>
      <w:r w:rsidR="00520912">
        <w:t xml:space="preserve"> (ICIO)</w:t>
      </w:r>
      <w:bookmarkEnd w:id="13"/>
    </w:p>
    <w:p w:rsidR="00513EC7" w:rsidRDefault="00513EC7" w:rsidP="00513EC7"/>
    <w:p w:rsidR="00520912" w:rsidRDefault="00520912" w:rsidP="00513EC7">
      <w:r>
        <w:t xml:space="preserve">El ICIO </w:t>
      </w:r>
      <w:r w:rsidR="0052794A">
        <w:t>de</w:t>
      </w:r>
      <w:r>
        <w:t xml:space="preserve"> este grupo de sujetos obligados </w:t>
      </w:r>
      <w:r w:rsidR="0052794A">
        <w:t xml:space="preserve">alcanza </w:t>
      </w:r>
      <w:r w:rsidR="00FF5F43">
        <w:t xml:space="preserve">un </w:t>
      </w:r>
      <w:r w:rsidR="0004344A">
        <w:t>32,9</w:t>
      </w:r>
      <w:r w:rsidR="009E5841">
        <w:t>%</w:t>
      </w:r>
      <w:r w:rsidR="00FF5F43">
        <w:t xml:space="preserve"> de cumplimiento.</w:t>
      </w:r>
      <w:r w:rsidR="007009D5">
        <w:t xml:space="preserve"> El rango de variación oscila entre el </w:t>
      </w:r>
      <w:r w:rsidR="00F5298B">
        <w:t>6,1</w:t>
      </w:r>
      <w:r w:rsidR="007009D5">
        <w:t xml:space="preserve"> y el </w:t>
      </w:r>
      <w:r w:rsidR="0004344A">
        <w:t>100</w:t>
      </w:r>
      <w:r w:rsidR="007009D5">
        <w:t>%.</w:t>
      </w:r>
      <w:r w:rsidR="0004344A">
        <w:t xml:space="preserve"> Respecto de 2021 se produce una disminución </w:t>
      </w:r>
      <w:r w:rsidR="0096306D">
        <w:t>3,9 p.p.</w:t>
      </w:r>
    </w:p>
    <w:p w:rsidR="00FF5F43" w:rsidRDefault="00FF5F43" w:rsidP="00513EC7">
      <w:r>
        <w:t xml:space="preserve">La falta de publicación de informaciones obligatorias – no se publica </w:t>
      </w:r>
      <w:r w:rsidR="007009D5">
        <w:t xml:space="preserve">el </w:t>
      </w:r>
      <w:r w:rsidR="0096306D">
        <w:t>65,2</w:t>
      </w:r>
      <w:r>
        <w:t>%</w:t>
      </w:r>
      <w:r w:rsidR="003F10D6">
        <w:t xml:space="preserve"> de ellas</w:t>
      </w:r>
      <w:r>
        <w:t xml:space="preserve"> - y la carencia de referencias que permitan conocer a los usuarios el grado de actualización de la información publicada, son los factores que explican el</w:t>
      </w:r>
      <w:r w:rsidR="005F0168">
        <w:t xml:space="preserve"> </w:t>
      </w:r>
      <w:r>
        <w:t>nivel de cumplimiento global alcanzado.</w:t>
      </w:r>
    </w:p>
    <w:p w:rsidR="00513EC7" w:rsidRDefault="005915F6" w:rsidP="0052794A">
      <w:pPr>
        <w:pStyle w:val="Epgrafe"/>
        <w:keepNext/>
      </w:pPr>
      <w:r w:rsidRPr="002136D7">
        <w:rPr>
          <w:color w:val="438086" w:themeColor="accent2"/>
          <w:sz w:val="22"/>
          <w:szCs w:val="22"/>
        </w:rPr>
        <w:lastRenderedPageBreak/>
        <w:t xml:space="preserve">Gráfico </w:t>
      </w:r>
      <w:r w:rsidRPr="002136D7">
        <w:rPr>
          <w:color w:val="438086" w:themeColor="accent2"/>
          <w:sz w:val="22"/>
          <w:szCs w:val="22"/>
        </w:rPr>
        <w:fldChar w:fldCharType="begin"/>
      </w:r>
      <w:r w:rsidRPr="002136D7">
        <w:rPr>
          <w:color w:val="438086" w:themeColor="accent2"/>
          <w:sz w:val="22"/>
          <w:szCs w:val="22"/>
        </w:rPr>
        <w:instrText xml:space="preserve"> SEQ Gráfico \* ARABIC </w:instrText>
      </w:r>
      <w:r w:rsidRPr="002136D7">
        <w:rPr>
          <w:color w:val="438086" w:themeColor="accent2"/>
          <w:sz w:val="22"/>
          <w:szCs w:val="22"/>
        </w:rPr>
        <w:fldChar w:fldCharType="separate"/>
      </w:r>
      <w:r w:rsidR="00D37A2F">
        <w:rPr>
          <w:noProof/>
          <w:color w:val="438086" w:themeColor="accent2"/>
          <w:sz w:val="22"/>
          <w:szCs w:val="22"/>
        </w:rPr>
        <w:t>10</w:t>
      </w:r>
      <w:r w:rsidRPr="002136D7">
        <w:rPr>
          <w:color w:val="438086" w:themeColor="accent2"/>
          <w:sz w:val="22"/>
          <w:szCs w:val="22"/>
        </w:rPr>
        <w:fldChar w:fldCharType="end"/>
      </w:r>
      <w:r w:rsidRPr="002136D7">
        <w:rPr>
          <w:color w:val="438086" w:themeColor="accent2"/>
          <w:sz w:val="22"/>
          <w:szCs w:val="22"/>
        </w:rPr>
        <w:t>: Índice de Cumplimiento de la</w:t>
      </w:r>
      <w:r w:rsidR="0052794A">
        <w:rPr>
          <w:color w:val="438086" w:themeColor="accent2"/>
          <w:sz w:val="22"/>
          <w:szCs w:val="22"/>
        </w:rPr>
        <w:t xml:space="preserve"> Información Obligatoria (ICIO). </w:t>
      </w:r>
    </w:p>
    <w:p w:rsidR="002136D7" w:rsidRDefault="0096306D" w:rsidP="00513EC7">
      <w:pPr>
        <w:pStyle w:val="Ttulo3"/>
      </w:pPr>
      <w:bookmarkStart w:id="14" w:name="_Toc120521819"/>
      <w:r>
        <w:rPr>
          <w:noProof/>
        </w:rPr>
        <w:drawing>
          <wp:inline distT="0" distB="0" distL="0" distR="0" wp14:anchorId="3BE626AC" wp14:editId="018EC1B7">
            <wp:extent cx="5369442" cy="2519916"/>
            <wp:effectExtent l="0" t="0" r="22225" b="1397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End w:id="14"/>
    </w:p>
    <w:p w:rsidR="006219DA" w:rsidRDefault="006219DA" w:rsidP="006219DA"/>
    <w:p w:rsidR="00BF3F82" w:rsidRDefault="00BF3F82" w:rsidP="006219DA">
      <w:r>
        <w:t>Al igual que lo sucedido en los distintos bloques de información obligatoria, el índice de cumplimiento global más elevado se observa</w:t>
      </w:r>
      <w:r w:rsidR="00276179">
        <w:t xml:space="preserve"> entre las entidades evaluadas</w:t>
      </w:r>
      <w:r w:rsidR="0096306D">
        <w:t xml:space="preserve"> por primera vez</w:t>
      </w:r>
      <w:r w:rsidR="00276179">
        <w:t xml:space="preserve"> en 202</w:t>
      </w:r>
      <w:r w:rsidR="0096306D">
        <w:t>2</w:t>
      </w:r>
      <w:r w:rsidR="00276179">
        <w:rPr>
          <w:rStyle w:val="Refdenotaalpie"/>
        </w:rPr>
        <w:footnoteReference w:id="1"/>
      </w:r>
      <w:r w:rsidR="00276179">
        <w:t xml:space="preserve"> – </w:t>
      </w:r>
      <w:r w:rsidR="0096306D">
        <w:t>39,8</w:t>
      </w:r>
      <w:r w:rsidR="00276179">
        <w:t xml:space="preserve">%, </w:t>
      </w:r>
      <w:r w:rsidR="0096306D">
        <w:t>9,6</w:t>
      </w:r>
      <w:r w:rsidR="00276179">
        <w:t xml:space="preserve"> </w:t>
      </w:r>
      <w:r w:rsidR="0096306D">
        <w:t>p.p.</w:t>
      </w:r>
      <w:r w:rsidR="00276179">
        <w:t xml:space="preserve"> </w:t>
      </w:r>
      <w:r w:rsidR="0096306D">
        <w:t>m</w:t>
      </w:r>
      <w:r w:rsidR="00276179">
        <w:t>ás elevado que el correspondiente a las entidades evaluadas en 2021 por primera vez – y en las federaciones deportivas y ONG</w:t>
      </w:r>
      <w:r w:rsidR="00276179">
        <w:rPr>
          <w:rStyle w:val="Refdenotaalpie"/>
        </w:rPr>
        <w:footnoteReference w:id="2"/>
      </w:r>
      <w:r>
        <w:t>.</w:t>
      </w:r>
    </w:p>
    <w:p w:rsidR="00BF3F82" w:rsidRPr="00BF3F82" w:rsidRDefault="00BF3F82" w:rsidP="00BF3F82">
      <w:pPr>
        <w:pStyle w:val="Epgrafe"/>
        <w:keepNext/>
        <w:rPr>
          <w:color w:val="438086" w:themeColor="accent2"/>
          <w:sz w:val="22"/>
          <w:szCs w:val="22"/>
        </w:rPr>
      </w:pPr>
      <w:r w:rsidRPr="00BF3F82">
        <w:rPr>
          <w:color w:val="438086" w:themeColor="accent2"/>
          <w:sz w:val="22"/>
          <w:szCs w:val="22"/>
        </w:rPr>
        <w:t xml:space="preserve">Gráfico </w:t>
      </w:r>
      <w:r w:rsidRPr="00BF3F82">
        <w:rPr>
          <w:color w:val="438086" w:themeColor="accent2"/>
          <w:sz w:val="22"/>
          <w:szCs w:val="22"/>
        </w:rPr>
        <w:fldChar w:fldCharType="begin"/>
      </w:r>
      <w:r w:rsidRPr="00BF3F82">
        <w:rPr>
          <w:color w:val="438086" w:themeColor="accent2"/>
          <w:sz w:val="22"/>
          <w:szCs w:val="22"/>
        </w:rPr>
        <w:instrText xml:space="preserve"> SEQ Gráfico \* ARABIC </w:instrText>
      </w:r>
      <w:r w:rsidRPr="00BF3F82">
        <w:rPr>
          <w:color w:val="438086" w:themeColor="accent2"/>
          <w:sz w:val="22"/>
          <w:szCs w:val="22"/>
        </w:rPr>
        <w:fldChar w:fldCharType="separate"/>
      </w:r>
      <w:r w:rsidR="00D37A2F">
        <w:rPr>
          <w:noProof/>
          <w:color w:val="438086" w:themeColor="accent2"/>
          <w:sz w:val="22"/>
          <w:szCs w:val="22"/>
        </w:rPr>
        <w:t>11</w:t>
      </w:r>
      <w:r w:rsidRPr="00BF3F82">
        <w:rPr>
          <w:color w:val="438086" w:themeColor="accent2"/>
          <w:sz w:val="22"/>
          <w:szCs w:val="22"/>
        </w:rPr>
        <w:fldChar w:fldCharType="end"/>
      </w:r>
      <w:r w:rsidRPr="00BF3F82">
        <w:rPr>
          <w:color w:val="438086" w:themeColor="accent2"/>
          <w:sz w:val="22"/>
          <w:szCs w:val="22"/>
        </w:rPr>
        <w:t>: Índice de Cumplimiento de la Información Obligatoria (ICIO) según tipología de organismo evaluado</w:t>
      </w:r>
    </w:p>
    <w:p w:rsidR="00BF3F82" w:rsidRDefault="00A137C0" w:rsidP="006219DA">
      <w:r>
        <w:rPr>
          <w:noProof/>
        </w:rPr>
        <w:drawing>
          <wp:inline distT="0" distB="0" distL="0" distR="0" wp14:anchorId="49923BC3" wp14:editId="766DD280">
            <wp:extent cx="5816010" cy="2222204"/>
            <wp:effectExtent l="0" t="0" r="13335" b="2603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A7D3B" w:rsidRDefault="008A7D3B" w:rsidP="00513EC7">
      <w:pPr>
        <w:pStyle w:val="Ttulo3"/>
      </w:pPr>
    </w:p>
    <w:p w:rsidR="008A7D3B" w:rsidRDefault="008A7D3B" w:rsidP="00513EC7">
      <w:pPr>
        <w:pStyle w:val="Ttulo3"/>
      </w:pPr>
    </w:p>
    <w:p w:rsidR="00FC41D3" w:rsidRPr="004D777E" w:rsidRDefault="00FC41D3" w:rsidP="00FC41D3">
      <w:pPr>
        <w:pStyle w:val="Ttulo3"/>
        <w:rPr>
          <w:rFonts w:ascii="Century Gothic" w:hAnsi="Century Gothic"/>
          <w:b w:val="0"/>
          <w:color w:val="auto"/>
          <w:szCs w:val="20"/>
        </w:rPr>
      </w:pPr>
      <w:bookmarkStart w:id="15" w:name="_Toc98321561"/>
      <w:bookmarkStart w:id="16" w:name="_Toc113366621"/>
      <w:bookmarkStart w:id="17" w:name="_Toc120521820"/>
      <w:r>
        <w:rPr>
          <w:rFonts w:ascii="Century Gothic" w:hAnsi="Century Gothic"/>
          <w:b w:val="0"/>
          <w:color w:val="auto"/>
          <w:szCs w:val="20"/>
        </w:rPr>
        <w:lastRenderedPageBreak/>
        <w:t>La siguiente tabla muestra los Índices de Cumplimiento individuales alcanzados por las entidades evaluadas, junto a la evolución de estos índices respecto de 2021, las recomendaciones derivadas de la evaluación 2021</w:t>
      </w:r>
      <w:r w:rsidR="00E709D2">
        <w:rPr>
          <w:rFonts w:ascii="Century Gothic" w:hAnsi="Century Gothic"/>
          <w:b w:val="0"/>
          <w:color w:val="auto"/>
          <w:szCs w:val="20"/>
        </w:rPr>
        <w:t xml:space="preserve"> efectuadas, las </w:t>
      </w:r>
      <w:r>
        <w:rPr>
          <w:rFonts w:ascii="Century Gothic" w:hAnsi="Century Gothic"/>
          <w:b w:val="0"/>
          <w:color w:val="auto"/>
          <w:szCs w:val="20"/>
        </w:rPr>
        <w:t>implantadas, así como las recomendaciones y mejoras que se han aplicado durante el periodo de observaciones.</w:t>
      </w:r>
      <w:bookmarkEnd w:id="15"/>
      <w:bookmarkEnd w:id="16"/>
      <w:bookmarkEnd w:id="17"/>
    </w:p>
    <w:p w:rsidR="00FC41D3" w:rsidRDefault="00FC41D3" w:rsidP="00FC41D3">
      <w:pPr>
        <w:pStyle w:val="Epgrafe"/>
        <w:keepNext/>
        <w:rPr>
          <w:color w:val="438086" w:themeColor="accent2"/>
          <w:sz w:val="22"/>
          <w:szCs w:val="22"/>
        </w:rPr>
      </w:pPr>
    </w:p>
    <w:p w:rsidR="00FC41D3" w:rsidRPr="00BA54C2" w:rsidRDefault="00FC41D3" w:rsidP="00FC41D3">
      <w:pPr>
        <w:pStyle w:val="Epgrafe"/>
        <w:keepNext/>
        <w:rPr>
          <w:color w:val="438086" w:themeColor="accent2"/>
          <w:sz w:val="22"/>
          <w:szCs w:val="22"/>
        </w:rPr>
      </w:pPr>
      <w:r w:rsidRPr="00BA54C2">
        <w:rPr>
          <w:color w:val="438086" w:themeColor="accent2"/>
          <w:sz w:val="22"/>
          <w:szCs w:val="22"/>
        </w:rPr>
        <w:t xml:space="preserve">Tabla </w:t>
      </w:r>
      <w:r w:rsidRPr="00BA54C2">
        <w:rPr>
          <w:color w:val="438086" w:themeColor="accent2"/>
          <w:sz w:val="22"/>
          <w:szCs w:val="22"/>
        </w:rPr>
        <w:fldChar w:fldCharType="begin"/>
      </w:r>
      <w:r w:rsidRPr="00BA54C2">
        <w:rPr>
          <w:color w:val="438086" w:themeColor="accent2"/>
          <w:sz w:val="22"/>
          <w:szCs w:val="22"/>
        </w:rPr>
        <w:instrText xml:space="preserve"> SEQ Tabla \* ARABIC </w:instrText>
      </w:r>
      <w:r w:rsidRPr="00BA54C2">
        <w:rPr>
          <w:color w:val="438086" w:themeColor="accent2"/>
          <w:sz w:val="22"/>
          <w:szCs w:val="22"/>
        </w:rPr>
        <w:fldChar w:fldCharType="separate"/>
      </w:r>
      <w:r>
        <w:rPr>
          <w:noProof/>
          <w:color w:val="438086" w:themeColor="accent2"/>
          <w:sz w:val="22"/>
          <w:szCs w:val="22"/>
        </w:rPr>
        <w:t>1</w:t>
      </w:r>
      <w:r w:rsidRPr="00BA54C2">
        <w:rPr>
          <w:color w:val="438086" w:themeColor="accent2"/>
          <w:sz w:val="22"/>
          <w:szCs w:val="22"/>
        </w:rPr>
        <w:fldChar w:fldCharType="end"/>
      </w:r>
      <w:r w:rsidRPr="00BA54C2">
        <w:rPr>
          <w:color w:val="438086" w:themeColor="accent2"/>
          <w:sz w:val="22"/>
          <w:szCs w:val="22"/>
        </w:rPr>
        <w:t>: Índices de Cumplimiento de la Información Obligatoria en 2022, evolución y grado de aplicación de las recomendaciones derivadas de la evaluación 2021.</w:t>
      </w:r>
    </w:p>
    <w:tbl>
      <w:tblPr>
        <w:tblStyle w:val="Cuadrculamedia3-nfasis2"/>
        <w:tblW w:w="11058" w:type="dxa"/>
        <w:tblInd w:w="-743" w:type="dxa"/>
        <w:tblLayout w:type="fixed"/>
        <w:tblLook w:val="04A0" w:firstRow="1" w:lastRow="0" w:firstColumn="1" w:lastColumn="0" w:noHBand="0" w:noVBand="1"/>
      </w:tblPr>
      <w:tblGrid>
        <w:gridCol w:w="3340"/>
        <w:gridCol w:w="1338"/>
        <w:gridCol w:w="1418"/>
        <w:gridCol w:w="1559"/>
        <w:gridCol w:w="1701"/>
        <w:gridCol w:w="1702"/>
      </w:tblGrid>
      <w:tr w:rsidR="00FC41D3" w:rsidRPr="00FC41D3" w:rsidTr="00E709D2">
        <w:trPr>
          <w:cnfStyle w:val="100000000000" w:firstRow="1" w:lastRow="0" w:firstColumn="0" w:lastColumn="0" w:oddVBand="0" w:evenVBand="0" w:oddHBand="0" w:evenHBand="0" w:firstRowFirstColumn="0" w:firstRowLastColumn="0" w:lastRowFirstColumn="0" w:lastRowLastColumn="0"/>
          <w:trHeight w:val="2055"/>
          <w:tblHeader/>
        </w:trPr>
        <w:tc>
          <w:tcPr>
            <w:cnfStyle w:val="001000000000" w:firstRow="0" w:lastRow="0" w:firstColumn="1" w:lastColumn="0" w:oddVBand="0" w:evenVBand="0" w:oddHBand="0" w:evenHBand="0" w:firstRowFirstColumn="0" w:firstRowLastColumn="0" w:lastRowFirstColumn="0" w:lastRowLastColumn="0"/>
            <w:tcW w:w="3340" w:type="dxa"/>
            <w:noWrap/>
            <w:vAlign w:val="center"/>
            <w:hideMark/>
          </w:tcPr>
          <w:p w:rsidR="00FC41D3" w:rsidRPr="00FC41D3" w:rsidRDefault="00FC41D3" w:rsidP="00E709D2">
            <w:pPr>
              <w:jc w:val="center"/>
              <w:rPr>
                <w:rFonts w:eastAsia="Times New Roman" w:cs="Calibri"/>
                <w:color w:val="FFFFFF"/>
                <w:sz w:val="16"/>
                <w:szCs w:val="16"/>
              </w:rPr>
            </w:pPr>
            <w:r w:rsidRPr="00FC41D3">
              <w:rPr>
                <w:rFonts w:eastAsia="Times New Roman" w:cs="Calibri"/>
                <w:color w:val="FFFFFF"/>
                <w:sz w:val="16"/>
                <w:szCs w:val="16"/>
              </w:rPr>
              <w:t>Entidad</w:t>
            </w:r>
          </w:p>
        </w:tc>
        <w:tc>
          <w:tcPr>
            <w:tcW w:w="1338" w:type="dxa"/>
            <w:noWrap/>
            <w:vAlign w:val="center"/>
            <w:hideMark/>
          </w:tcPr>
          <w:p w:rsidR="00FC41D3" w:rsidRPr="00FC41D3" w:rsidRDefault="00FC41D3" w:rsidP="00E709D2">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rPr>
            </w:pPr>
            <w:r w:rsidRPr="00FC41D3">
              <w:rPr>
                <w:rFonts w:eastAsia="Times New Roman" w:cs="Calibri"/>
                <w:color w:val="FFFFFF"/>
                <w:sz w:val="16"/>
                <w:szCs w:val="16"/>
              </w:rPr>
              <w:t>Cumplimiento</w:t>
            </w:r>
          </w:p>
        </w:tc>
        <w:tc>
          <w:tcPr>
            <w:tcW w:w="1418" w:type="dxa"/>
            <w:vAlign w:val="center"/>
            <w:hideMark/>
          </w:tcPr>
          <w:p w:rsidR="00FC41D3" w:rsidRPr="00FC41D3" w:rsidRDefault="00FC41D3" w:rsidP="00E709D2">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rPr>
            </w:pPr>
            <w:r w:rsidRPr="00FC41D3">
              <w:rPr>
                <w:rFonts w:eastAsia="Times New Roman" w:cs="Calibri"/>
                <w:color w:val="FFFFFF"/>
                <w:sz w:val="16"/>
                <w:szCs w:val="16"/>
              </w:rPr>
              <w:t>Diferencia respecto de 2021 (puntos porcentuales)</w:t>
            </w:r>
          </w:p>
        </w:tc>
        <w:tc>
          <w:tcPr>
            <w:tcW w:w="1559" w:type="dxa"/>
            <w:vAlign w:val="center"/>
            <w:hideMark/>
          </w:tcPr>
          <w:p w:rsidR="00FC41D3" w:rsidRPr="00FC41D3" w:rsidRDefault="00FC41D3" w:rsidP="00E709D2">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rPr>
            </w:pPr>
            <w:r w:rsidRPr="00FC41D3">
              <w:rPr>
                <w:rFonts w:eastAsia="Times New Roman" w:cs="Calibri"/>
                <w:color w:val="FFFFFF"/>
                <w:sz w:val="16"/>
                <w:szCs w:val="16"/>
              </w:rPr>
              <w:t>Recomendaciones efectuadas</w:t>
            </w:r>
          </w:p>
        </w:tc>
        <w:tc>
          <w:tcPr>
            <w:tcW w:w="1701" w:type="dxa"/>
            <w:vAlign w:val="center"/>
            <w:hideMark/>
          </w:tcPr>
          <w:p w:rsidR="00FC41D3" w:rsidRPr="00FC41D3" w:rsidRDefault="00FC41D3" w:rsidP="00E709D2">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rPr>
            </w:pPr>
            <w:r w:rsidRPr="00FC41D3">
              <w:rPr>
                <w:rFonts w:eastAsia="Times New Roman" w:cs="Calibri"/>
                <w:color w:val="FFFFFF"/>
                <w:sz w:val="16"/>
                <w:szCs w:val="16"/>
              </w:rPr>
              <w:t>Recomendaciones aplicadas</w:t>
            </w:r>
          </w:p>
        </w:tc>
        <w:tc>
          <w:tcPr>
            <w:tcW w:w="1702" w:type="dxa"/>
            <w:vAlign w:val="center"/>
            <w:hideMark/>
          </w:tcPr>
          <w:p w:rsidR="00FC41D3" w:rsidRPr="00FC41D3" w:rsidRDefault="00FC41D3" w:rsidP="00E709D2">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rPr>
            </w:pPr>
            <w:r w:rsidRPr="00FC41D3">
              <w:rPr>
                <w:rFonts w:eastAsia="Times New Roman" w:cs="Calibri"/>
                <w:color w:val="FFFFFF"/>
                <w:sz w:val="16"/>
                <w:szCs w:val="16"/>
              </w:rPr>
              <w:t>Recomendaciones o Mejoras implantadas durante el periodo de observaciones</w:t>
            </w: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APRAMP</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100</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55,1</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9</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9</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Lares Asociación</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89,0</w:t>
            </w:r>
          </w:p>
        </w:tc>
        <w:tc>
          <w:tcPr>
            <w:tcW w:w="4678" w:type="dxa"/>
            <w:gridSpan w:val="3"/>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Cáritas</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86,1</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4</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Real Federación Española de Béisbol</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83,1</w:t>
            </w:r>
          </w:p>
        </w:tc>
        <w:tc>
          <w:tcPr>
            <w:tcW w:w="4678" w:type="dxa"/>
            <w:gridSpan w:val="3"/>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Confederación Personas Sordas</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83,0</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3,9</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4</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proofErr w:type="spellStart"/>
            <w:r w:rsidRPr="004C2585">
              <w:rPr>
                <w:rFonts w:ascii="Calibri" w:eastAsia="Times New Roman" w:hAnsi="Calibri" w:cs="Calibri"/>
                <w:sz w:val="18"/>
                <w:szCs w:val="18"/>
              </w:rPr>
              <w:t>Fed</w:t>
            </w:r>
            <w:proofErr w:type="spellEnd"/>
            <w:r w:rsidRPr="004C2585">
              <w:rPr>
                <w:rFonts w:ascii="Calibri" w:eastAsia="Times New Roman" w:hAnsi="Calibri" w:cs="Calibri"/>
                <w:sz w:val="18"/>
                <w:szCs w:val="18"/>
              </w:rPr>
              <w:t xml:space="preserve"> Española ganado selecto</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82,1</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63,7</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12</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10</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 xml:space="preserve">Fundación  Centro Cirugía Min. Inv. Jesús </w:t>
            </w:r>
            <w:proofErr w:type="spellStart"/>
            <w:r w:rsidRPr="004C2585">
              <w:rPr>
                <w:rFonts w:ascii="Calibri" w:eastAsia="Times New Roman" w:hAnsi="Calibri" w:cs="Calibri"/>
                <w:sz w:val="18"/>
                <w:szCs w:val="18"/>
              </w:rPr>
              <w:t>Usón</w:t>
            </w:r>
            <w:proofErr w:type="spellEnd"/>
            <w:r w:rsidRPr="004C2585">
              <w:rPr>
                <w:rFonts w:ascii="Calibri" w:eastAsia="Times New Roman" w:hAnsi="Calibri" w:cs="Calibri"/>
                <w:sz w:val="18"/>
                <w:szCs w:val="18"/>
              </w:rPr>
              <w:t xml:space="preserve"> (CCMIJU) </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74,0</w:t>
            </w:r>
          </w:p>
        </w:tc>
        <w:tc>
          <w:tcPr>
            <w:tcW w:w="1418" w:type="dxa"/>
            <w:noWrap/>
            <w:hideMark/>
          </w:tcPr>
          <w:p w:rsidR="00FC41D3" w:rsidRPr="004C2585" w:rsidRDefault="00E709D2"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20,9</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8</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4</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FACUA</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70,7</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45,7</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13</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10</w:t>
            </w:r>
          </w:p>
        </w:tc>
        <w:tc>
          <w:tcPr>
            <w:tcW w:w="1702"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3</w:t>
            </w: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proofErr w:type="spellStart"/>
            <w:r w:rsidRPr="004C2585">
              <w:rPr>
                <w:rFonts w:ascii="Calibri" w:eastAsia="Times New Roman" w:hAnsi="Calibri" w:cs="Calibri"/>
                <w:sz w:val="18"/>
                <w:szCs w:val="18"/>
              </w:rPr>
              <w:t>Institut</w:t>
            </w:r>
            <w:proofErr w:type="spellEnd"/>
            <w:r w:rsidRPr="004C2585">
              <w:rPr>
                <w:rFonts w:ascii="Calibri" w:eastAsia="Times New Roman" w:hAnsi="Calibri" w:cs="Calibri"/>
                <w:sz w:val="18"/>
                <w:szCs w:val="18"/>
              </w:rPr>
              <w:t xml:space="preserve"> de Recerca contra la Leucemia Josep Carreras </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70,4</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6,6</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8</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3</w:t>
            </w:r>
          </w:p>
        </w:tc>
        <w:tc>
          <w:tcPr>
            <w:tcW w:w="1702"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3</w:t>
            </w:r>
          </w:p>
        </w:tc>
      </w:tr>
      <w:tr w:rsidR="00FC41D3" w:rsidRPr="00FC41D3" w:rsidTr="00FC41D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ACERINOX</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68,4</w:t>
            </w:r>
          </w:p>
        </w:tc>
        <w:tc>
          <w:tcPr>
            <w:tcW w:w="4678" w:type="dxa"/>
            <w:gridSpan w:val="3"/>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CEOE</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64,8</w:t>
            </w:r>
          </w:p>
        </w:tc>
        <w:tc>
          <w:tcPr>
            <w:tcW w:w="4678" w:type="dxa"/>
            <w:gridSpan w:val="3"/>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FEMP</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64,8</w:t>
            </w:r>
          </w:p>
        </w:tc>
        <w:tc>
          <w:tcPr>
            <w:tcW w:w="4678" w:type="dxa"/>
            <w:gridSpan w:val="3"/>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Real Federación Española de Fútbol</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64,8</w:t>
            </w:r>
          </w:p>
        </w:tc>
        <w:tc>
          <w:tcPr>
            <w:tcW w:w="4678" w:type="dxa"/>
            <w:gridSpan w:val="3"/>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Real Federación Española de Taekwondo</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64,3</w:t>
            </w:r>
          </w:p>
        </w:tc>
        <w:tc>
          <w:tcPr>
            <w:tcW w:w="4678" w:type="dxa"/>
            <w:gridSpan w:val="3"/>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Fundación ONCE</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62,5</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11,1</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7</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Laboratorios ROVI</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62,2</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6</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Aldeas Infantiles SOS</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60,1</w:t>
            </w:r>
          </w:p>
        </w:tc>
        <w:tc>
          <w:tcPr>
            <w:tcW w:w="4678" w:type="dxa"/>
            <w:gridSpan w:val="3"/>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Instituto Investigación Sanitaria Fundación Jiménez Díaz</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59,2</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29,2</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12</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8</w:t>
            </w:r>
          </w:p>
        </w:tc>
        <w:tc>
          <w:tcPr>
            <w:tcW w:w="1702"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5</w:t>
            </w:r>
          </w:p>
        </w:tc>
      </w:tr>
      <w:tr w:rsidR="00FC41D3" w:rsidRPr="00FC41D3" w:rsidTr="00FC4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Federación de Enseñanza CC.OO</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57,1</w:t>
            </w:r>
          </w:p>
        </w:tc>
        <w:tc>
          <w:tcPr>
            <w:tcW w:w="4678" w:type="dxa"/>
            <w:gridSpan w:val="3"/>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ACULCO Asociación Sociocultural</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55,6</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25</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11</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5</w:t>
            </w:r>
          </w:p>
        </w:tc>
        <w:tc>
          <w:tcPr>
            <w:tcW w:w="1702"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2</w:t>
            </w:r>
          </w:p>
        </w:tc>
      </w:tr>
      <w:tr w:rsidR="00FC41D3" w:rsidRPr="00FC41D3" w:rsidTr="00FC4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Fundación 1º de Mayo</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52,0</w:t>
            </w:r>
          </w:p>
        </w:tc>
        <w:tc>
          <w:tcPr>
            <w:tcW w:w="4678" w:type="dxa"/>
            <w:gridSpan w:val="3"/>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Red Acoge</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51,0</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7,1</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9</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2</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Fundación Concordia y Libertad</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49,5</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11,7</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9</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2</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CETM</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47,3</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8,8</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10</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Sociedad Española de Ornitología</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46,9</w:t>
            </w:r>
          </w:p>
        </w:tc>
        <w:tc>
          <w:tcPr>
            <w:tcW w:w="4678" w:type="dxa"/>
            <w:gridSpan w:val="3"/>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9</w:t>
            </w:r>
          </w:p>
        </w:tc>
      </w:tr>
      <w:tr w:rsidR="00FC41D3" w:rsidRPr="00FC41D3" w:rsidTr="00FC41D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lastRenderedPageBreak/>
              <w:t>Acción contra el Hambre</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40,3</w:t>
            </w:r>
          </w:p>
        </w:tc>
        <w:tc>
          <w:tcPr>
            <w:tcW w:w="4678" w:type="dxa"/>
            <w:gridSpan w:val="3"/>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Fundación de Investigación HM Hospitales</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36,2</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11</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Alianza por la Solidaridad</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35,7</w:t>
            </w:r>
          </w:p>
        </w:tc>
        <w:tc>
          <w:tcPr>
            <w:tcW w:w="4678" w:type="dxa"/>
            <w:gridSpan w:val="3"/>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Universidad Camilo José Cela</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35,7</w:t>
            </w:r>
          </w:p>
        </w:tc>
        <w:tc>
          <w:tcPr>
            <w:tcW w:w="4678" w:type="dxa"/>
            <w:gridSpan w:val="3"/>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Fundación Raíces</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35,2</w:t>
            </w:r>
          </w:p>
        </w:tc>
        <w:tc>
          <w:tcPr>
            <w:tcW w:w="4678" w:type="dxa"/>
            <w:gridSpan w:val="3"/>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Fundación Pablo Iglesias</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32,7</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10</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5</w:t>
            </w: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FSP-UGT</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31,6</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12</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NEPTIBOX</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27,2</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12</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Centro Español del Plástico</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26,5</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11</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proofErr w:type="spellStart"/>
            <w:r w:rsidRPr="004C2585">
              <w:rPr>
                <w:rFonts w:ascii="Calibri" w:eastAsia="Times New Roman" w:hAnsi="Calibri" w:cs="Calibri"/>
                <w:sz w:val="18"/>
                <w:szCs w:val="18"/>
              </w:rPr>
              <w:t>Solartys</w:t>
            </w:r>
            <w:proofErr w:type="spellEnd"/>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25,5</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12</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FENADISMER</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25,0</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11</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APROMAR</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24,5</w:t>
            </w:r>
          </w:p>
        </w:tc>
        <w:tc>
          <w:tcPr>
            <w:tcW w:w="4678" w:type="dxa"/>
            <w:gridSpan w:val="3"/>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UBE SPAIN</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24,5</w:t>
            </w:r>
          </w:p>
        </w:tc>
        <w:tc>
          <w:tcPr>
            <w:tcW w:w="4678" w:type="dxa"/>
            <w:gridSpan w:val="3"/>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 xml:space="preserve">Asociación </w:t>
            </w:r>
            <w:proofErr w:type="spellStart"/>
            <w:r w:rsidRPr="004C2585">
              <w:rPr>
                <w:rFonts w:ascii="Calibri" w:eastAsia="Times New Roman" w:hAnsi="Calibri" w:cs="Calibri"/>
                <w:sz w:val="18"/>
                <w:szCs w:val="18"/>
              </w:rPr>
              <w:t>Cluster</w:t>
            </w:r>
            <w:proofErr w:type="spellEnd"/>
            <w:r w:rsidRPr="004C2585">
              <w:rPr>
                <w:rFonts w:ascii="Calibri" w:eastAsia="Times New Roman" w:hAnsi="Calibri" w:cs="Calibri"/>
                <w:sz w:val="18"/>
                <w:szCs w:val="18"/>
              </w:rPr>
              <w:t xml:space="preserve"> Granada</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23,5</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11</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UVAX</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21,3</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14</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GS INIMA</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20,2</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13</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proofErr w:type="spellStart"/>
            <w:r w:rsidRPr="004C2585">
              <w:rPr>
                <w:rFonts w:ascii="Calibri" w:eastAsia="Times New Roman" w:hAnsi="Calibri" w:cs="Calibri"/>
                <w:sz w:val="18"/>
                <w:szCs w:val="18"/>
              </w:rPr>
              <w:t>Coop</w:t>
            </w:r>
            <w:proofErr w:type="spellEnd"/>
            <w:r w:rsidRPr="004C2585">
              <w:rPr>
                <w:rFonts w:ascii="Calibri" w:eastAsia="Times New Roman" w:hAnsi="Calibri" w:cs="Calibri"/>
                <w:sz w:val="18"/>
                <w:szCs w:val="18"/>
              </w:rPr>
              <w:t>. Vinícola Extremeña San José</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19,9</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12</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OPPC3</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19,4</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14</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Asociación Armadores Punta del Moral</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18,9</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0,5</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13</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Cooperativas Agroalimentarias</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18,9</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10</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proofErr w:type="spellStart"/>
            <w:r w:rsidRPr="004C2585">
              <w:rPr>
                <w:rFonts w:ascii="Calibri" w:eastAsia="Times New Roman" w:hAnsi="Calibri" w:cs="Calibri"/>
                <w:sz w:val="18"/>
                <w:szCs w:val="18"/>
              </w:rPr>
              <w:t>Asoc</w:t>
            </w:r>
            <w:proofErr w:type="spellEnd"/>
            <w:r w:rsidRPr="004C2585">
              <w:rPr>
                <w:rFonts w:ascii="Calibri" w:eastAsia="Times New Roman" w:hAnsi="Calibri" w:cs="Calibri"/>
                <w:sz w:val="18"/>
                <w:szCs w:val="18"/>
              </w:rPr>
              <w:t>. Clúster Energía Comunidad Valenciana</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18,4</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12</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Guadaira Servicios Ambientales</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18,4</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12</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PROGESTIÓN</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18,4</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12</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proofErr w:type="spellStart"/>
            <w:r w:rsidRPr="004C2585">
              <w:rPr>
                <w:rFonts w:ascii="Calibri" w:eastAsia="Times New Roman" w:hAnsi="Calibri" w:cs="Calibri"/>
                <w:sz w:val="18"/>
                <w:szCs w:val="18"/>
              </w:rPr>
              <w:t>1A</w:t>
            </w:r>
            <w:proofErr w:type="spellEnd"/>
            <w:r w:rsidRPr="004C2585">
              <w:rPr>
                <w:rFonts w:ascii="Calibri" w:eastAsia="Times New Roman" w:hAnsi="Calibri" w:cs="Calibri"/>
                <w:sz w:val="18"/>
                <w:szCs w:val="18"/>
              </w:rPr>
              <w:t xml:space="preserve"> Ingenieros SLP</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18,4</w:t>
            </w:r>
          </w:p>
        </w:tc>
        <w:tc>
          <w:tcPr>
            <w:tcW w:w="4678" w:type="dxa"/>
            <w:gridSpan w:val="3"/>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BAOBAB Soluciones, SL</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18,4</w:t>
            </w:r>
          </w:p>
        </w:tc>
        <w:tc>
          <w:tcPr>
            <w:tcW w:w="4678" w:type="dxa"/>
            <w:gridSpan w:val="3"/>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SAMPOL</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18,4</w:t>
            </w:r>
          </w:p>
        </w:tc>
        <w:tc>
          <w:tcPr>
            <w:tcW w:w="4678" w:type="dxa"/>
            <w:gridSpan w:val="3"/>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SOFIDEL</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18,4</w:t>
            </w:r>
          </w:p>
        </w:tc>
        <w:tc>
          <w:tcPr>
            <w:tcW w:w="4678" w:type="dxa"/>
            <w:gridSpan w:val="3"/>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ASAJA</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17,9</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12</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AUC</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17,9</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9</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ALUDIUM Transformación de Productos SL</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17,3</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12</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Fundación San Ezequiel Moreno</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16,3</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13</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2</w:t>
            </w: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CSIF</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13,3</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13</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lastRenderedPageBreak/>
              <w:t>Inés Rosales, SAU</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13,3</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13</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Sociedad Española de Construcciones Eléctricas SA</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12,9</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13</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ROBOTNIK</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12,9</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14</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Metálicas COYSA</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12,8</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6,7</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14</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Fundación Cultural Oficina Media España</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12,2</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14</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Mondragón Sistemas de Información</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6,1</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14</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Velamen SA</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6,1</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14</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EVARM Innovación SL</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6,1</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14</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 xml:space="preserve">VERSA </w:t>
            </w:r>
            <w:proofErr w:type="spellStart"/>
            <w:r w:rsidRPr="004C2585">
              <w:rPr>
                <w:rFonts w:ascii="Calibri" w:eastAsia="Times New Roman" w:hAnsi="Calibri" w:cs="Calibri"/>
                <w:sz w:val="18"/>
                <w:szCs w:val="18"/>
              </w:rPr>
              <w:t>Design</w:t>
            </w:r>
            <w:proofErr w:type="spellEnd"/>
            <w:r w:rsidRPr="004C2585">
              <w:rPr>
                <w:rFonts w:ascii="Calibri" w:eastAsia="Times New Roman" w:hAnsi="Calibri" w:cs="Calibri"/>
                <w:sz w:val="18"/>
                <w:szCs w:val="18"/>
              </w:rPr>
              <w:t xml:space="preserve"> SL</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6,1</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14</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INMUNOTEK</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6,1</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14</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Laboratorios LETI</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6,1</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14</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Cítricos La Paz</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6,1</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14</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 xml:space="preserve">OTC </w:t>
            </w:r>
            <w:proofErr w:type="spellStart"/>
            <w:r w:rsidRPr="004C2585">
              <w:rPr>
                <w:rFonts w:ascii="Calibri" w:eastAsia="Times New Roman" w:hAnsi="Calibri" w:cs="Calibri"/>
                <w:sz w:val="18"/>
                <w:szCs w:val="18"/>
              </w:rPr>
              <w:t>Engineering</w:t>
            </w:r>
            <w:proofErr w:type="spellEnd"/>
            <w:r w:rsidRPr="004C2585">
              <w:rPr>
                <w:rFonts w:ascii="Calibri" w:eastAsia="Times New Roman" w:hAnsi="Calibri" w:cs="Calibri"/>
                <w:sz w:val="18"/>
                <w:szCs w:val="18"/>
              </w:rPr>
              <w:t xml:space="preserve"> , SL</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6,1</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14</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GLOBAL FEED, SL</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6,1</w:t>
            </w:r>
          </w:p>
        </w:tc>
        <w:tc>
          <w:tcPr>
            <w:tcW w:w="141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14</w:t>
            </w:r>
          </w:p>
        </w:tc>
        <w:tc>
          <w:tcPr>
            <w:tcW w:w="1701"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4C2585">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FIET GRATIA</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6,1</w:t>
            </w:r>
          </w:p>
        </w:tc>
        <w:tc>
          <w:tcPr>
            <w:tcW w:w="141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559"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15</w:t>
            </w:r>
          </w:p>
        </w:tc>
        <w:tc>
          <w:tcPr>
            <w:tcW w:w="1701"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0</w:t>
            </w:r>
          </w:p>
        </w:tc>
        <w:tc>
          <w:tcPr>
            <w:tcW w:w="1702"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6</w:t>
            </w:r>
          </w:p>
        </w:tc>
      </w:tr>
      <w:tr w:rsidR="00FC41D3" w:rsidRPr="00FC41D3" w:rsidTr="00FC4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ADAMO</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6,1</w:t>
            </w:r>
          </w:p>
        </w:tc>
        <w:tc>
          <w:tcPr>
            <w:tcW w:w="4678" w:type="dxa"/>
            <w:gridSpan w:val="3"/>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INTARCON</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6,1</w:t>
            </w:r>
          </w:p>
        </w:tc>
        <w:tc>
          <w:tcPr>
            <w:tcW w:w="4678" w:type="dxa"/>
            <w:gridSpan w:val="3"/>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MEGASA</w:t>
            </w:r>
          </w:p>
        </w:tc>
        <w:tc>
          <w:tcPr>
            <w:tcW w:w="1338" w:type="dxa"/>
            <w:noWrap/>
            <w:hideMark/>
          </w:tcPr>
          <w:p w:rsidR="00FC41D3" w:rsidRPr="004C2585" w:rsidRDefault="00FC41D3" w:rsidP="00FC41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6,1</w:t>
            </w:r>
          </w:p>
        </w:tc>
        <w:tc>
          <w:tcPr>
            <w:tcW w:w="4678" w:type="dxa"/>
            <w:gridSpan w:val="3"/>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FC41D3" w:rsidRPr="00FC41D3" w:rsidTr="00FC41D3">
        <w:trPr>
          <w:trHeight w:val="300"/>
        </w:trPr>
        <w:tc>
          <w:tcPr>
            <w:cnfStyle w:val="001000000000" w:firstRow="0" w:lastRow="0" w:firstColumn="1" w:lastColumn="0" w:oddVBand="0" w:evenVBand="0" w:oddHBand="0" w:evenHBand="0" w:firstRowFirstColumn="0" w:firstRowLastColumn="0" w:lastRowFirstColumn="0" w:lastRowLastColumn="0"/>
            <w:tcW w:w="3340" w:type="dxa"/>
            <w:noWrap/>
            <w:hideMark/>
          </w:tcPr>
          <w:p w:rsidR="00FC41D3" w:rsidRPr="004C2585" w:rsidRDefault="00FC41D3" w:rsidP="00FC41D3">
            <w:pPr>
              <w:jc w:val="left"/>
              <w:rPr>
                <w:rFonts w:ascii="Calibri" w:eastAsia="Times New Roman" w:hAnsi="Calibri" w:cs="Calibri"/>
                <w:sz w:val="18"/>
                <w:szCs w:val="18"/>
              </w:rPr>
            </w:pPr>
            <w:r w:rsidRPr="004C2585">
              <w:rPr>
                <w:rFonts w:ascii="Calibri" w:eastAsia="Times New Roman" w:hAnsi="Calibri" w:cs="Calibri"/>
                <w:sz w:val="18"/>
                <w:szCs w:val="18"/>
              </w:rPr>
              <w:t>QUIBIM</w:t>
            </w:r>
          </w:p>
        </w:tc>
        <w:tc>
          <w:tcPr>
            <w:tcW w:w="1338" w:type="dxa"/>
            <w:noWrap/>
            <w:hideMark/>
          </w:tcPr>
          <w:p w:rsidR="00FC41D3" w:rsidRPr="004C2585" w:rsidRDefault="00FC41D3" w:rsidP="00FC41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C2585">
              <w:rPr>
                <w:rFonts w:ascii="Calibri" w:eastAsia="Times New Roman" w:hAnsi="Calibri" w:cs="Calibri"/>
                <w:sz w:val="18"/>
                <w:szCs w:val="18"/>
              </w:rPr>
              <w:t>6,1</w:t>
            </w:r>
          </w:p>
        </w:tc>
        <w:tc>
          <w:tcPr>
            <w:tcW w:w="4678" w:type="dxa"/>
            <w:gridSpan w:val="3"/>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4C2585">
              <w:rPr>
                <w:rFonts w:ascii="Calibri" w:eastAsia="Times New Roman" w:hAnsi="Calibri" w:cs="Calibri"/>
                <w:color w:val="000000"/>
                <w:sz w:val="18"/>
                <w:szCs w:val="18"/>
              </w:rPr>
              <w:t>Primera evaluación en 2022</w:t>
            </w:r>
          </w:p>
        </w:tc>
        <w:tc>
          <w:tcPr>
            <w:tcW w:w="1702" w:type="dxa"/>
            <w:noWrap/>
            <w:hideMark/>
          </w:tcPr>
          <w:p w:rsidR="00FC41D3" w:rsidRPr="004C2585" w:rsidRDefault="00FC41D3" w:rsidP="00FC41D3">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bl>
    <w:p w:rsidR="008A7D3B" w:rsidRDefault="008A7D3B" w:rsidP="00513EC7">
      <w:pPr>
        <w:pStyle w:val="Ttulo3"/>
      </w:pPr>
    </w:p>
    <w:p w:rsidR="008A7D3B" w:rsidRDefault="008A7D3B" w:rsidP="00513EC7">
      <w:pPr>
        <w:pStyle w:val="Ttulo3"/>
      </w:pPr>
    </w:p>
    <w:p w:rsidR="00513EC7" w:rsidRDefault="00F23BD7" w:rsidP="00E719EF">
      <w:pPr>
        <w:pStyle w:val="Ttulo2"/>
      </w:pPr>
      <w:bookmarkStart w:id="18" w:name="_Toc120521821"/>
      <w:r>
        <w:t>III.</w:t>
      </w:r>
      <w:r w:rsidR="00E719EF">
        <w:t>3</w:t>
      </w:r>
      <w:r>
        <w:t xml:space="preserve">. </w:t>
      </w:r>
      <w:r w:rsidR="00513EC7">
        <w:t xml:space="preserve">Transparencia </w:t>
      </w:r>
      <w:r w:rsidR="00384774">
        <w:t xml:space="preserve">Voluntaria </w:t>
      </w:r>
      <w:r w:rsidR="00513EC7">
        <w:t xml:space="preserve"> y Buenas  Prácticas</w:t>
      </w:r>
      <w:r w:rsidR="003D3102">
        <w:rPr>
          <w:rStyle w:val="Refdenotaalpie"/>
        </w:rPr>
        <w:footnoteReference w:id="3"/>
      </w:r>
      <w:bookmarkEnd w:id="18"/>
    </w:p>
    <w:p w:rsidR="004C2585" w:rsidRDefault="004C2585" w:rsidP="005F0168"/>
    <w:p w:rsidR="005F0168" w:rsidRDefault="0008061C" w:rsidP="005F0168">
      <w:r>
        <w:t>Además de la información sujeta a obligaciones de publicidad activa</w:t>
      </w:r>
      <w:r w:rsidR="00FC41D3">
        <w:t>,</w:t>
      </w:r>
      <w:r>
        <w:t xml:space="preserve"> </w:t>
      </w:r>
      <w:r w:rsidR="002A7CBE">
        <w:t>algunas</w:t>
      </w:r>
      <w:r w:rsidR="008A7D3B">
        <w:t xml:space="preserve"> de</w:t>
      </w:r>
      <w:r w:rsidR="002A7CBE">
        <w:t xml:space="preserve"> la</w:t>
      </w:r>
      <w:r>
        <w:t xml:space="preserve">s </w:t>
      </w:r>
      <w:r w:rsidR="002A7CBE">
        <w:t>entidades evaluada</w:t>
      </w:r>
      <w:r>
        <w:t>s</w:t>
      </w:r>
      <w:r w:rsidR="00FC41D3">
        <w:t>,</w:t>
      </w:r>
      <w:r>
        <w:t xml:space="preserve"> publican información </w:t>
      </w:r>
      <w:r w:rsidR="00384774">
        <w:t>voluntaria</w:t>
      </w:r>
      <w:r>
        <w:t xml:space="preserve">, relevante desde el punto de vista de la </w:t>
      </w:r>
      <w:r w:rsidR="00247E8E">
        <w:t>rendición de cuentas</w:t>
      </w:r>
      <w:r>
        <w:t>, lo que constituye una muestra de su interés por hacer más transparente su gestión.</w:t>
      </w:r>
      <w:r w:rsidR="001963A1">
        <w:t xml:space="preserve"> Algunas de estas informaciones son obligaciones de publicidad activa</w:t>
      </w:r>
      <w:r w:rsidR="001D59CA">
        <w:t>,</w:t>
      </w:r>
      <w:r w:rsidR="001963A1">
        <w:t xml:space="preserve"> recogidas en la LTAIBG</w:t>
      </w:r>
      <w:r w:rsidR="001D59CA">
        <w:t>,</w:t>
      </w:r>
      <w:r w:rsidR="001963A1">
        <w:t xml:space="preserve"> pero que no son aplicables a las organizaciones que las publican, por ejemplo, la información sobre planificación </w:t>
      </w:r>
      <w:r w:rsidR="002A7CBE">
        <w:t>o sobre las actividades que realizan</w:t>
      </w:r>
      <w:r w:rsidR="001963A1">
        <w:t>.</w:t>
      </w:r>
    </w:p>
    <w:p w:rsidR="0008061C" w:rsidRDefault="00FC41D3" w:rsidP="005F0168">
      <w:r>
        <w:t>El</w:t>
      </w:r>
      <w:r w:rsidR="0008061C">
        <w:t xml:space="preserve"> siguiente </w:t>
      </w:r>
      <w:r>
        <w:t>cuadro</w:t>
      </w:r>
      <w:r w:rsidR="0008061C">
        <w:t xml:space="preserve"> recoge las informaciones de transparencia </w:t>
      </w:r>
      <w:r w:rsidR="00AF02EB">
        <w:t>voluntaria</w:t>
      </w:r>
      <w:r w:rsidR="0008061C">
        <w:t xml:space="preserve"> que se publican, ordenadas en función de la frecuencia de publicación. También se </w:t>
      </w:r>
      <w:r w:rsidR="0008061C">
        <w:lastRenderedPageBreak/>
        <w:t xml:space="preserve">recogen otras informaciones complementarias menos frecuentes, pero significativas respecto de la rendición de cuentas. </w:t>
      </w:r>
    </w:p>
    <w:p w:rsidR="00801472" w:rsidRPr="00801472" w:rsidRDefault="00801472" w:rsidP="00801472">
      <w:pPr>
        <w:pStyle w:val="Epgrafe"/>
        <w:keepNext/>
        <w:rPr>
          <w:color w:val="438086" w:themeColor="accent2"/>
          <w:sz w:val="22"/>
          <w:szCs w:val="22"/>
        </w:rPr>
      </w:pPr>
      <w:r w:rsidRPr="00801472">
        <w:rPr>
          <w:color w:val="438086" w:themeColor="accent2"/>
          <w:sz w:val="22"/>
          <w:szCs w:val="22"/>
        </w:rPr>
        <w:t xml:space="preserve">Cuadro </w:t>
      </w:r>
      <w:r w:rsidRPr="00801472">
        <w:rPr>
          <w:color w:val="438086" w:themeColor="accent2"/>
          <w:sz w:val="22"/>
          <w:szCs w:val="22"/>
        </w:rPr>
        <w:fldChar w:fldCharType="begin"/>
      </w:r>
      <w:r w:rsidRPr="00801472">
        <w:rPr>
          <w:color w:val="438086" w:themeColor="accent2"/>
          <w:sz w:val="22"/>
          <w:szCs w:val="22"/>
        </w:rPr>
        <w:instrText xml:space="preserve"> SEQ Cuadro \* ARABIC </w:instrText>
      </w:r>
      <w:r w:rsidRPr="00801472">
        <w:rPr>
          <w:color w:val="438086" w:themeColor="accent2"/>
          <w:sz w:val="22"/>
          <w:szCs w:val="22"/>
        </w:rPr>
        <w:fldChar w:fldCharType="separate"/>
      </w:r>
      <w:r w:rsidR="001D59CA">
        <w:rPr>
          <w:noProof/>
          <w:color w:val="438086" w:themeColor="accent2"/>
          <w:sz w:val="22"/>
          <w:szCs w:val="22"/>
        </w:rPr>
        <w:t>2</w:t>
      </w:r>
      <w:r w:rsidRPr="00801472">
        <w:rPr>
          <w:color w:val="438086" w:themeColor="accent2"/>
          <w:sz w:val="22"/>
          <w:szCs w:val="22"/>
        </w:rPr>
        <w:fldChar w:fldCharType="end"/>
      </w:r>
      <w:r w:rsidRPr="00801472">
        <w:rPr>
          <w:color w:val="438086" w:themeColor="accent2"/>
          <w:sz w:val="22"/>
          <w:szCs w:val="22"/>
        </w:rPr>
        <w:t xml:space="preserve">: Transparencia Voluntaria en las </w:t>
      </w:r>
      <w:r w:rsidR="00BF3F82">
        <w:rPr>
          <w:color w:val="438086" w:themeColor="accent2"/>
          <w:sz w:val="22"/>
          <w:szCs w:val="22"/>
        </w:rPr>
        <w:t xml:space="preserve">entidades </w:t>
      </w:r>
      <w:r w:rsidR="003D3102">
        <w:rPr>
          <w:color w:val="438086" w:themeColor="accent2"/>
          <w:sz w:val="22"/>
          <w:szCs w:val="22"/>
        </w:rPr>
        <w:t>perceptoras de subvenciones y ayudas públicas evaluadas por primera vez en 202</w:t>
      </w:r>
      <w:r w:rsidR="00FC41D3">
        <w:rPr>
          <w:color w:val="438086" w:themeColor="accent2"/>
          <w:sz w:val="22"/>
          <w:szCs w:val="22"/>
        </w:rPr>
        <w:t>2</w:t>
      </w:r>
      <w:r w:rsidR="00BF3F82">
        <w:rPr>
          <w:color w:val="438086" w:themeColor="accent2"/>
          <w:sz w:val="22"/>
          <w:szCs w:val="22"/>
        </w:rPr>
        <w:t>.</w:t>
      </w:r>
    </w:p>
    <w:tbl>
      <w:tblPr>
        <w:tblStyle w:val="Listavistosa-nfasis2"/>
        <w:tblW w:w="0" w:type="auto"/>
        <w:tblLook w:val="04A0" w:firstRow="1" w:lastRow="0" w:firstColumn="1" w:lastColumn="0" w:noHBand="0" w:noVBand="1"/>
      </w:tblPr>
      <w:tblGrid>
        <w:gridCol w:w="4077"/>
        <w:gridCol w:w="4791"/>
      </w:tblGrid>
      <w:tr w:rsidR="009B529F" w:rsidRPr="009B529F" w:rsidTr="00BD4F6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9B529F" w:rsidRPr="00BD4F6E" w:rsidRDefault="009B529F" w:rsidP="009B529F">
            <w:pPr>
              <w:jc w:val="center"/>
              <w:rPr>
                <w:b w:val="0"/>
                <w:sz w:val="18"/>
                <w:szCs w:val="18"/>
              </w:rPr>
            </w:pPr>
            <w:r w:rsidRPr="00BD4F6E">
              <w:rPr>
                <w:b w:val="0"/>
                <w:sz w:val="18"/>
                <w:szCs w:val="18"/>
              </w:rPr>
              <w:t>Informaciones voluntarias</w:t>
            </w:r>
          </w:p>
        </w:tc>
        <w:tc>
          <w:tcPr>
            <w:tcW w:w="4791" w:type="dxa"/>
            <w:noWrap/>
          </w:tcPr>
          <w:p w:rsidR="009B529F" w:rsidRPr="009B529F" w:rsidRDefault="009B529F" w:rsidP="009B529F">
            <w:pPr>
              <w:jc w:val="center"/>
              <w:cnfStyle w:val="100000000000" w:firstRow="1" w:lastRow="0" w:firstColumn="0" w:lastColumn="0" w:oddVBand="0" w:evenVBand="0" w:oddHBand="0" w:evenHBand="0" w:firstRowFirstColumn="0" w:firstRowLastColumn="0" w:lastRowFirstColumn="0" w:lastRowLastColumn="0"/>
              <w:rPr>
                <w:sz w:val="18"/>
                <w:szCs w:val="18"/>
              </w:rPr>
            </w:pPr>
            <w:r w:rsidRPr="009B529F">
              <w:rPr>
                <w:sz w:val="18"/>
                <w:szCs w:val="18"/>
              </w:rPr>
              <w:t>Entidades</w:t>
            </w:r>
          </w:p>
        </w:tc>
      </w:tr>
      <w:tr w:rsidR="002A7CBE" w:rsidRPr="009B529F" w:rsidTr="00BD4F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2A7CBE" w:rsidRPr="002A7CBE" w:rsidRDefault="002A7CBE" w:rsidP="002A7CBE">
            <w:pPr>
              <w:rPr>
                <w:b w:val="0"/>
                <w:bCs w:val="0"/>
                <w:sz w:val="18"/>
                <w:szCs w:val="18"/>
              </w:rPr>
            </w:pPr>
            <w:r w:rsidRPr="002A7CBE">
              <w:rPr>
                <w:b w:val="0"/>
                <w:bCs w:val="0"/>
                <w:sz w:val="18"/>
                <w:szCs w:val="18"/>
              </w:rPr>
              <w:t>Información estadística sobre actividad</w:t>
            </w:r>
          </w:p>
        </w:tc>
        <w:tc>
          <w:tcPr>
            <w:tcW w:w="4791" w:type="dxa"/>
            <w:noWrap/>
            <w:hideMark/>
          </w:tcPr>
          <w:p w:rsidR="002A7CBE" w:rsidRPr="002A7CBE" w:rsidRDefault="004C2585" w:rsidP="002A7CBE">
            <w:pPr>
              <w:cnfStyle w:val="000000100000" w:firstRow="0" w:lastRow="0" w:firstColumn="0" w:lastColumn="0" w:oddVBand="0" w:evenVBand="0" w:oddHBand="1" w:evenHBand="0" w:firstRowFirstColumn="0" w:firstRowLastColumn="0" w:lastRowFirstColumn="0" w:lastRowLastColumn="0"/>
              <w:rPr>
                <w:sz w:val="18"/>
                <w:szCs w:val="18"/>
              </w:rPr>
            </w:pPr>
            <w:r w:rsidRPr="004C2585">
              <w:rPr>
                <w:sz w:val="18"/>
                <w:szCs w:val="18"/>
              </w:rPr>
              <w:t>ACERINOX, Aldeas Infantiles SOS, APROMAR, CEOE, Acción contra el Hambre, Fundación 1º de Mayo, Sociedad Española de Ornitología</w:t>
            </w:r>
          </w:p>
        </w:tc>
      </w:tr>
      <w:tr w:rsidR="00BF3F82" w:rsidRPr="009B529F" w:rsidTr="00BD4F6E">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BF3F82" w:rsidRPr="00BD4F6E" w:rsidRDefault="00BF3F82">
            <w:pPr>
              <w:rPr>
                <w:b w:val="0"/>
                <w:sz w:val="18"/>
                <w:szCs w:val="18"/>
              </w:rPr>
            </w:pPr>
            <w:r w:rsidRPr="00BD4F6E">
              <w:rPr>
                <w:b w:val="0"/>
                <w:sz w:val="18"/>
                <w:szCs w:val="18"/>
              </w:rPr>
              <w:t>Código ético o de conducta y similares</w:t>
            </w:r>
          </w:p>
        </w:tc>
        <w:tc>
          <w:tcPr>
            <w:tcW w:w="4791" w:type="dxa"/>
            <w:noWrap/>
            <w:hideMark/>
          </w:tcPr>
          <w:p w:rsidR="00BF3F82" w:rsidRPr="009B529F" w:rsidRDefault="004C2585">
            <w:pPr>
              <w:cnfStyle w:val="000000000000" w:firstRow="0" w:lastRow="0" w:firstColumn="0" w:lastColumn="0" w:oddVBand="0" w:evenVBand="0" w:oddHBand="0" w:evenHBand="0" w:firstRowFirstColumn="0" w:firstRowLastColumn="0" w:lastRowFirstColumn="0" w:lastRowLastColumn="0"/>
              <w:rPr>
                <w:sz w:val="18"/>
                <w:szCs w:val="18"/>
              </w:rPr>
            </w:pPr>
            <w:r w:rsidRPr="004C2585">
              <w:rPr>
                <w:sz w:val="18"/>
                <w:szCs w:val="18"/>
              </w:rPr>
              <w:t>ACERINOX, ADAMO,  Aldeas Infantiles SOS, Alianza para la Solidaridad, CEOE, Federación Enseñanza CC.OO, RFE Béisbol, Acción contra el Hambre</w:t>
            </w:r>
          </w:p>
        </w:tc>
      </w:tr>
      <w:tr w:rsidR="009B529F" w:rsidRPr="009B529F" w:rsidTr="00BD4F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9B529F" w:rsidRPr="00BD4F6E" w:rsidRDefault="002A7CBE" w:rsidP="009B529F">
            <w:pPr>
              <w:rPr>
                <w:b w:val="0"/>
                <w:sz w:val="18"/>
                <w:szCs w:val="18"/>
              </w:rPr>
            </w:pPr>
            <w:r w:rsidRPr="002A7CBE">
              <w:rPr>
                <w:b w:val="0"/>
                <w:sz w:val="18"/>
                <w:szCs w:val="18"/>
              </w:rPr>
              <w:t>Planificación estratégica y operativa</w:t>
            </w:r>
          </w:p>
        </w:tc>
        <w:tc>
          <w:tcPr>
            <w:tcW w:w="4791" w:type="dxa"/>
            <w:noWrap/>
          </w:tcPr>
          <w:p w:rsidR="009B529F" w:rsidRPr="009B529F" w:rsidRDefault="004C2585" w:rsidP="009B529F">
            <w:pPr>
              <w:cnfStyle w:val="000000100000" w:firstRow="0" w:lastRow="0" w:firstColumn="0" w:lastColumn="0" w:oddVBand="0" w:evenVBand="0" w:oddHBand="1" w:evenHBand="0" w:firstRowFirstColumn="0" w:firstRowLastColumn="0" w:lastRowFirstColumn="0" w:lastRowLastColumn="0"/>
              <w:rPr>
                <w:sz w:val="18"/>
                <w:szCs w:val="18"/>
              </w:rPr>
            </w:pPr>
            <w:r w:rsidRPr="004C2585">
              <w:rPr>
                <w:sz w:val="18"/>
                <w:szCs w:val="18"/>
              </w:rPr>
              <w:t>Aldeas Infantiles SOS, FEMP, Fundación 1º de Mayo, Sociedad Española de Ornitología, Universidad Camilo José Cela</w:t>
            </w:r>
          </w:p>
        </w:tc>
      </w:tr>
      <w:tr w:rsidR="004C2585" w:rsidRPr="00BD4F6E" w:rsidTr="00BD4F6E">
        <w:trPr>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4C2585" w:rsidRPr="002A7CBE" w:rsidRDefault="004C2585" w:rsidP="00BD4F6E">
            <w:pPr>
              <w:rPr>
                <w:b w:val="0"/>
                <w:sz w:val="18"/>
                <w:szCs w:val="18"/>
              </w:rPr>
            </w:pPr>
            <w:r>
              <w:rPr>
                <w:b w:val="0"/>
                <w:sz w:val="18"/>
                <w:szCs w:val="18"/>
              </w:rPr>
              <w:t>Normativa de Régimen Interior</w:t>
            </w:r>
          </w:p>
        </w:tc>
        <w:tc>
          <w:tcPr>
            <w:tcW w:w="4791" w:type="dxa"/>
            <w:noWrap/>
          </w:tcPr>
          <w:p w:rsidR="004C2585" w:rsidRPr="002A7CBE" w:rsidRDefault="004C2585" w:rsidP="00BD4F6E">
            <w:pPr>
              <w:cnfStyle w:val="000000000000" w:firstRow="0" w:lastRow="0" w:firstColumn="0" w:lastColumn="0" w:oddVBand="0" w:evenVBand="0" w:oddHBand="0" w:evenHBand="0" w:firstRowFirstColumn="0" w:firstRowLastColumn="0" w:lastRowFirstColumn="0" w:lastRowLastColumn="0"/>
              <w:rPr>
                <w:sz w:val="18"/>
                <w:szCs w:val="18"/>
              </w:rPr>
            </w:pPr>
            <w:r w:rsidRPr="004C2585">
              <w:rPr>
                <w:sz w:val="18"/>
                <w:szCs w:val="18"/>
              </w:rPr>
              <w:t>ACERINOX, CEOE, Federación Enseñanza CC.OO, FEMP, Universidad Camilo José Cela</w:t>
            </w:r>
          </w:p>
        </w:tc>
      </w:tr>
      <w:tr w:rsidR="00BF3F82" w:rsidRPr="009B529F" w:rsidTr="00BD4F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BF3F82" w:rsidRPr="00BD4F6E" w:rsidRDefault="009B529F">
            <w:pPr>
              <w:rPr>
                <w:b w:val="0"/>
                <w:sz w:val="18"/>
                <w:szCs w:val="18"/>
              </w:rPr>
            </w:pPr>
            <w:r w:rsidRPr="00BD4F6E">
              <w:rPr>
                <w:b w:val="0"/>
                <w:sz w:val="18"/>
                <w:szCs w:val="18"/>
              </w:rPr>
              <w:t>A</w:t>
            </w:r>
            <w:r w:rsidR="00BF3F82" w:rsidRPr="00BD4F6E">
              <w:rPr>
                <w:b w:val="0"/>
                <w:sz w:val="18"/>
                <w:szCs w:val="18"/>
              </w:rPr>
              <w:t>ctas, acuerdos, dictámenes</w:t>
            </w:r>
          </w:p>
        </w:tc>
        <w:tc>
          <w:tcPr>
            <w:tcW w:w="4791" w:type="dxa"/>
            <w:noWrap/>
            <w:hideMark/>
          </w:tcPr>
          <w:p w:rsidR="00BF3F82" w:rsidRPr="009B529F" w:rsidRDefault="004C2585">
            <w:pPr>
              <w:cnfStyle w:val="000000100000" w:firstRow="0" w:lastRow="0" w:firstColumn="0" w:lastColumn="0" w:oddVBand="0" w:evenVBand="0" w:oddHBand="1" w:evenHBand="0" w:firstRowFirstColumn="0" w:firstRowLastColumn="0" w:lastRowFirstColumn="0" w:lastRowLastColumn="0"/>
              <w:rPr>
                <w:sz w:val="18"/>
                <w:szCs w:val="18"/>
              </w:rPr>
            </w:pPr>
            <w:r w:rsidRPr="004C2585">
              <w:rPr>
                <w:sz w:val="18"/>
                <w:szCs w:val="18"/>
              </w:rPr>
              <w:t>RFE Béisbol, RFE Taekwondo, FEMP, Sociedad Española de Ornitología</w:t>
            </w:r>
          </w:p>
        </w:tc>
      </w:tr>
      <w:tr w:rsidR="004C2585" w:rsidRPr="009B529F" w:rsidTr="00BD4F6E">
        <w:trPr>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4C2585" w:rsidRPr="004C2585" w:rsidRDefault="004C2585" w:rsidP="004C2585">
            <w:pPr>
              <w:rPr>
                <w:b w:val="0"/>
                <w:bCs w:val="0"/>
                <w:sz w:val="18"/>
                <w:szCs w:val="18"/>
              </w:rPr>
            </w:pPr>
            <w:r w:rsidRPr="004C2585">
              <w:rPr>
                <w:b w:val="0"/>
                <w:bCs w:val="0"/>
                <w:sz w:val="18"/>
                <w:szCs w:val="18"/>
              </w:rPr>
              <w:t>Canal de denuncias</w:t>
            </w:r>
          </w:p>
        </w:tc>
        <w:tc>
          <w:tcPr>
            <w:tcW w:w="4791" w:type="dxa"/>
            <w:noWrap/>
          </w:tcPr>
          <w:p w:rsidR="004C2585" w:rsidRPr="004C2585" w:rsidRDefault="004C2585" w:rsidP="004C2585">
            <w:pPr>
              <w:cnfStyle w:val="000000000000" w:firstRow="0" w:lastRow="0" w:firstColumn="0" w:lastColumn="0" w:oddVBand="0" w:evenVBand="0" w:oddHBand="0" w:evenHBand="0" w:firstRowFirstColumn="0" w:firstRowLastColumn="0" w:lastRowFirstColumn="0" w:lastRowLastColumn="0"/>
              <w:rPr>
                <w:sz w:val="18"/>
                <w:szCs w:val="18"/>
              </w:rPr>
            </w:pPr>
            <w:r w:rsidRPr="004C2585">
              <w:rPr>
                <w:sz w:val="18"/>
                <w:szCs w:val="18"/>
              </w:rPr>
              <w:t>ACERINOX, ADAMO, Sociedad Española de Ornitología</w:t>
            </w:r>
          </w:p>
        </w:tc>
      </w:tr>
      <w:tr w:rsidR="004C2585" w:rsidRPr="009B529F" w:rsidTr="00BD4F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4C2585" w:rsidRPr="002A7CBE" w:rsidRDefault="004C2585" w:rsidP="009B529F">
            <w:pPr>
              <w:rPr>
                <w:b w:val="0"/>
                <w:sz w:val="18"/>
                <w:szCs w:val="18"/>
              </w:rPr>
            </w:pPr>
            <w:r>
              <w:rPr>
                <w:b w:val="0"/>
                <w:sz w:val="18"/>
                <w:szCs w:val="18"/>
              </w:rPr>
              <w:t>Política Anticorrupción</w:t>
            </w:r>
          </w:p>
        </w:tc>
        <w:tc>
          <w:tcPr>
            <w:tcW w:w="4791" w:type="dxa"/>
            <w:noWrap/>
          </w:tcPr>
          <w:p w:rsidR="004C2585" w:rsidRPr="002A7CBE" w:rsidRDefault="004C2585" w:rsidP="009B529F">
            <w:pPr>
              <w:cnfStyle w:val="000000100000" w:firstRow="0" w:lastRow="0" w:firstColumn="0" w:lastColumn="0" w:oddVBand="0" w:evenVBand="0" w:oddHBand="1" w:evenHBand="0" w:firstRowFirstColumn="0" w:firstRowLastColumn="0" w:lastRowFirstColumn="0" w:lastRowLastColumn="0"/>
              <w:rPr>
                <w:sz w:val="18"/>
                <w:szCs w:val="18"/>
              </w:rPr>
            </w:pPr>
            <w:r w:rsidRPr="004C2585">
              <w:rPr>
                <w:sz w:val="18"/>
                <w:szCs w:val="18"/>
              </w:rPr>
              <w:t>CEOE, RFE Béisbol, Acción contra el Hambre</w:t>
            </w:r>
          </w:p>
        </w:tc>
      </w:tr>
      <w:tr w:rsidR="009B529F" w:rsidRPr="009B529F" w:rsidTr="00BD4F6E">
        <w:trPr>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9B529F" w:rsidRPr="00BD4F6E" w:rsidRDefault="002A7CBE" w:rsidP="009B529F">
            <w:pPr>
              <w:rPr>
                <w:b w:val="0"/>
                <w:sz w:val="18"/>
                <w:szCs w:val="18"/>
              </w:rPr>
            </w:pPr>
            <w:r w:rsidRPr="002A7CBE">
              <w:rPr>
                <w:b w:val="0"/>
                <w:sz w:val="18"/>
                <w:szCs w:val="18"/>
              </w:rPr>
              <w:t xml:space="preserve">Normas de </w:t>
            </w:r>
            <w:proofErr w:type="spellStart"/>
            <w:r w:rsidRPr="002A7CBE">
              <w:rPr>
                <w:b w:val="0"/>
                <w:sz w:val="18"/>
                <w:szCs w:val="18"/>
              </w:rPr>
              <w:t>Compliance</w:t>
            </w:r>
            <w:proofErr w:type="spellEnd"/>
          </w:p>
        </w:tc>
        <w:tc>
          <w:tcPr>
            <w:tcW w:w="4791" w:type="dxa"/>
            <w:noWrap/>
          </w:tcPr>
          <w:p w:rsidR="009B529F" w:rsidRPr="009B529F" w:rsidRDefault="00891AA1" w:rsidP="009B529F">
            <w:pPr>
              <w:cnfStyle w:val="000000000000" w:firstRow="0" w:lastRow="0" w:firstColumn="0" w:lastColumn="0" w:oddVBand="0" w:evenVBand="0" w:oddHBand="0" w:evenHBand="0" w:firstRowFirstColumn="0" w:firstRowLastColumn="0" w:lastRowFirstColumn="0" w:lastRowLastColumn="0"/>
              <w:rPr>
                <w:sz w:val="18"/>
                <w:szCs w:val="18"/>
              </w:rPr>
            </w:pPr>
            <w:r w:rsidRPr="00891AA1">
              <w:rPr>
                <w:sz w:val="18"/>
                <w:szCs w:val="18"/>
              </w:rPr>
              <w:t>ACERINOX, ADAMO</w:t>
            </w:r>
          </w:p>
        </w:tc>
      </w:tr>
      <w:tr w:rsidR="009B529F" w:rsidRPr="002A7CBE" w:rsidTr="00BD4F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2A7CBE" w:rsidRPr="002A7CBE" w:rsidRDefault="002A7CBE" w:rsidP="002A7CBE">
            <w:pPr>
              <w:rPr>
                <w:b w:val="0"/>
                <w:bCs w:val="0"/>
                <w:sz w:val="18"/>
                <w:szCs w:val="18"/>
              </w:rPr>
            </w:pPr>
            <w:r w:rsidRPr="002A7CBE">
              <w:rPr>
                <w:b w:val="0"/>
                <w:bCs w:val="0"/>
                <w:sz w:val="18"/>
                <w:szCs w:val="18"/>
              </w:rPr>
              <w:t>Tablas salariales</w:t>
            </w:r>
          </w:p>
          <w:p w:rsidR="009B529F" w:rsidRPr="002A7CBE" w:rsidRDefault="009B529F" w:rsidP="009B529F">
            <w:pPr>
              <w:rPr>
                <w:b w:val="0"/>
                <w:bCs w:val="0"/>
                <w:sz w:val="18"/>
                <w:szCs w:val="18"/>
              </w:rPr>
            </w:pPr>
          </w:p>
        </w:tc>
        <w:tc>
          <w:tcPr>
            <w:tcW w:w="4791" w:type="dxa"/>
            <w:noWrap/>
          </w:tcPr>
          <w:p w:rsidR="009B529F" w:rsidRPr="009B529F" w:rsidRDefault="00891AA1" w:rsidP="009B529F">
            <w:pPr>
              <w:cnfStyle w:val="000000100000" w:firstRow="0" w:lastRow="0" w:firstColumn="0" w:lastColumn="0" w:oddVBand="0" w:evenVBand="0" w:oddHBand="1" w:evenHBand="0" w:firstRowFirstColumn="0" w:firstRowLastColumn="0" w:lastRowFirstColumn="0" w:lastRowLastColumn="0"/>
              <w:rPr>
                <w:sz w:val="18"/>
                <w:szCs w:val="18"/>
              </w:rPr>
            </w:pPr>
            <w:r w:rsidRPr="00891AA1">
              <w:rPr>
                <w:sz w:val="18"/>
                <w:szCs w:val="18"/>
              </w:rPr>
              <w:t>FEMP, Acción contra el Hambre</w:t>
            </w:r>
          </w:p>
        </w:tc>
      </w:tr>
      <w:tr w:rsidR="00BF3F82" w:rsidRPr="009B529F" w:rsidTr="00BD4F6E">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3D3102" w:rsidRPr="003D3102" w:rsidRDefault="003D3102" w:rsidP="003D3102">
            <w:pPr>
              <w:rPr>
                <w:b w:val="0"/>
                <w:bCs w:val="0"/>
                <w:sz w:val="18"/>
                <w:szCs w:val="18"/>
              </w:rPr>
            </w:pPr>
            <w:r w:rsidRPr="003D3102">
              <w:rPr>
                <w:b w:val="0"/>
                <w:bCs w:val="0"/>
                <w:sz w:val="18"/>
                <w:szCs w:val="18"/>
              </w:rPr>
              <w:t>Ofertas de empleo</w:t>
            </w:r>
          </w:p>
          <w:p w:rsidR="00BF3F82" w:rsidRPr="003D3102" w:rsidRDefault="00BF3F82">
            <w:pPr>
              <w:rPr>
                <w:b w:val="0"/>
                <w:bCs w:val="0"/>
                <w:sz w:val="18"/>
                <w:szCs w:val="18"/>
              </w:rPr>
            </w:pPr>
          </w:p>
        </w:tc>
        <w:tc>
          <w:tcPr>
            <w:tcW w:w="4791" w:type="dxa"/>
            <w:noWrap/>
            <w:hideMark/>
          </w:tcPr>
          <w:p w:rsidR="00BF3F82" w:rsidRPr="009B529F" w:rsidRDefault="00891AA1">
            <w:pPr>
              <w:cnfStyle w:val="000000000000" w:firstRow="0" w:lastRow="0" w:firstColumn="0" w:lastColumn="0" w:oddVBand="0" w:evenVBand="0" w:oddHBand="0" w:evenHBand="0" w:firstRowFirstColumn="0" w:firstRowLastColumn="0" w:lastRowFirstColumn="0" w:lastRowLastColumn="0"/>
              <w:rPr>
                <w:sz w:val="18"/>
                <w:szCs w:val="18"/>
              </w:rPr>
            </w:pPr>
            <w:r w:rsidRPr="00891AA1">
              <w:rPr>
                <w:sz w:val="18"/>
                <w:szCs w:val="18"/>
              </w:rPr>
              <w:t>Lares Asociación</w:t>
            </w:r>
          </w:p>
        </w:tc>
      </w:tr>
      <w:tr w:rsidR="002A7CBE" w:rsidRPr="008A7D3B" w:rsidTr="00BD4F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2A7CBE" w:rsidRPr="002A7CBE" w:rsidRDefault="00891AA1" w:rsidP="002A7CBE">
            <w:pPr>
              <w:rPr>
                <w:b w:val="0"/>
                <w:bCs w:val="0"/>
                <w:sz w:val="18"/>
                <w:szCs w:val="18"/>
              </w:rPr>
            </w:pPr>
            <w:r>
              <w:rPr>
                <w:b w:val="0"/>
                <w:bCs w:val="0"/>
                <w:sz w:val="18"/>
                <w:szCs w:val="18"/>
              </w:rPr>
              <w:t>Contratos adjudicados a administraciones públicas</w:t>
            </w:r>
          </w:p>
        </w:tc>
        <w:tc>
          <w:tcPr>
            <w:tcW w:w="4791" w:type="dxa"/>
            <w:noWrap/>
          </w:tcPr>
          <w:p w:rsidR="002A7CBE" w:rsidRPr="002A7CBE" w:rsidRDefault="00891AA1" w:rsidP="002A7CBE">
            <w:pPr>
              <w:cnfStyle w:val="000000100000" w:firstRow="0" w:lastRow="0" w:firstColumn="0" w:lastColumn="0" w:oddVBand="0" w:evenVBand="0" w:oddHBand="1" w:evenHBand="0" w:firstRowFirstColumn="0" w:firstRowLastColumn="0" w:lastRowFirstColumn="0" w:lastRowLastColumn="0"/>
              <w:rPr>
                <w:sz w:val="18"/>
                <w:szCs w:val="18"/>
              </w:rPr>
            </w:pPr>
            <w:r w:rsidRPr="00891AA1">
              <w:rPr>
                <w:sz w:val="18"/>
                <w:szCs w:val="18"/>
              </w:rPr>
              <w:t>ACERINOX</w:t>
            </w:r>
          </w:p>
        </w:tc>
      </w:tr>
      <w:tr w:rsidR="00891AA1" w:rsidRPr="009B529F" w:rsidTr="00BD4F6E">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891AA1" w:rsidRPr="00891AA1" w:rsidRDefault="00891AA1" w:rsidP="003535A0">
            <w:pPr>
              <w:rPr>
                <w:b w:val="0"/>
                <w:bCs w:val="0"/>
                <w:sz w:val="18"/>
                <w:szCs w:val="18"/>
              </w:rPr>
            </w:pPr>
            <w:r w:rsidRPr="00891AA1">
              <w:rPr>
                <w:b w:val="0"/>
                <w:bCs w:val="0"/>
                <w:sz w:val="18"/>
                <w:szCs w:val="18"/>
              </w:rPr>
              <w:t>Política de Rendición de cuentas</w:t>
            </w:r>
          </w:p>
        </w:tc>
        <w:tc>
          <w:tcPr>
            <w:tcW w:w="4791" w:type="dxa"/>
            <w:noWrap/>
            <w:hideMark/>
          </w:tcPr>
          <w:p w:rsidR="00891AA1" w:rsidRPr="00891AA1" w:rsidRDefault="00891AA1" w:rsidP="003535A0">
            <w:pPr>
              <w:cnfStyle w:val="000000000000" w:firstRow="0" w:lastRow="0" w:firstColumn="0" w:lastColumn="0" w:oddVBand="0" w:evenVBand="0" w:oddHBand="0" w:evenHBand="0" w:firstRowFirstColumn="0" w:firstRowLastColumn="0" w:lastRowFirstColumn="0" w:lastRowLastColumn="0"/>
              <w:rPr>
                <w:sz w:val="18"/>
                <w:szCs w:val="18"/>
              </w:rPr>
            </w:pPr>
            <w:r w:rsidRPr="00891AA1">
              <w:rPr>
                <w:sz w:val="18"/>
                <w:szCs w:val="18"/>
              </w:rPr>
              <w:t>Alianza para la Solidaridad</w:t>
            </w:r>
          </w:p>
        </w:tc>
      </w:tr>
      <w:tr w:rsidR="00891AA1" w:rsidRPr="009B529F" w:rsidTr="00BD4F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891AA1" w:rsidRPr="00891AA1" w:rsidRDefault="00891AA1" w:rsidP="003535A0">
            <w:pPr>
              <w:rPr>
                <w:b w:val="0"/>
                <w:bCs w:val="0"/>
                <w:sz w:val="18"/>
                <w:szCs w:val="18"/>
              </w:rPr>
            </w:pPr>
            <w:r w:rsidRPr="00891AA1">
              <w:rPr>
                <w:b w:val="0"/>
                <w:bCs w:val="0"/>
                <w:sz w:val="18"/>
                <w:szCs w:val="18"/>
              </w:rPr>
              <w:t xml:space="preserve">Política de monitoreo y evaluación </w:t>
            </w:r>
          </w:p>
        </w:tc>
        <w:tc>
          <w:tcPr>
            <w:tcW w:w="4791" w:type="dxa"/>
            <w:noWrap/>
            <w:hideMark/>
          </w:tcPr>
          <w:p w:rsidR="00891AA1" w:rsidRPr="00891AA1" w:rsidRDefault="00891AA1" w:rsidP="003535A0">
            <w:pPr>
              <w:cnfStyle w:val="000000100000" w:firstRow="0" w:lastRow="0" w:firstColumn="0" w:lastColumn="0" w:oddVBand="0" w:evenVBand="0" w:oddHBand="1" w:evenHBand="0" w:firstRowFirstColumn="0" w:firstRowLastColumn="0" w:lastRowFirstColumn="0" w:lastRowLastColumn="0"/>
              <w:rPr>
                <w:sz w:val="18"/>
                <w:szCs w:val="18"/>
              </w:rPr>
            </w:pPr>
            <w:r w:rsidRPr="00891AA1">
              <w:rPr>
                <w:sz w:val="18"/>
                <w:szCs w:val="18"/>
              </w:rPr>
              <w:t>Alianza para la Solidaridad</w:t>
            </w:r>
          </w:p>
        </w:tc>
      </w:tr>
      <w:tr w:rsidR="00891AA1" w:rsidRPr="009B529F" w:rsidTr="00BD4F6E">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891AA1" w:rsidRPr="00891AA1" w:rsidRDefault="00891AA1" w:rsidP="003535A0">
            <w:pPr>
              <w:rPr>
                <w:b w:val="0"/>
                <w:bCs w:val="0"/>
                <w:sz w:val="18"/>
                <w:szCs w:val="18"/>
              </w:rPr>
            </w:pPr>
            <w:r w:rsidRPr="00891AA1">
              <w:rPr>
                <w:b w:val="0"/>
                <w:bCs w:val="0"/>
                <w:sz w:val="18"/>
                <w:szCs w:val="18"/>
              </w:rPr>
              <w:t>Informes Fiscalización del TCU</w:t>
            </w:r>
          </w:p>
        </w:tc>
        <w:tc>
          <w:tcPr>
            <w:tcW w:w="4791" w:type="dxa"/>
            <w:noWrap/>
            <w:hideMark/>
          </w:tcPr>
          <w:p w:rsidR="00891AA1" w:rsidRPr="00891AA1" w:rsidRDefault="00891AA1" w:rsidP="003535A0">
            <w:pPr>
              <w:cnfStyle w:val="000000000000" w:firstRow="0" w:lastRow="0" w:firstColumn="0" w:lastColumn="0" w:oddVBand="0" w:evenVBand="0" w:oddHBand="0" w:evenHBand="0" w:firstRowFirstColumn="0" w:firstRowLastColumn="0" w:lastRowFirstColumn="0" w:lastRowLastColumn="0"/>
              <w:rPr>
                <w:sz w:val="18"/>
                <w:szCs w:val="18"/>
              </w:rPr>
            </w:pPr>
            <w:r w:rsidRPr="00891AA1">
              <w:rPr>
                <w:sz w:val="18"/>
                <w:szCs w:val="18"/>
              </w:rPr>
              <w:t>CEOE</w:t>
            </w:r>
          </w:p>
        </w:tc>
      </w:tr>
      <w:tr w:rsidR="00891AA1" w:rsidRPr="009B529F" w:rsidTr="00BD4F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891AA1" w:rsidRPr="00891AA1" w:rsidRDefault="00891AA1" w:rsidP="003535A0">
            <w:pPr>
              <w:rPr>
                <w:b w:val="0"/>
                <w:bCs w:val="0"/>
                <w:sz w:val="18"/>
                <w:szCs w:val="18"/>
              </w:rPr>
            </w:pPr>
            <w:r w:rsidRPr="00891AA1">
              <w:rPr>
                <w:b w:val="0"/>
                <w:bCs w:val="0"/>
                <w:sz w:val="18"/>
                <w:szCs w:val="18"/>
              </w:rPr>
              <w:t>Contratos privados</w:t>
            </w:r>
          </w:p>
        </w:tc>
        <w:tc>
          <w:tcPr>
            <w:tcW w:w="4791" w:type="dxa"/>
            <w:noWrap/>
            <w:hideMark/>
          </w:tcPr>
          <w:p w:rsidR="00891AA1" w:rsidRPr="00891AA1" w:rsidRDefault="00891AA1" w:rsidP="003535A0">
            <w:pPr>
              <w:cnfStyle w:val="000000100000" w:firstRow="0" w:lastRow="0" w:firstColumn="0" w:lastColumn="0" w:oddVBand="0" w:evenVBand="0" w:oddHBand="1" w:evenHBand="0" w:firstRowFirstColumn="0" w:firstRowLastColumn="0" w:lastRowFirstColumn="0" w:lastRowLastColumn="0"/>
              <w:rPr>
                <w:sz w:val="18"/>
                <w:szCs w:val="18"/>
              </w:rPr>
            </w:pPr>
            <w:r w:rsidRPr="00891AA1">
              <w:rPr>
                <w:sz w:val="18"/>
                <w:szCs w:val="18"/>
              </w:rPr>
              <w:t>RFE Béisbol</w:t>
            </w:r>
          </w:p>
        </w:tc>
      </w:tr>
      <w:tr w:rsidR="00891AA1" w:rsidRPr="009B529F" w:rsidTr="00BD4F6E">
        <w:trPr>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891AA1" w:rsidRPr="00891AA1" w:rsidRDefault="00891AA1" w:rsidP="003535A0">
            <w:pPr>
              <w:rPr>
                <w:b w:val="0"/>
                <w:bCs w:val="0"/>
                <w:sz w:val="18"/>
                <w:szCs w:val="18"/>
              </w:rPr>
            </w:pPr>
            <w:r w:rsidRPr="00891AA1">
              <w:rPr>
                <w:b w:val="0"/>
                <w:bCs w:val="0"/>
                <w:sz w:val="18"/>
                <w:szCs w:val="18"/>
              </w:rPr>
              <w:t>Ejecución presupuestaria</w:t>
            </w:r>
          </w:p>
        </w:tc>
        <w:tc>
          <w:tcPr>
            <w:tcW w:w="4791" w:type="dxa"/>
            <w:noWrap/>
          </w:tcPr>
          <w:p w:rsidR="00891AA1" w:rsidRPr="00891AA1" w:rsidRDefault="00891AA1" w:rsidP="003535A0">
            <w:pPr>
              <w:cnfStyle w:val="000000000000" w:firstRow="0" w:lastRow="0" w:firstColumn="0" w:lastColumn="0" w:oddVBand="0" w:evenVBand="0" w:oddHBand="0" w:evenHBand="0" w:firstRowFirstColumn="0" w:firstRowLastColumn="0" w:lastRowFirstColumn="0" w:lastRowLastColumn="0"/>
              <w:rPr>
                <w:sz w:val="18"/>
                <w:szCs w:val="18"/>
              </w:rPr>
            </w:pPr>
            <w:r w:rsidRPr="00891AA1">
              <w:rPr>
                <w:sz w:val="18"/>
                <w:szCs w:val="18"/>
              </w:rPr>
              <w:t>FEMP</w:t>
            </w:r>
          </w:p>
        </w:tc>
      </w:tr>
    </w:tbl>
    <w:p w:rsidR="00513EC7" w:rsidRDefault="00513EC7" w:rsidP="00513EC7"/>
    <w:p w:rsidR="006A2316" w:rsidRDefault="002C2C18" w:rsidP="006A2316">
      <w:r>
        <w:t>Menos entidades</w:t>
      </w:r>
      <w:r w:rsidR="006D0307" w:rsidRPr="006D0307">
        <w:t xml:space="preserve"> </w:t>
      </w:r>
      <w:r w:rsidR="006219DA">
        <w:t xml:space="preserve">acreditan buenas prácticas en relación con el cumplimiento de las obligaciones de publicidad activa </w:t>
      </w:r>
      <w:r w:rsidR="00596EDD">
        <w:t xml:space="preserve">que podrían ser aplicadas por otros sujetos obligados. </w:t>
      </w:r>
      <w:r w:rsidR="00891AA1">
        <w:t>El</w:t>
      </w:r>
      <w:r w:rsidR="00596EDD">
        <w:t xml:space="preserve"> siguiente </w:t>
      </w:r>
      <w:r w:rsidR="00891AA1">
        <w:t>cuadro</w:t>
      </w:r>
      <w:r w:rsidR="00596EDD">
        <w:t xml:space="preserve"> resume las buenas prácticas localizadas en el transcurso de la evaluación de</w:t>
      </w:r>
      <w:r w:rsidR="006D0307">
        <w:t xml:space="preserve"> </w:t>
      </w:r>
      <w:r w:rsidR="00596EDD">
        <w:t>los Portales de Transparencia</w:t>
      </w:r>
      <w:r w:rsidR="006D0307">
        <w:t>.</w:t>
      </w:r>
    </w:p>
    <w:p w:rsidR="001D59CA" w:rsidRDefault="001D59CA" w:rsidP="006A2316"/>
    <w:p w:rsidR="001D59CA" w:rsidRDefault="001D59CA" w:rsidP="006A2316"/>
    <w:p w:rsidR="001D59CA" w:rsidRDefault="001D59CA" w:rsidP="006A2316"/>
    <w:p w:rsidR="00801472" w:rsidRPr="00801472" w:rsidRDefault="00801472" w:rsidP="00801472">
      <w:pPr>
        <w:pStyle w:val="Epgrafe"/>
        <w:keepNext/>
        <w:rPr>
          <w:color w:val="438086" w:themeColor="accent2"/>
          <w:sz w:val="22"/>
          <w:szCs w:val="22"/>
        </w:rPr>
      </w:pPr>
      <w:r w:rsidRPr="00801472">
        <w:rPr>
          <w:color w:val="438086" w:themeColor="accent2"/>
          <w:sz w:val="22"/>
          <w:szCs w:val="22"/>
        </w:rPr>
        <w:lastRenderedPageBreak/>
        <w:t xml:space="preserve">Cuadro </w:t>
      </w:r>
      <w:r w:rsidRPr="00801472">
        <w:rPr>
          <w:color w:val="438086" w:themeColor="accent2"/>
          <w:sz w:val="22"/>
          <w:szCs w:val="22"/>
        </w:rPr>
        <w:fldChar w:fldCharType="begin"/>
      </w:r>
      <w:r w:rsidRPr="00801472">
        <w:rPr>
          <w:color w:val="438086" w:themeColor="accent2"/>
          <w:sz w:val="22"/>
          <w:szCs w:val="22"/>
        </w:rPr>
        <w:instrText xml:space="preserve"> SEQ Cuadro \* ARABIC </w:instrText>
      </w:r>
      <w:r w:rsidRPr="00801472">
        <w:rPr>
          <w:color w:val="438086" w:themeColor="accent2"/>
          <w:sz w:val="22"/>
          <w:szCs w:val="22"/>
        </w:rPr>
        <w:fldChar w:fldCharType="separate"/>
      </w:r>
      <w:r w:rsidRPr="00801472">
        <w:rPr>
          <w:color w:val="438086" w:themeColor="accent2"/>
          <w:sz w:val="22"/>
          <w:szCs w:val="22"/>
        </w:rPr>
        <w:t>3</w:t>
      </w:r>
      <w:r w:rsidRPr="00801472">
        <w:rPr>
          <w:color w:val="438086" w:themeColor="accent2"/>
          <w:sz w:val="22"/>
          <w:szCs w:val="22"/>
        </w:rPr>
        <w:fldChar w:fldCharType="end"/>
      </w:r>
      <w:r w:rsidRPr="00801472">
        <w:rPr>
          <w:color w:val="438086" w:themeColor="accent2"/>
          <w:sz w:val="22"/>
          <w:szCs w:val="22"/>
        </w:rPr>
        <w:t xml:space="preserve">: Buenas Prácticas </w:t>
      </w:r>
      <w:r w:rsidR="00BD4F6E" w:rsidRPr="00BD4F6E">
        <w:rPr>
          <w:color w:val="438086" w:themeColor="accent2"/>
          <w:sz w:val="22"/>
          <w:szCs w:val="22"/>
        </w:rPr>
        <w:t xml:space="preserve">en las entidades </w:t>
      </w:r>
      <w:r w:rsidR="003D3102">
        <w:rPr>
          <w:color w:val="438086" w:themeColor="accent2"/>
          <w:sz w:val="22"/>
          <w:szCs w:val="22"/>
        </w:rPr>
        <w:t>perceptoras de subvenciones y ayudas públicas evaluadas por primera vez en 202</w:t>
      </w:r>
      <w:r w:rsidR="00C80342">
        <w:rPr>
          <w:color w:val="438086" w:themeColor="accent2"/>
          <w:sz w:val="22"/>
          <w:szCs w:val="22"/>
        </w:rPr>
        <w:t>2</w:t>
      </w:r>
      <w:r w:rsidR="00BD4F6E" w:rsidRPr="00BD4F6E">
        <w:rPr>
          <w:color w:val="438086" w:themeColor="accent2"/>
          <w:sz w:val="22"/>
          <w:szCs w:val="22"/>
        </w:rPr>
        <w:t>.</w:t>
      </w:r>
    </w:p>
    <w:tbl>
      <w:tblPr>
        <w:tblStyle w:val="Listavistosa-nfasis2"/>
        <w:tblW w:w="9156" w:type="dxa"/>
        <w:tblLook w:val="04A0" w:firstRow="1" w:lastRow="0" w:firstColumn="1" w:lastColumn="0" w:noHBand="0" w:noVBand="1"/>
      </w:tblPr>
      <w:tblGrid>
        <w:gridCol w:w="4219"/>
        <w:gridCol w:w="4937"/>
      </w:tblGrid>
      <w:tr w:rsidR="00470683" w:rsidRPr="00470683" w:rsidTr="0047068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tcPr>
          <w:p w:rsidR="00BD4F6E" w:rsidRPr="00470683" w:rsidRDefault="00BD4F6E" w:rsidP="00470683">
            <w:pPr>
              <w:jc w:val="center"/>
              <w:rPr>
                <w:rFonts w:ascii="Calibri" w:eastAsia="Times New Roman" w:hAnsi="Calibri" w:cs="Calibri"/>
                <w:b w:val="0"/>
                <w:sz w:val="18"/>
                <w:szCs w:val="18"/>
              </w:rPr>
            </w:pPr>
            <w:r w:rsidRPr="00470683">
              <w:rPr>
                <w:rFonts w:ascii="Calibri" w:eastAsia="Times New Roman" w:hAnsi="Calibri" w:cs="Calibri"/>
                <w:b w:val="0"/>
                <w:sz w:val="18"/>
                <w:szCs w:val="18"/>
              </w:rPr>
              <w:t>Buena práctica</w:t>
            </w:r>
          </w:p>
        </w:tc>
        <w:tc>
          <w:tcPr>
            <w:tcW w:w="4937" w:type="dxa"/>
            <w:noWrap/>
          </w:tcPr>
          <w:p w:rsidR="00BD4F6E" w:rsidRPr="00470683" w:rsidRDefault="00BD4F6E" w:rsidP="0047068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70683">
              <w:rPr>
                <w:rFonts w:ascii="Calibri" w:eastAsia="Times New Roman" w:hAnsi="Calibri" w:cs="Calibri"/>
                <w:sz w:val="18"/>
                <w:szCs w:val="18"/>
              </w:rPr>
              <w:t>Entidades</w:t>
            </w:r>
          </w:p>
        </w:tc>
      </w:tr>
      <w:tr w:rsidR="00BD4F6E" w:rsidRPr="00BD4F6E" w:rsidTr="004706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BD4F6E" w:rsidRPr="00BD4F6E" w:rsidRDefault="003D3102" w:rsidP="00BD4F6E">
            <w:pPr>
              <w:jc w:val="left"/>
              <w:rPr>
                <w:rFonts w:ascii="Calibri" w:eastAsia="Times New Roman" w:hAnsi="Calibri" w:cs="Calibri"/>
                <w:b w:val="0"/>
                <w:color w:val="000000"/>
                <w:sz w:val="18"/>
                <w:szCs w:val="18"/>
              </w:rPr>
            </w:pPr>
            <w:r>
              <w:rPr>
                <w:rFonts w:ascii="Calibri" w:eastAsia="Times New Roman" w:hAnsi="Calibri" w:cs="Calibri"/>
                <w:b w:val="0"/>
                <w:color w:val="000000"/>
                <w:sz w:val="18"/>
                <w:szCs w:val="18"/>
              </w:rPr>
              <w:t xml:space="preserve">Disponibilidad de un </w:t>
            </w:r>
            <w:r w:rsidRPr="003D3102">
              <w:rPr>
                <w:rFonts w:ascii="Calibri" w:eastAsia="Times New Roman" w:hAnsi="Calibri" w:cs="Calibri"/>
                <w:b w:val="0"/>
                <w:color w:val="000000"/>
                <w:sz w:val="18"/>
                <w:szCs w:val="18"/>
              </w:rPr>
              <w:t>Portal de Transparencia</w:t>
            </w:r>
          </w:p>
        </w:tc>
        <w:tc>
          <w:tcPr>
            <w:tcW w:w="4937" w:type="dxa"/>
            <w:noWrap/>
            <w:hideMark/>
          </w:tcPr>
          <w:p w:rsidR="00BD4F6E" w:rsidRPr="00BD4F6E" w:rsidRDefault="003535A0" w:rsidP="00BD4F6E">
            <w:pPr>
              <w:jc w:val="left"/>
              <w:cnfStyle w:val="000000100000" w:firstRow="0" w:lastRow="0" w:firstColumn="0" w:lastColumn="0" w:oddVBand="0" w:evenVBand="0" w:oddHBand="1" w:evenHBand="0" w:firstRowFirstColumn="0" w:firstRowLastColumn="0" w:lastRowFirstColumn="0" w:lastRowLastColumn="0"/>
              <w:rPr>
                <w:sz w:val="18"/>
                <w:szCs w:val="18"/>
              </w:rPr>
            </w:pPr>
            <w:r w:rsidRPr="003535A0">
              <w:rPr>
                <w:sz w:val="18"/>
                <w:szCs w:val="18"/>
              </w:rPr>
              <w:t>Aldeas Infantiles</w:t>
            </w:r>
            <w:r>
              <w:rPr>
                <w:sz w:val="18"/>
                <w:szCs w:val="18"/>
              </w:rPr>
              <w:t xml:space="preserve">, </w:t>
            </w:r>
            <w:r w:rsidRPr="003535A0">
              <w:rPr>
                <w:sz w:val="18"/>
                <w:szCs w:val="18"/>
              </w:rPr>
              <w:t>Alianza por la Solidaridad</w:t>
            </w:r>
            <w:r>
              <w:rPr>
                <w:sz w:val="18"/>
                <w:szCs w:val="18"/>
              </w:rPr>
              <w:t xml:space="preserve">, </w:t>
            </w:r>
            <w:r w:rsidRPr="003535A0">
              <w:rPr>
                <w:sz w:val="18"/>
                <w:szCs w:val="18"/>
              </w:rPr>
              <w:t>CEOE</w:t>
            </w:r>
            <w:r>
              <w:rPr>
                <w:sz w:val="18"/>
                <w:szCs w:val="18"/>
              </w:rPr>
              <w:t xml:space="preserve">, </w:t>
            </w:r>
            <w:r w:rsidRPr="003535A0">
              <w:rPr>
                <w:sz w:val="18"/>
                <w:szCs w:val="18"/>
              </w:rPr>
              <w:t>Federación Enseñanza CCOO</w:t>
            </w:r>
            <w:r w:rsidR="00C80342">
              <w:rPr>
                <w:sz w:val="18"/>
                <w:szCs w:val="18"/>
              </w:rPr>
              <w:t xml:space="preserve">, </w:t>
            </w:r>
            <w:r w:rsidR="00C80342" w:rsidRPr="00C80342">
              <w:rPr>
                <w:sz w:val="18"/>
                <w:szCs w:val="18"/>
              </w:rPr>
              <w:t>Federación Española de Beisbol</w:t>
            </w:r>
            <w:r w:rsidR="00C80342">
              <w:rPr>
                <w:sz w:val="18"/>
                <w:szCs w:val="18"/>
              </w:rPr>
              <w:t xml:space="preserve">, </w:t>
            </w:r>
            <w:r w:rsidR="00C80342" w:rsidRPr="00C80342">
              <w:rPr>
                <w:sz w:val="18"/>
                <w:szCs w:val="18"/>
              </w:rPr>
              <w:t>Federación Española de Taekwondo</w:t>
            </w:r>
            <w:r w:rsidR="00C80342">
              <w:rPr>
                <w:sz w:val="18"/>
                <w:szCs w:val="18"/>
              </w:rPr>
              <w:t xml:space="preserve">, </w:t>
            </w:r>
            <w:r w:rsidR="00C80342" w:rsidRPr="00C80342">
              <w:rPr>
                <w:sz w:val="18"/>
                <w:szCs w:val="18"/>
              </w:rPr>
              <w:t>Federación Española Fútbol</w:t>
            </w:r>
            <w:r w:rsidR="00C80342">
              <w:rPr>
                <w:sz w:val="18"/>
                <w:szCs w:val="18"/>
              </w:rPr>
              <w:t xml:space="preserve">, </w:t>
            </w:r>
            <w:r w:rsidR="00C80342" w:rsidRPr="00C80342">
              <w:rPr>
                <w:sz w:val="18"/>
                <w:szCs w:val="18"/>
              </w:rPr>
              <w:t>FEMP</w:t>
            </w:r>
            <w:r w:rsidR="00C80342">
              <w:rPr>
                <w:sz w:val="18"/>
                <w:szCs w:val="18"/>
              </w:rPr>
              <w:t xml:space="preserve">, </w:t>
            </w:r>
            <w:r w:rsidR="00C80342" w:rsidRPr="00C80342">
              <w:rPr>
                <w:sz w:val="18"/>
                <w:szCs w:val="18"/>
              </w:rPr>
              <w:t>Fundación 1º de Mayo</w:t>
            </w:r>
            <w:r w:rsidR="00C80342">
              <w:rPr>
                <w:sz w:val="18"/>
                <w:szCs w:val="18"/>
              </w:rPr>
              <w:t xml:space="preserve">, </w:t>
            </w:r>
            <w:r w:rsidR="00C80342" w:rsidRPr="00C80342">
              <w:rPr>
                <w:sz w:val="18"/>
                <w:szCs w:val="18"/>
              </w:rPr>
              <w:t>Fundación Acción contra el Hambre</w:t>
            </w:r>
            <w:r w:rsidR="00C80342">
              <w:rPr>
                <w:sz w:val="18"/>
                <w:szCs w:val="18"/>
              </w:rPr>
              <w:t xml:space="preserve">, </w:t>
            </w:r>
            <w:r w:rsidR="00C80342" w:rsidRPr="00C80342">
              <w:rPr>
                <w:sz w:val="18"/>
                <w:szCs w:val="18"/>
              </w:rPr>
              <w:t>Fundación Raíces</w:t>
            </w:r>
            <w:r w:rsidR="00C80342">
              <w:rPr>
                <w:sz w:val="18"/>
                <w:szCs w:val="18"/>
              </w:rPr>
              <w:t xml:space="preserve">, </w:t>
            </w:r>
            <w:r w:rsidR="00C80342" w:rsidRPr="00C80342">
              <w:rPr>
                <w:sz w:val="18"/>
                <w:szCs w:val="18"/>
              </w:rPr>
              <w:t>Lares asociación</w:t>
            </w:r>
            <w:r w:rsidR="00C80342">
              <w:rPr>
                <w:sz w:val="18"/>
                <w:szCs w:val="18"/>
              </w:rPr>
              <w:t>, Universidad Camilo José Cela</w:t>
            </w:r>
          </w:p>
        </w:tc>
      </w:tr>
      <w:tr w:rsidR="00BD4F6E" w:rsidRPr="00BD4F6E" w:rsidTr="00470683">
        <w:trPr>
          <w:trHeight w:val="300"/>
        </w:trPr>
        <w:tc>
          <w:tcPr>
            <w:cnfStyle w:val="001000000000" w:firstRow="0" w:lastRow="0" w:firstColumn="1" w:lastColumn="0" w:oddVBand="0" w:evenVBand="0" w:oddHBand="0" w:evenHBand="0" w:firstRowFirstColumn="0" w:firstRowLastColumn="0" w:lastRowFirstColumn="0" w:lastRowLastColumn="0"/>
            <w:tcW w:w="4219" w:type="dxa"/>
            <w:noWrap/>
          </w:tcPr>
          <w:p w:rsidR="00BD4F6E" w:rsidRPr="00BD4F6E" w:rsidRDefault="003D3102" w:rsidP="00BD4F6E">
            <w:pPr>
              <w:rPr>
                <w:b w:val="0"/>
                <w:sz w:val="18"/>
                <w:szCs w:val="18"/>
              </w:rPr>
            </w:pPr>
            <w:r w:rsidRPr="003D3102">
              <w:rPr>
                <w:b w:val="0"/>
                <w:sz w:val="18"/>
                <w:szCs w:val="18"/>
              </w:rPr>
              <w:t>Publicación de la fecha de actualización de la información</w:t>
            </w:r>
          </w:p>
        </w:tc>
        <w:tc>
          <w:tcPr>
            <w:tcW w:w="4937" w:type="dxa"/>
            <w:noWrap/>
          </w:tcPr>
          <w:p w:rsidR="00BD4F6E" w:rsidRPr="00BD4F6E" w:rsidRDefault="00C80342" w:rsidP="00BD4F6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Lares asociación</w:t>
            </w:r>
          </w:p>
        </w:tc>
      </w:tr>
    </w:tbl>
    <w:p w:rsidR="006A2316" w:rsidRDefault="006A2316" w:rsidP="00513EC7">
      <w:pPr>
        <w:pStyle w:val="Ttulo2"/>
      </w:pPr>
    </w:p>
    <w:p w:rsidR="00513EC7" w:rsidRDefault="0065420F" w:rsidP="003D3102">
      <w:pPr>
        <w:pStyle w:val="Ttulo1"/>
        <w:numPr>
          <w:ilvl w:val="0"/>
          <w:numId w:val="49"/>
        </w:numPr>
      </w:pPr>
      <w:bookmarkStart w:id="19" w:name="_Toc120521822"/>
      <w:r>
        <w:t>Conclusiones y Recomendaciones</w:t>
      </w:r>
      <w:bookmarkEnd w:id="19"/>
    </w:p>
    <w:p w:rsidR="00596EDD" w:rsidRDefault="00596EDD" w:rsidP="00596EDD"/>
    <w:p w:rsidR="00D67951" w:rsidRPr="001836F5" w:rsidRDefault="00C80342" w:rsidP="00D67951">
      <w:pPr>
        <w:rPr>
          <w:b/>
          <w:color w:val="325F64" w:themeColor="accent2" w:themeShade="BF"/>
        </w:rPr>
      </w:pPr>
      <w:r>
        <w:rPr>
          <w:b/>
          <w:color w:val="325F64" w:themeColor="accent2" w:themeShade="BF"/>
        </w:rPr>
        <w:t xml:space="preserve">No alcanza el 41% la proporción </w:t>
      </w:r>
      <w:r w:rsidR="006D7EE4">
        <w:rPr>
          <w:b/>
          <w:color w:val="325F64" w:themeColor="accent2" w:themeShade="BF"/>
        </w:rPr>
        <w:t xml:space="preserve">de </w:t>
      </w:r>
      <w:r w:rsidR="003E12E2">
        <w:rPr>
          <w:b/>
          <w:color w:val="325F64" w:themeColor="accent2" w:themeShade="BF"/>
        </w:rPr>
        <w:t>entidades evaluadas</w:t>
      </w:r>
      <w:r w:rsidR="006D7EE4">
        <w:rPr>
          <w:b/>
          <w:color w:val="325F64" w:themeColor="accent2" w:themeShade="BF"/>
        </w:rPr>
        <w:t xml:space="preserve"> </w:t>
      </w:r>
      <w:r>
        <w:rPr>
          <w:b/>
          <w:color w:val="325F64" w:themeColor="accent2" w:themeShade="BF"/>
        </w:rPr>
        <w:t xml:space="preserve">que </w:t>
      </w:r>
      <w:r w:rsidR="006D7EE4">
        <w:rPr>
          <w:b/>
          <w:color w:val="325F64" w:themeColor="accent2" w:themeShade="BF"/>
        </w:rPr>
        <w:t>cuenta</w:t>
      </w:r>
      <w:r>
        <w:rPr>
          <w:b/>
          <w:color w:val="325F64" w:themeColor="accent2" w:themeShade="BF"/>
        </w:rPr>
        <w:t>n</w:t>
      </w:r>
      <w:r w:rsidR="006D7EE4">
        <w:rPr>
          <w:b/>
          <w:color w:val="325F64" w:themeColor="accent2" w:themeShade="BF"/>
        </w:rPr>
        <w:t xml:space="preserve"> con un portal de transparencia que</w:t>
      </w:r>
      <w:r>
        <w:rPr>
          <w:b/>
          <w:color w:val="325F64" w:themeColor="accent2" w:themeShade="BF"/>
        </w:rPr>
        <w:t>,</w:t>
      </w:r>
      <w:r w:rsidR="006D7EE4">
        <w:rPr>
          <w:b/>
          <w:color w:val="325F64" w:themeColor="accent2" w:themeShade="BF"/>
        </w:rPr>
        <w:t xml:space="preserve"> en </w:t>
      </w:r>
      <w:r>
        <w:rPr>
          <w:b/>
          <w:color w:val="325F64" w:themeColor="accent2" w:themeShade="BF"/>
        </w:rPr>
        <w:t>el 55</w:t>
      </w:r>
      <w:r w:rsidR="003E12E2">
        <w:rPr>
          <w:b/>
          <w:color w:val="325F64" w:themeColor="accent2" w:themeShade="BF"/>
        </w:rPr>
        <w:t>%</w:t>
      </w:r>
      <w:r w:rsidR="006D7EE4">
        <w:rPr>
          <w:b/>
          <w:color w:val="325F64" w:themeColor="accent2" w:themeShade="BF"/>
        </w:rPr>
        <w:t xml:space="preserve"> de los casos se encuentra ubicado en un lugar visible de su web institucional.</w:t>
      </w:r>
    </w:p>
    <w:p w:rsidR="00C80342" w:rsidRDefault="00C80342" w:rsidP="00D67951">
      <w:r>
        <w:t>E</w:t>
      </w:r>
      <w:r w:rsidR="003E12E2">
        <w:t xml:space="preserve">l </w:t>
      </w:r>
      <w:r>
        <w:t>59,2</w:t>
      </w:r>
      <w:r w:rsidR="003E12E2">
        <w:t xml:space="preserve">% de ellas </w:t>
      </w:r>
      <w:r w:rsidR="006D7EE4">
        <w:t>carece de un espacio específico en el que ubicar la información sujeta a obligaciones de publicidad activa, lo que, a su vez, implica que esta información se encuentr</w:t>
      </w:r>
      <w:r w:rsidR="002C2C18">
        <w:t>e</w:t>
      </w:r>
      <w:r w:rsidR="006D7EE4">
        <w:t xml:space="preserve"> dispersa en los distintos accesos de sus webs institucionales. </w:t>
      </w:r>
      <w:r>
        <w:t xml:space="preserve">Respecto de 2021, ha aumentado </w:t>
      </w:r>
      <w:r w:rsidR="008B3192" w:rsidRPr="008B3192">
        <w:t xml:space="preserve">en 8 </w:t>
      </w:r>
      <w:proofErr w:type="spellStart"/>
      <w:r w:rsidR="008B3192" w:rsidRPr="008B3192">
        <w:t>p.p</w:t>
      </w:r>
      <w:proofErr w:type="spellEnd"/>
      <w:r w:rsidR="008B3192" w:rsidRPr="008B3192">
        <w:t xml:space="preserve"> </w:t>
      </w:r>
      <w:r>
        <w:t>la proporción de entidades que carecen de un espacio específico para la publicación de informaciones obligatorias</w:t>
      </w:r>
      <w:r w:rsidR="00284DF9">
        <w:t>.</w:t>
      </w:r>
    </w:p>
    <w:p w:rsidR="00D67951" w:rsidRDefault="006D7EE4" w:rsidP="00D67951">
      <w:r>
        <w:t xml:space="preserve">Entre </w:t>
      </w:r>
      <w:r w:rsidR="003E12E2">
        <w:t>las</w:t>
      </w:r>
      <w:r>
        <w:t xml:space="preserve"> entidades que </w:t>
      </w:r>
      <w:r w:rsidR="00D67951">
        <w:t>disponen de un portal de transparencia</w:t>
      </w:r>
      <w:r w:rsidR="002C2C18">
        <w:t>,</w:t>
      </w:r>
      <w:r w:rsidR="00D67951">
        <w:t xml:space="preserve"> la información se organiza sigui</w:t>
      </w:r>
      <w:r w:rsidR="003E12E2">
        <w:t>endo la estructura de la LTAIBG</w:t>
      </w:r>
      <w:r w:rsidR="002C2C18" w:rsidRPr="002C2C18">
        <w:t xml:space="preserve"> </w:t>
      </w:r>
      <w:r w:rsidR="002C2C18">
        <w:t>en poco más de</w:t>
      </w:r>
      <w:r w:rsidR="00284DF9">
        <w:t>l 10%</w:t>
      </w:r>
      <w:r w:rsidR="002C2C18">
        <w:t xml:space="preserve"> </w:t>
      </w:r>
      <w:r w:rsidR="003E12E2">
        <w:t xml:space="preserve">y </w:t>
      </w:r>
      <w:r w:rsidR="00EB2173">
        <w:t>más de dos tercios d</w:t>
      </w:r>
      <w:r w:rsidR="002C2C18">
        <w:t xml:space="preserve">e estas entidades </w:t>
      </w:r>
      <w:r w:rsidR="00D67951">
        <w:t>publica información obligatoria al margen de su Portal de Transparencia, lo que dificulta su localización.</w:t>
      </w:r>
      <w:r w:rsidR="00EB2173">
        <w:t xml:space="preserve"> La evolución respecto de 2021 también es negativa respecto de ambas dimensiones.</w:t>
      </w:r>
    </w:p>
    <w:p w:rsidR="008B3192" w:rsidRDefault="00EB2173" w:rsidP="00D67951">
      <w:pPr>
        <w:pBdr>
          <w:top w:val="single" w:sz="4" w:space="1" w:color="325F64" w:themeColor="accent2" w:themeShade="BF"/>
          <w:left w:val="single" w:sz="4" w:space="4" w:color="325F64" w:themeColor="accent2" w:themeShade="BF"/>
          <w:bottom w:val="single" w:sz="4" w:space="1" w:color="325F64" w:themeColor="accent2" w:themeShade="BF"/>
          <w:right w:val="single" w:sz="4" w:space="4" w:color="325F64" w:themeColor="accent2" w:themeShade="BF"/>
        </w:pBdr>
      </w:pPr>
      <w:r w:rsidRPr="00EB2173">
        <w:t xml:space="preserve">Para facilitar la localización y la accesibilidad a la información, sería deseable que todas las entidades contasen con un espacio diferenciado para la publicación de la información sujeta a obligaciones de publicidad activa. </w:t>
      </w:r>
    </w:p>
    <w:p w:rsidR="00D67951" w:rsidRDefault="00D67951" w:rsidP="00D67951">
      <w:pPr>
        <w:pBdr>
          <w:top w:val="single" w:sz="4" w:space="1" w:color="325F64" w:themeColor="accent2" w:themeShade="BF"/>
          <w:left w:val="single" w:sz="4" w:space="4" w:color="325F64" w:themeColor="accent2" w:themeShade="BF"/>
          <w:bottom w:val="single" w:sz="4" w:space="1" w:color="325F64" w:themeColor="accent2" w:themeShade="BF"/>
          <w:right w:val="single" w:sz="4" w:space="4" w:color="325F64" w:themeColor="accent2" w:themeShade="BF"/>
        </w:pBdr>
      </w:pPr>
      <w:r>
        <w:t>En la medida de lo posible la información debe ajustarse al patrón establecido por la LTAIBG: Información Institucional</w:t>
      </w:r>
      <w:r w:rsidR="003E12E2">
        <w:t xml:space="preserve"> y</w:t>
      </w:r>
      <w:r>
        <w:t xml:space="preserve"> Organizativa</w:t>
      </w:r>
      <w:r w:rsidR="006D7EE4">
        <w:t xml:space="preserve"> </w:t>
      </w:r>
      <w:r w:rsidR="003E12E2">
        <w:t>e</w:t>
      </w:r>
      <w:r>
        <w:t xml:space="preserve"> Información Económica</w:t>
      </w:r>
      <w:r w:rsidR="006D7EE4">
        <w:t xml:space="preserve">, </w:t>
      </w:r>
      <w:r>
        <w:t>dado que es esperable que los ciudadanos utilicen</w:t>
      </w:r>
      <w:r w:rsidRPr="004612EB">
        <w:t xml:space="preserve"> la Ley </w:t>
      </w:r>
      <w:r>
        <w:t>como referencia para localizar la información.</w:t>
      </w:r>
    </w:p>
    <w:p w:rsidR="00D67951" w:rsidRDefault="00D67951" w:rsidP="00D67951">
      <w:pPr>
        <w:pBdr>
          <w:top w:val="single" w:sz="4" w:space="1" w:color="325F64" w:themeColor="accent2" w:themeShade="BF"/>
          <w:left w:val="single" w:sz="4" w:space="4" w:color="325F64" w:themeColor="accent2" w:themeShade="BF"/>
          <w:bottom w:val="single" w:sz="4" w:space="1" w:color="325F64" w:themeColor="accent2" w:themeShade="BF"/>
          <w:right w:val="single" w:sz="4" w:space="4" w:color="325F64" w:themeColor="accent2" w:themeShade="BF"/>
        </w:pBdr>
      </w:pPr>
      <w:r>
        <w:t xml:space="preserve">Todas las informaciones obligatorias deberían publicarse en el Portal de Transparencia. En el supuesto de que una información se encuentre publicada en otro lugar de la web institucional, debería enlazarse a ella desde el Portal de </w:t>
      </w:r>
      <w:r>
        <w:lastRenderedPageBreak/>
        <w:t xml:space="preserve">Transparencia, ubicando dicho enlace en el bloque de información al que pertenezca.   </w:t>
      </w:r>
    </w:p>
    <w:p w:rsidR="00EB2173" w:rsidRDefault="00EB2173" w:rsidP="00D67951">
      <w:pPr>
        <w:rPr>
          <w:b/>
          <w:color w:val="325F64" w:themeColor="accent2" w:themeShade="BF"/>
        </w:rPr>
      </w:pPr>
    </w:p>
    <w:p w:rsidR="0078793A" w:rsidRDefault="003E12E2" w:rsidP="00D67951">
      <w:pPr>
        <w:rPr>
          <w:b/>
          <w:color w:val="325F64" w:themeColor="accent2" w:themeShade="BF"/>
        </w:rPr>
      </w:pPr>
      <w:r>
        <w:rPr>
          <w:b/>
          <w:color w:val="325F64" w:themeColor="accent2" w:themeShade="BF"/>
        </w:rPr>
        <w:t xml:space="preserve">Un </w:t>
      </w:r>
      <w:r w:rsidR="00EB2173">
        <w:rPr>
          <w:b/>
          <w:color w:val="325F64" w:themeColor="accent2" w:themeShade="BF"/>
        </w:rPr>
        <w:t>6</w:t>
      </w:r>
      <w:r>
        <w:rPr>
          <w:b/>
          <w:color w:val="325F64" w:themeColor="accent2" w:themeShade="BF"/>
        </w:rPr>
        <w:t>8,6% de las entidades evaluadas en 202</w:t>
      </w:r>
      <w:r w:rsidR="00EB2173">
        <w:rPr>
          <w:b/>
          <w:color w:val="325F64" w:themeColor="accent2" w:themeShade="BF"/>
        </w:rPr>
        <w:t>1</w:t>
      </w:r>
      <w:r>
        <w:rPr>
          <w:b/>
          <w:color w:val="325F64" w:themeColor="accent2" w:themeShade="BF"/>
        </w:rPr>
        <w:t xml:space="preserve"> no ha aplicado ninguna de las recomendaciones efectuadas por este Consejo</w:t>
      </w:r>
      <w:r w:rsidR="0078793A">
        <w:rPr>
          <w:b/>
          <w:color w:val="325F64" w:themeColor="accent2" w:themeShade="BF"/>
        </w:rPr>
        <w:t>.</w:t>
      </w:r>
      <w:r w:rsidR="00EB2173">
        <w:rPr>
          <w:b/>
          <w:color w:val="325F64" w:themeColor="accent2" w:themeShade="BF"/>
        </w:rPr>
        <w:t xml:space="preserve"> Respecto de 2021</w:t>
      </w:r>
      <w:r w:rsidR="003F2AA0">
        <w:rPr>
          <w:b/>
          <w:color w:val="325F64" w:themeColor="accent2" w:themeShade="BF"/>
        </w:rPr>
        <w:t>,</w:t>
      </w:r>
      <w:r w:rsidR="00EB2173">
        <w:rPr>
          <w:b/>
          <w:color w:val="325F64" w:themeColor="accent2" w:themeShade="BF"/>
        </w:rPr>
        <w:t xml:space="preserve"> la proporción de entidades evaluadas que no ha aplicado ninguna recomendación ha aumentado en 40 p.p.</w:t>
      </w:r>
    </w:p>
    <w:p w:rsidR="003E12E2" w:rsidRDefault="0078793A" w:rsidP="0078793A">
      <w:r>
        <w:t>De</w:t>
      </w:r>
      <w:r w:rsidR="003E12E2">
        <w:t xml:space="preserve"> </w:t>
      </w:r>
      <w:r>
        <w:t xml:space="preserve">las </w:t>
      </w:r>
      <w:r w:rsidR="00EB2173">
        <w:t>592</w:t>
      </w:r>
      <w:r>
        <w:t xml:space="preserve"> recomendaciones derivadas de dicha evaluación sólo se han aplicado </w:t>
      </w:r>
      <w:r w:rsidR="00EB2173">
        <w:t>60</w:t>
      </w:r>
      <w:r>
        <w:t xml:space="preserve">, lo que supone un </w:t>
      </w:r>
      <w:r w:rsidR="00EB2173">
        <w:t>10,1</w:t>
      </w:r>
      <w:r>
        <w:t xml:space="preserve">% del total. </w:t>
      </w:r>
      <w:r w:rsidR="00EB2173">
        <w:t>Esta falta de implantación de las recomendaciones se refleja en una escasa mejora de los índices de cumplimiento y en el hecho de que, en general, las entidades evaluadas en 2022 presenten un mejor desempeño en el cumplimiento de las obligaciones de publicidad activa que las evaluadas por primera vez en 2021.</w:t>
      </w:r>
    </w:p>
    <w:p w:rsidR="0078793A" w:rsidRDefault="0078793A" w:rsidP="00EB2173">
      <w:pPr>
        <w:pBdr>
          <w:top w:val="single" w:sz="4" w:space="0" w:color="438086" w:themeColor="accent2"/>
          <w:left w:val="single" w:sz="4" w:space="4" w:color="438086" w:themeColor="accent2"/>
          <w:bottom w:val="single" w:sz="4" w:space="1" w:color="438086" w:themeColor="accent2"/>
          <w:right w:val="single" w:sz="4" w:space="4" w:color="438086" w:themeColor="accent2"/>
        </w:pBdr>
      </w:pPr>
      <w:r>
        <w:t>La finalidad de las recomendaciones es conseguir mejorar los niveles de cumplimiento de la LTAIBG por parte de los sujetos obligados. Por esta razón es importante que las entidades evaluadas las apliquen. Solo de esta manera es posible avanzar. De hecho</w:t>
      </w:r>
      <w:r w:rsidR="00EB2173">
        <w:t xml:space="preserve">, </w:t>
      </w:r>
      <w:r>
        <w:t xml:space="preserve">entre las </w:t>
      </w:r>
      <w:r w:rsidR="00EB2173">
        <w:t>6</w:t>
      </w:r>
      <w:r>
        <w:t xml:space="preserve"> entidades que han aplicado al menos el </w:t>
      </w:r>
      <w:r w:rsidR="00EB2173">
        <w:t>40</w:t>
      </w:r>
      <w:r>
        <w:t>% de las recomendaciones</w:t>
      </w:r>
      <w:r w:rsidR="002C2C18">
        <w:t xml:space="preserve"> efectuadas</w:t>
      </w:r>
      <w:r>
        <w:t>, el incremento de</w:t>
      </w:r>
      <w:r w:rsidR="002C2C18">
        <w:t>l</w:t>
      </w:r>
      <w:r>
        <w:t xml:space="preserve"> Índice de Cumplimiento de la Información Obligatorias </w:t>
      </w:r>
      <w:r w:rsidR="00EB2173">
        <w:t>se sitúa</w:t>
      </w:r>
      <w:r>
        <w:t xml:space="preserve"> </w:t>
      </w:r>
      <w:r w:rsidR="00EB2173">
        <w:t>en</w:t>
      </w:r>
      <w:r>
        <w:t xml:space="preserve"> </w:t>
      </w:r>
      <w:r w:rsidR="00EB2173">
        <w:t>40</w:t>
      </w:r>
      <w:r>
        <w:t xml:space="preserve"> </w:t>
      </w:r>
      <w:r w:rsidR="00EB2173">
        <w:t>p.p</w:t>
      </w:r>
      <w:r>
        <w:t>.</w:t>
      </w:r>
    </w:p>
    <w:p w:rsidR="003E12E2" w:rsidRDefault="003E12E2" w:rsidP="00D67951">
      <w:pPr>
        <w:rPr>
          <w:b/>
          <w:color w:val="325F64" w:themeColor="accent2" w:themeShade="BF"/>
        </w:rPr>
      </w:pPr>
    </w:p>
    <w:p w:rsidR="00D67951" w:rsidRPr="002A35CD" w:rsidRDefault="00D67951" w:rsidP="00D67951">
      <w:pPr>
        <w:rPr>
          <w:b/>
          <w:color w:val="325F64" w:themeColor="accent2" w:themeShade="BF"/>
        </w:rPr>
      </w:pPr>
      <w:r w:rsidRPr="002A35CD">
        <w:rPr>
          <w:b/>
          <w:color w:val="325F64" w:themeColor="accent2" w:themeShade="BF"/>
        </w:rPr>
        <w:t xml:space="preserve">En promedio </w:t>
      </w:r>
      <w:r w:rsidR="00DA7486">
        <w:rPr>
          <w:b/>
          <w:color w:val="325F64" w:themeColor="accent2" w:themeShade="BF"/>
        </w:rPr>
        <w:t>la proporción</w:t>
      </w:r>
      <w:r w:rsidRPr="002A35CD">
        <w:rPr>
          <w:b/>
          <w:color w:val="325F64" w:themeColor="accent2" w:themeShade="BF"/>
        </w:rPr>
        <w:t xml:space="preserve"> de informaciones obligatorias </w:t>
      </w:r>
      <w:r w:rsidR="00DA7486">
        <w:rPr>
          <w:b/>
          <w:color w:val="325F64" w:themeColor="accent2" w:themeShade="BF"/>
        </w:rPr>
        <w:t xml:space="preserve">que se publican no alcanza el </w:t>
      </w:r>
      <w:r w:rsidR="00BD3830">
        <w:rPr>
          <w:b/>
          <w:color w:val="325F64" w:themeColor="accent2" w:themeShade="BF"/>
        </w:rPr>
        <w:t>35</w:t>
      </w:r>
      <w:r w:rsidR="00DA7486">
        <w:rPr>
          <w:b/>
          <w:color w:val="325F64" w:themeColor="accent2" w:themeShade="BF"/>
        </w:rPr>
        <w:t xml:space="preserve">%, </w:t>
      </w:r>
      <w:r w:rsidR="00BD3830">
        <w:rPr>
          <w:b/>
          <w:color w:val="325F64" w:themeColor="accent2" w:themeShade="BF"/>
        </w:rPr>
        <w:t xml:space="preserve">5 p.p. menos que en 2021, </w:t>
      </w:r>
      <w:r w:rsidRPr="002A35CD">
        <w:rPr>
          <w:b/>
          <w:color w:val="325F64" w:themeColor="accent2" w:themeShade="BF"/>
        </w:rPr>
        <w:t xml:space="preserve">aunque existen diferencias entre bloques de información y una gran variabilidad entre las </w:t>
      </w:r>
      <w:r w:rsidR="003A6B5E">
        <w:rPr>
          <w:b/>
          <w:color w:val="325F64" w:themeColor="accent2" w:themeShade="BF"/>
        </w:rPr>
        <w:t>entidades</w:t>
      </w:r>
      <w:r w:rsidRPr="002A35CD">
        <w:rPr>
          <w:b/>
          <w:color w:val="325F64" w:themeColor="accent2" w:themeShade="BF"/>
        </w:rPr>
        <w:t xml:space="preserve"> evaluadas. </w:t>
      </w:r>
    </w:p>
    <w:p w:rsidR="00DA7486" w:rsidRDefault="00D67951" w:rsidP="00D67951">
      <w:r w:rsidRPr="002A35CD">
        <w:t>Mientras en el bloque de</w:t>
      </w:r>
      <w:r w:rsidR="006C3C82">
        <w:t xml:space="preserve"> </w:t>
      </w:r>
      <w:r w:rsidR="001D5FAD">
        <w:t>Información Institucional</w:t>
      </w:r>
      <w:r w:rsidR="002C2C18">
        <w:t xml:space="preserve"> y</w:t>
      </w:r>
      <w:r>
        <w:t xml:space="preserve"> Organizativa</w:t>
      </w:r>
      <w:r w:rsidR="001D5FAD">
        <w:t xml:space="preserve"> </w:t>
      </w:r>
      <w:r w:rsidR="00DA7486">
        <w:t xml:space="preserve">la proporción de contenidos obligatorios publicados alcanza </w:t>
      </w:r>
      <w:r w:rsidR="0078793A">
        <w:t>el 5</w:t>
      </w:r>
      <w:r w:rsidR="00BD3830">
        <w:t>1</w:t>
      </w:r>
      <w:r w:rsidR="0078793A">
        <w:t>,3</w:t>
      </w:r>
      <w:r w:rsidR="00DA7486">
        <w:t xml:space="preserve">%, </w:t>
      </w:r>
      <w:r w:rsidR="006C3C82">
        <w:t>disminuye hasta el</w:t>
      </w:r>
      <w:r>
        <w:t xml:space="preserve"> </w:t>
      </w:r>
      <w:r w:rsidR="0078793A">
        <w:t>2</w:t>
      </w:r>
      <w:r w:rsidR="00BD3830">
        <w:t>1,7</w:t>
      </w:r>
      <w:r w:rsidR="00DA7486">
        <w:t xml:space="preserve">% en el caso de la información Económica. </w:t>
      </w:r>
    </w:p>
    <w:p w:rsidR="00554AE4" w:rsidRDefault="0078793A" w:rsidP="00D67951">
      <w:r>
        <w:t>Las entidades evaluadas en 202</w:t>
      </w:r>
      <w:r w:rsidR="00BD3830">
        <w:t>2 por primera vez,</w:t>
      </w:r>
      <w:r w:rsidR="00DA7486">
        <w:t xml:space="preserve"> presentan un mejor desempeño </w:t>
      </w:r>
      <w:r w:rsidR="001B45B7">
        <w:t>en la publicación de contenidos obligatorios</w:t>
      </w:r>
      <w:r>
        <w:t xml:space="preserve"> – un </w:t>
      </w:r>
      <w:r w:rsidR="00BD3830">
        <w:t>39,5</w:t>
      </w:r>
      <w:r>
        <w:t>% - que las evaluadas por primera vez en 20</w:t>
      </w:r>
      <w:r w:rsidR="00BD3830">
        <w:t>21</w:t>
      </w:r>
      <w:r>
        <w:t xml:space="preserve"> – un </w:t>
      </w:r>
      <w:r w:rsidR="00BD3830">
        <w:t>32,4</w:t>
      </w:r>
      <w:r>
        <w:t>%-</w:t>
      </w:r>
      <w:r w:rsidR="001B45B7">
        <w:t xml:space="preserve">. </w:t>
      </w:r>
    </w:p>
    <w:p w:rsidR="0078793A" w:rsidRDefault="00DF0601" w:rsidP="00D67951">
      <w:r>
        <w:t>Las federaciones Deportivas, ONG y</w:t>
      </w:r>
      <w:r w:rsidR="008B3192">
        <w:t>,</w:t>
      </w:r>
      <w:r>
        <w:t xml:space="preserve"> en menor medida</w:t>
      </w:r>
      <w:r w:rsidR="008B3192">
        <w:t>,</w:t>
      </w:r>
      <w:r>
        <w:t xml:space="preserve"> las fundaciones</w:t>
      </w:r>
      <w:r w:rsidR="00BD3830">
        <w:t>,</w:t>
      </w:r>
      <w:r>
        <w:t xml:space="preserve"> publican una mayor proporción de contenidos obligatorios. </w:t>
      </w:r>
    </w:p>
    <w:p w:rsidR="00DF0601" w:rsidRDefault="00554AE4" w:rsidP="00D67951">
      <w:r>
        <w:t xml:space="preserve">Las informaciones que presentan una menor frecuencia de publicación son </w:t>
      </w:r>
      <w:r w:rsidR="00D67951">
        <w:t xml:space="preserve">el </w:t>
      </w:r>
      <w:r w:rsidR="00DF0601">
        <w:t xml:space="preserve">organigrama, </w:t>
      </w:r>
      <w:r w:rsidR="00BD3830">
        <w:t xml:space="preserve">la descripción de la estructura organizativa, </w:t>
      </w:r>
      <w:r w:rsidR="00DF0601">
        <w:t>la normativa aplicable a la entidad y el perfil y trayectoria profesional de sus máximos responsable</w:t>
      </w:r>
      <w:r w:rsidR="008B3192">
        <w:t>s.</w:t>
      </w:r>
      <w:r w:rsidR="001D5FAD">
        <w:t xml:space="preserve"> </w:t>
      </w:r>
      <w:r w:rsidR="008B3192">
        <w:t>E</w:t>
      </w:r>
      <w:r w:rsidR="00D67951">
        <w:t>n el bloque de Información Económica</w:t>
      </w:r>
      <w:r w:rsidR="008B3192">
        <w:t>,</w:t>
      </w:r>
      <w:r w:rsidR="00D67951">
        <w:t xml:space="preserve"> </w:t>
      </w:r>
      <w:r>
        <w:t>l</w:t>
      </w:r>
      <w:r w:rsidR="00D67951">
        <w:t xml:space="preserve">os contenidos que en menor medida se </w:t>
      </w:r>
      <w:r w:rsidR="00D67951">
        <w:lastRenderedPageBreak/>
        <w:t>publican son l</w:t>
      </w:r>
      <w:r>
        <w:t>a</w:t>
      </w:r>
      <w:r w:rsidR="00D67951">
        <w:t xml:space="preserve">s </w:t>
      </w:r>
      <w:r>
        <w:t xml:space="preserve">informaciones relativas a </w:t>
      </w:r>
      <w:r w:rsidR="00DF0601">
        <w:t xml:space="preserve">contratos mayores y menores adjudicados por administraciones públicas, retribuciones de </w:t>
      </w:r>
      <w:r w:rsidR="008B3192">
        <w:t>los</w:t>
      </w:r>
      <w:r w:rsidR="00DF0601">
        <w:t xml:space="preserve"> máximos responsables y convenios suscritos con administraciones públicas. </w:t>
      </w:r>
      <w:r>
        <w:t xml:space="preserve"> </w:t>
      </w:r>
    </w:p>
    <w:p w:rsidR="00D67951" w:rsidRDefault="00DF0601" w:rsidP="00D67951">
      <w:r>
        <w:t>Es posible que en la mayoría de los casos la</w:t>
      </w:r>
      <w:r w:rsidR="00D67951">
        <w:t xml:space="preserve"> causa de la falta de publicación de algunas informaciones </w:t>
      </w:r>
      <w:r>
        <w:t xml:space="preserve">– especialmente del bloque económico  - sea </w:t>
      </w:r>
      <w:r w:rsidR="003A6B5E">
        <w:t>la inexistencia</w:t>
      </w:r>
      <w:r w:rsidR="00D67951">
        <w:t xml:space="preserve"> información que publicar por no haber habido actividad en ese ámbito concreto.</w:t>
      </w:r>
    </w:p>
    <w:p w:rsidR="00D67951" w:rsidRDefault="00554AE4" w:rsidP="00554AE4">
      <w:r>
        <w:t>En otros</w:t>
      </w:r>
      <w:r w:rsidR="00D67951">
        <w:t xml:space="preserve"> casos se indica </w:t>
      </w:r>
      <w:r w:rsidR="008B401C">
        <w:t xml:space="preserve">por las entidades </w:t>
      </w:r>
      <w:r w:rsidR="00D67951">
        <w:t>en las observaciones</w:t>
      </w:r>
      <w:r w:rsidR="008B401C">
        <w:t xml:space="preserve"> al informe provisional de evaluación remitidas a este Consejo</w:t>
      </w:r>
      <w:r w:rsidR="00D67951">
        <w:t xml:space="preserve">, que una información no localizada durante la evaluación está publicada </w:t>
      </w:r>
      <w:r w:rsidR="002C2C18">
        <w:t xml:space="preserve">en otros documentos </w:t>
      </w:r>
      <w:r w:rsidR="008B401C">
        <w:t xml:space="preserve">– generalmente las cuentas anuales y las Memorias anuales - </w:t>
      </w:r>
      <w:r w:rsidR="002C2C18">
        <w:t>publicados en el Portal de Transparencia o en la web institucional</w:t>
      </w:r>
      <w:r w:rsidR="00C02ADF">
        <w:t>.</w:t>
      </w:r>
    </w:p>
    <w:p w:rsidR="00D67951" w:rsidRDefault="00D67951" w:rsidP="001D5FAD">
      <w:pPr>
        <w:pBdr>
          <w:top w:val="single" w:sz="4" w:space="1" w:color="438086" w:themeColor="accent2"/>
          <w:left w:val="single" w:sz="4" w:space="4" w:color="438086" w:themeColor="accent2"/>
          <w:bottom w:val="single" w:sz="4" w:space="1" w:color="438086" w:themeColor="accent2"/>
          <w:right w:val="single" w:sz="4" w:space="4" w:color="438086" w:themeColor="accent2"/>
        </w:pBdr>
      </w:pPr>
      <w:r>
        <w:t xml:space="preserve">La primera recomendación obviamente, es la publicación de todas las informaciones obligatorias. </w:t>
      </w:r>
    </w:p>
    <w:p w:rsidR="00D67951" w:rsidRDefault="00D67951" w:rsidP="001D5FAD">
      <w:pPr>
        <w:pBdr>
          <w:top w:val="single" w:sz="4" w:space="1" w:color="438086" w:themeColor="accent2"/>
          <w:left w:val="single" w:sz="4" w:space="4" w:color="438086" w:themeColor="accent2"/>
          <w:bottom w:val="single" w:sz="4" w:space="1" w:color="438086" w:themeColor="accent2"/>
          <w:right w:val="single" w:sz="4" w:space="4" w:color="438086" w:themeColor="accent2"/>
        </w:pBdr>
      </w:pPr>
      <w:r>
        <w:t>En cuanto a la falta de publicación de algunas informaciones por no haber existido actividad en ese ámbito concreto, d</w:t>
      </w:r>
      <w:r w:rsidRPr="00F6070C">
        <w:t>esde este Consejo viene señalándose</w:t>
      </w:r>
      <w:r w:rsidR="008B3192">
        <w:t>,</w:t>
      </w:r>
      <w:r w:rsidRPr="00F6070C">
        <w:t xml:space="preserve"> </w:t>
      </w:r>
      <w:r w:rsidR="008B401C">
        <w:t xml:space="preserve">y recomendándose de manera individualizada a todas las entidades evaluadas, </w:t>
      </w:r>
      <w:r w:rsidRPr="00F6070C">
        <w:t>que la única manera de distinguir si la falta de publicación de una información sujeta a obligaciones de publicidad activa se debe a un incumplimiento de la obligación de publicar o a que no hay información que publicar porque no ha habido actividad en ese ámbito concreto</w:t>
      </w:r>
      <w:r w:rsidR="008B401C">
        <w:t>,</w:t>
      </w:r>
      <w:r>
        <w:t xml:space="preserve"> </w:t>
      </w:r>
      <w:r w:rsidRPr="00F6070C">
        <w:t>es que se indique tal circunstancia. Por esta razón, este Consejo, recomienda que en el apartado correspondiente a la obligación de publicidad activa para la que no ha existido actividad</w:t>
      </w:r>
      <w:r>
        <w:t xml:space="preserve"> o cuando no sea posible su publicación porque existan restricciones legales, </w:t>
      </w:r>
      <w:r w:rsidRPr="00F6070C">
        <w:t>se haga constar expresamente.</w:t>
      </w:r>
    </w:p>
    <w:p w:rsidR="008B401C" w:rsidRDefault="00D67951" w:rsidP="00C02ADF">
      <w:pPr>
        <w:pBdr>
          <w:top w:val="single" w:sz="4" w:space="1" w:color="438086" w:themeColor="accent2"/>
          <w:left w:val="single" w:sz="4" w:space="4" w:color="438086" w:themeColor="accent2"/>
          <w:bottom w:val="single" w:sz="4" w:space="1" w:color="438086" w:themeColor="accent2"/>
          <w:right w:val="single" w:sz="4" w:space="4" w:color="438086" w:themeColor="accent2"/>
        </w:pBdr>
      </w:pPr>
      <w:r>
        <w:t xml:space="preserve">En cuanto a la publicación de información de una obligación a través de </w:t>
      </w:r>
      <w:r w:rsidR="00EB2F24">
        <w:t xml:space="preserve">otros documentos, por ejemplo </w:t>
      </w:r>
      <w:r w:rsidR="002C2C18">
        <w:t>las memorias anuales</w:t>
      </w:r>
      <w:r w:rsidR="00EB2F24">
        <w:t xml:space="preserve"> de la entidad, este </w:t>
      </w:r>
      <w:r>
        <w:t xml:space="preserve">CTBG recuerda que la publicación de las informaciones obligatorias debe realizarse manera individualizada. </w:t>
      </w:r>
    </w:p>
    <w:p w:rsidR="00C02ADF" w:rsidRDefault="008B401C" w:rsidP="00C02ADF">
      <w:pPr>
        <w:pBdr>
          <w:top w:val="single" w:sz="4" w:space="1" w:color="438086" w:themeColor="accent2"/>
          <w:left w:val="single" w:sz="4" w:space="4" w:color="438086" w:themeColor="accent2"/>
          <w:bottom w:val="single" w:sz="4" w:space="1" w:color="438086" w:themeColor="accent2"/>
          <w:right w:val="single" w:sz="4" w:space="4" w:color="438086" w:themeColor="accent2"/>
        </w:pBdr>
      </w:pPr>
      <w:r>
        <w:t xml:space="preserve">Por otra parte, </w:t>
      </w:r>
      <w:r w:rsidR="00520D97">
        <w:t xml:space="preserve">la publicación de diferentes informaciones de naturaleza económica por remisión a las cuentas anuales presenta serios inconvenientes. </w:t>
      </w:r>
      <w:r w:rsidR="00520D97" w:rsidRPr="00520D97">
        <w:t xml:space="preserve">El primer problema que plantea esta forma de publicar la información, </w:t>
      </w:r>
      <w:r w:rsidR="00520D97">
        <w:t>es</w:t>
      </w:r>
      <w:r w:rsidR="00520D97" w:rsidRPr="00520D97">
        <w:t xml:space="preserve"> la dificultad de comprensión que documentos como las cuentas anuales</w:t>
      </w:r>
      <w:r w:rsidR="008B3192">
        <w:t>,</w:t>
      </w:r>
      <w:r w:rsidR="00520D97" w:rsidRPr="00520D97">
        <w:t xml:space="preserve"> pueden tener para personas no especializadas. A ello se añade una segunda dificultad, que es la localización de una información obligatoria concreta</w:t>
      </w:r>
      <w:r w:rsidR="00520D97">
        <w:t xml:space="preserve"> – por ejemplo, las subvenciones percibidas -</w:t>
      </w:r>
      <w:r w:rsidR="00520D97" w:rsidRPr="00520D97">
        <w:t xml:space="preserve">, en un documento tan amplio y prolijo como las cuentas anuales. </w:t>
      </w:r>
      <w:r w:rsidR="00520D97">
        <w:t>Este Consejo recuerda que l</w:t>
      </w:r>
      <w:r w:rsidR="00520D97" w:rsidRPr="00520D97">
        <w:t>a claridad y la accesibilidad, son dos atributos relativos a la calidad</w:t>
      </w:r>
      <w:r w:rsidR="00520D97">
        <w:t xml:space="preserve"> en la publicación </w:t>
      </w:r>
      <w:r w:rsidR="00520D97" w:rsidRPr="00520D97">
        <w:t xml:space="preserve">de la información </w:t>
      </w:r>
      <w:r w:rsidR="00520D97">
        <w:t>obligatoria, que</w:t>
      </w:r>
      <w:r w:rsidR="00520D97" w:rsidRPr="00520D97">
        <w:t xml:space="preserve"> establece la LTAIBG en su artículo 5.4.</w:t>
      </w:r>
    </w:p>
    <w:p w:rsidR="008B3192" w:rsidRDefault="008B3192" w:rsidP="00D67951">
      <w:pPr>
        <w:rPr>
          <w:b/>
          <w:color w:val="325F64" w:themeColor="accent2" w:themeShade="BF"/>
        </w:rPr>
      </w:pPr>
    </w:p>
    <w:p w:rsidR="00D67951" w:rsidRPr="00F6070C" w:rsidRDefault="00EB2F24" w:rsidP="00D67951">
      <w:pPr>
        <w:rPr>
          <w:b/>
          <w:color w:val="325F64" w:themeColor="accent2" w:themeShade="BF"/>
        </w:rPr>
      </w:pPr>
      <w:r>
        <w:rPr>
          <w:b/>
          <w:color w:val="325F64" w:themeColor="accent2" w:themeShade="BF"/>
        </w:rPr>
        <w:lastRenderedPageBreak/>
        <w:t>En cuanto a l</w:t>
      </w:r>
      <w:r w:rsidR="00D67951">
        <w:rPr>
          <w:b/>
          <w:color w:val="325F64" w:themeColor="accent2" w:themeShade="BF"/>
        </w:rPr>
        <w:t xml:space="preserve">os criterios de calidad de la información publicada obtienen una valoración </w:t>
      </w:r>
      <w:r w:rsidR="007601C2">
        <w:rPr>
          <w:b/>
          <w:color w:val="325F64" w:themeColor="accent2" w:themeShade="BF"/>
        </w:rPr>
        <w:t xml:space="preserve">que en </w:t>
      </w:r>
      <w:r>
        <w:rPr>
          <w:b/>
          <w:color w:val="325F64" w:themeColor="accent2" w:themeShade="BF"/>
        </w:rPr>
        <w:t>promedio</w:t>
      </w:r>
      <w:r w:rsidR="003A6B5E">
        <w:rPr>
          <w:b/>
          <w:color w:val="325F64" w:themeColor="accent2" w:themeShade="BF"/>
        </w:rPr>
        <w:t>,</w:t>
      </w:r>
      <w:r w:rsidR="007601C2">
        <w:rPr>
          <w:b/>
          <w:color w:val="325F64" w:themeColor="accent2" w:themeShade="BF"/>
        </w:rPr>
        <w:t xml:space="preserve"> </w:t>
      </w:r>
      <w:r>
        <w:rPr>
          <w:b/>
          <w:color w:val="325F64" w:themeColor="accent2" w:themeShade="BF"/>
        </w:rPr>
        <w:t xml:space="preserve">se sitúa en el </w:t>
      </w:r>
      <w:r w:rsidR="007601C2">
        <w:rPr>
          <w:b/>
          <w:color w:val="325F64" w:themeColor="accent2" w:themeShade="BF"/>
        </w:rPr>
        <w:t xml:space="preserve"> </w:t>
      </w:r>
      <w:r w:rsidR="00070AB2">
        <w:rPr>
          <w:b/>
          <w:color w:val="325F64" w:themeColor="accent2" w:themeShade="BF"/>
        </w:rPr>
        <w:t>3</w:t>
      </w:r>
      <w:r w:rsidR="00520D97">
        <w:rPr>
          <w:b/>
          <w:color w:val="325F64" w:themeColor="accent2" w:themeShade="BF"/>
        </w:rPr>
        <w:t>5</w:t>
      </w:r>
      <w:r w:rsidR="007601C2">
        <w:rPr>
          <w:b/>
          <w:color w:val="325F64" w:themeColor="accent2" w:themeShade="BF"/>
        </w:rPr>
        <w:t>%</w:t>
      </w:r>
      <w:r>
        <w:rPr>
          <w:b/>
          <w:color w:val="325F64" w:themeColor="accent2" w:themeShade="BF"/>
        </w:rPr>
        <w:t>, lo que deriva de la falta de publicación de contenidos obligatorios y también</w:t>
      </w:r>
      <w:r w:rsidR="008B3192">
        <w:rPr>
          <w:b/>
          <w:color w:val="325F64" w:themeColor="accent2" w:themeShade="BF"/>
        </w:rPr>
        <w:t>,</w:t>
      </w:r>
      <w:r>
        <w:rPr>
          <w:b/>
          <w:color w:val="325F64" w:themeColor="accent2" w:themeShade="BF"/>
        </w:rPr>
        <w:t xml:space="preserve"> de</w:t>
      </w:r>
      <w:r w:rsidR="00D67951">
        <w:rPr>
          <w:b/>
          <w:color w:val="325F64" w:themeColor="accent2" w:themeShade="BF"/>
        </w:rPr>
        <w:t xml:space="preserve"> la falta generalizada de referencias que permitan saber si la información publicada  está vigente.</w:t>
      </w:r>
    </w:p>
    <w:p w:rsidR="00D67951" w:rsidRPr="00631760" w:rsidRDefault="00D67951" w:rsidP="00D67951">
      <w:pPr>
        <w:tabs>
          <w:tab w:val="left" w:pos="284"/>
        </w:tabs>
        <w:spacing w:before="120" w:after="120" w:line="312" w:lineRule="auto"/>
        <w:rPr>
          <w:rFonts w:cstheme="minorHAnsi"/>
          <w:szCs w:val="24"/>
        </w:rPr>
      </w:pPr>
      <w:r w:rsidRPr="00631760">
        <w:rPr>
          <w:rFonts w:cstheme="minorHAnsi"/>
          <w:szCs w:val="24"/>
        </w:rPr>
        <w:t>Respecto de la actualización de la información</w:t>
      </w:r>
      <w:r>
        <w:rPr>
          <w:rFonts w:cstheme="minorHAnsi"/>
          <w:szCs w:val="24"/>
        </w:rPr>
        <w:t xml:space="preserve">, la situación más frecuente es que no se publique en los Portales de Transparencia la fecha en que se revisó o actualizó por última vez la información publicada. También en ocasiones, los documentos que contienen la información no están datados.  </w:t>
      </w:r>
      <w:r w:rsidRPr="00631760">
        <w:rPr>
          <w:rFonts w:cstheme="minorHAnsi"/>
          <w:szCs w:val="24"/>
        </w:rPr>
        <w:t xml:space="preserve"> </w:t>
      </w:r>
    </w:p>
    <w:p w:rsidR="00CA1FF0" w:rsidRDefault="00EB2F24" w:rsidP="00CA1FF0">
      <w:pPr>
        <w:pBdr>
          <w:top w:val="single" w:sz="8" w:space="1" w:color="226860"/>
          <w:left w:val="single" w:sz="8" w:space="4" w:color="226860"/>
          <w:bottom w:val="single" w:sz="8" w:space="1" w:color="226860"/>
          <w:right w:val="single" w:sz="8" w:space="4" w:color="226860"/>
        </w:pBdr>
        <w:tabs>
          <w:tab w:val="left" w:pos="284"/>
        </w:tabs>
        <w:spacing w:before="120" w:after="120" w:line="312" w:lineRule="auto"/>
        <w:rPr>
          <w:rFonts w:cstheme="minorHAnsi"/>
          <w:szCs w:val="24"/>
        </w:rPr>
      </w:pPr>
      <w:r>
        <w:rPr>
          <w:rFonts w:cstheme="minorHAnsi"/>
          <w:szCs w:val="24"/>
        </w:rPr>
        <w:t xml:space="preserve">Este Consejo recuerda </w:t>
      </w:r>
      <w:r w:rsidR="00CA1FF0">
        <w:rPr>
          <w:rFonts w:cstheme="minorHAnsi"/>
          <w:szCs w:val="24"/>
        </w:rPr>
        <w:t xml:space="preserve"> </w:t>
      </w:r>
      <w:r w:rsidR="00CA1FF0" w:rsidRPr="00A57F5B">
        <w:rPr>
          <w:rFonts w:cstheme="minorHAnsi"/>
          <w:szCs w:val="24"/>
        </w:rPr>
        <w:t>que la única posibilidad que tienen los ciudadanos</w:t>
      </w:r>
      <w:r w:rsidR="00CA1FF0">
        <w:rPr>
          <w:rFonts w:cstheme="minorHAnsi"/>
          <w:szCs w:val="24"/>
        </w:rPr>
        <w:t xml:space="preserve"> – también los evaluadores -</w:t>
      </w:r>
      <w:r w:rsidR="00CA1FF0" w:rsidRPr="00A57F5B">
        <w:rPr>
          <w:rFonts w:cstheme="minorHAnsi"/>
          <w:szCs w:val="24"/>
        </w:rPr>
        <w:t xml:space="preserve"> de saber si la información publicada está vigente o no, es que en </w:t>
      </w:r>
      <w:r w:rsidR="00CA1FF0">
        <w:rPr>
          <w:rFonts w:cstheme="minorHAnsi"/>
          <w:szCs w:val="24"/>
        </w:rPr>
        <w:t>el</w:t>
      </w:r>
      <w:r w:rsidR="00CA1FF0" w:rsidRPr="00A57F5B">
        <w:rPr>
          <w:rFonts w:cstheme="minorHAnsi"/>
          <w:szCs w:val="24"/>
        </w:rPr>
        <w:t xml:space="preserve"> Portal </w:t>
      </w:r>
      <w:r w:rsidR="00CA1FF0">
        <w:rPr>
          <w:rFonts w:cstheme="minorHAnsi"/>
          <w:szCs w:val="24"/>
        </w:rPr>
        <w:t xml:space="preserve">de Transparencia </w:t>
      </w:r>
      <w:r w:rsidR="00CA1FF0" w:rsidRPr="00A57F5B">
        <w:rPr>
          <w:rFonts w:cstheme="minorHAnsi"/>
          <w:szCs w:val="24"/>
        </w:rPr>
        <w:t xml:space="preserve">se indique expresamente. En este sentido bastaría con que en la página inicial </w:t>
      </w:r>
      <w:r w:rsidR="00520D97">
        <w:rPr>
          <w:rFonts w:cstheme="minorHAnsi"/>
          <w:szCs w:val="24"/>
        </w:rPr>
        <w:t xml:space="preserve">del Portal de Transparencia </w:t>
      </w:r>
      <w:r w:rsidR="00CA1FF0" w:rsidRPr="00A57F5B">
        <w:rPr>
          <w:rFonts w:cstheme="minorHAnsi"/>
          <w:szCs w:val="24"/>
        </w:rPr>
        <w:t xml:space="preserve">se </w:t>
      </w:r>
      <w:r w:rsidR="00520D97">
        <w:rPr>
          <w:rFonts w:cstheme="minorHAnsi"/>
          <w:szCs w:val="24"/>
        </w:rPr>
        <w:t>publique</w:t>
      </w:r>
      <w:r w:rsidR="00CA1FF0" w:rsidRPr="00A57F5B">
        <w:rPr>
          <w:rFonts w:cstheme="minorHAnsi"/>
          <w:szCs w:val="24"/>
        </w:rPr>
        <w:t xml:space="preserve"> la fecha de la última revisión o actualización </w:t>
      </w:r>
      <w:r w:rsidR="00CA1FF0">
        <w:rPr>
          <w:rFonts w:cstheme="minorHAnsi"/>
          <w:szCs w:val="24"/>
        </w:rPr>
        <w:t xml:space="preserve">de la información contenida en </w:t>
      </w:r>
      <w:r w:rsidR="008B3192">
        <w:rPr>
          <w:rFonts w:cstheme="minorHAnsi"/>
          <w:szCs w:val="24"/>
        </w:rPr>
        <w:t>éste</w:t>
      </w:r>
      <w:r w:rsidR="00CA1FF0" w:rsidRPr="00A57F5B">
        <w:rPr>
          <w:rFonts w:cstheme="minorHAnsi"/>
          <w:szCs w:val="24"/>
        </w:rPr>
        <w:t>.</w:t>
      </w:r>
    </w:p>
    <w:p w:rsidR="008B3192" w:rsidRDefault="008B3192" w:rsidP="00D67951">
      <w:pPr>
        <w:rPr>
          <w:b/>
          <w:color w:val="325F64" w:themeColor="accent2" w:themeShade="BF"/>
        </w:rPr>
      </w:pPr>
    </w:p>
    <w:p w:rsidR="00D67951" w:rsidRDefault="00D67951" w:rsidP="00D67951">
      <w:pPr>
        <w:rPr>
          <w:b/>
          <w:color w:val="325F64" w:themeColor="accent2" w:themeShade="BF"/>
        </w:rPr>
      </w:pPr>
      <w:r w:rsidRPr="004612EB">
        <w:rPr>
          <w:b/>
          <w:color w:val="325F64" w:themeColor="accent2" w:themeShade="BF"/>
        </w:rPr>
        <w:t>E</w:t>
      </w:r>
      <w:r>
        <w:rPr>
          <w:b/>
          <w:color w:val="325F64" w:themeColor="accent2" w:themeShade="BF"/>
        </w:rPr>
        <w:t>n promedio e</w:t>
      </w:r>
      <w:r w:rsidRPr="004612EB">
        <w:rPr>
          <w:b/>
          <w:color w:val="325F64" w:themeColor="accent2" w:themeShade="BF"/>
        </w:rPr>
        <w:t xml:space="preserve">l </w:t>
      </w:r>
      <w:r w:rsidR="00520D97">
        <w:rPr>
          <w:b/>
          <w:color w:val="325F64" w:themeColor="accent2" w:themeShade="BF"/>
        </w:rPr>
        <w:t>Í</w:t>
      </w:r>
      <w:r w:rsidRPr="004612EB">
        <w:rPr>
          <w:b/>
          <w:color w:val="325F64" w:themeColor="accent2" w:themeShade="BF"/>
        </w:rPr>
        <w:t>ndice de Cumplimiento de</w:t>
      </w:r>
      <w:r>
        <w:rPr>
          <w:b/>
          <w:color w:val="325F64" w:themeColor="accent2" w:themeShade="BF"/>
        </w:rPr>
        <w:t xml:space="preserve"> </w:t>
      </w:r>
      <w:r w:rsidRPr="004612EB">
        <w:rPr>
          <w:b/>
          <w:color w:val="325F64" w:themeColor="accent2" w:themeShade="BF"/>
        </w:rPr>
        <w:t>la Información Obligatoria (ICIO)</w:t>
      </w:r>
      <w:r>
        <w:rPr>
          <w:b/>
          <w:color w:val="325F64" w:themeColor="accent2" w:themeShade="BF"/>
        </w:rPr>
        <w:t xml:space="preserve"> alcanza un</w:t>
      </w:r>
      <w:r w:rsidR="00CA1FF0">
        <w:rPr>
          <w:b/>
          <w:color w:val="325F64" w:themeColor="accent2" w:themeShade="BF"/>
        </w:rPr>
        <w:t xml:space="preserve"> </w:t>
      </w:r>
      <w:r w:rsidR="00520D97">
        <w:rPr>
          <w:b/>
          <w:color w:val="325F64" w:themeColor="accent2" w:themeShade="BF"/>
        </w:rPr>
        <w:t>32,9</w:t>
      </w:r>
      <w:r w:rsidR="00CA1FF0">
        <w:rPr>
          <w:b/>
          <w:color w:val="325F64" w:themeColor="accent2" w:themeShade="BF"/>
        </w:rPr>
        <w:t>%, el más bajo de todos los sujetos evaluados en 202</w:t>
      </w:r>
      <w:r w:rsidR="00520D97">
        <w:rPr>
          <w:b/>
          <w:color w:val="325F64" w:themeColor="accent2" w:themeShade="BF"/>
        </w:rPr>
        <w:t>2</w:t>
      </w:r>
      <w:r>
        <w:rPr>
          <w:b/>
          <w:color w:val="325F64" w:themeColor="accent2" w:themeShade="BF"/>
        </w:rPr>
        <w:t xml:space="preserve">. </w:t>
      </w:r>
      <w:r w:rsidR="00520D97">
        <w:rPr>
          <w:b/>
          <w:color w:val="325F64" w:themeColor="accent2" w:themeShade="BF"/>
        </w:rPr>
        <w:t>El ICIO evoluciona negativamente respecto de los resultados obtenidos en 2021.</w:t>
      </w:r>
    </w:p>
    <w:p w:rsidR="00D67951" w:rsidRPr="009400C9" w:rsidRDefault="00CA1FF0" w:rsidP="00D67951">
      <w:pPr>
        <w:rPr>
          <w:rFonts w:cstheme="minorHAnsi"/>
          <w:szCs w:val="24"/>
        </w:rPr>
      </w:pPr>
      <w:r>
        <w:rPr>
          <w:rFonts w:cstheme="minorHAnsi"/>
          <w:szCs w:val="24"/>
        </w:rPr>
        <w:t xml:space="preserve">Las </w:t>
      </w:r>
      <w:r w:rsidR="00EB2F24">
        <w:rPr>
          <w:rFonts w:cstheme="minorHAnsi"/>
          <w:szCs w:val="24"/>
        </w:rPr>
        <w:t xml:space="preserve">entidades evaluadas </w:t>
      </w:r>
      <w:r w:rsidR="00520D97">
        <w:rPr>
          <w:rFonts w:cstheme="minorHAnsi"/>
          <w:szCs w:val="24"/>
        </w:rPr>
        <w:t>por primera vez</w:t>
      </w:r>
      <w:r>
        <w:rPr>
          <w:rFonts w:cstheme="minorHAnsi"/>
          <w:szCs w:val="24"/>
        </w:rPr>
        <w:t xml:space="preserve"> </w:t>
      </w:r>
      <w:r w:rsidR="00520D97">
        <w:rPr>
          <w:rFonts w:cstheme="minorHAnsi"/>
          <w:szCs w:val="24"/>
        </w:rPr>
        <w:t>en 2022</w:t>
      </w:r>
      <w:r w:rsidR="00070AB2">
        <w:rPr>
          <w:rFonts w:cstheme="minorHAnsi"/>
          <w:szCs w:val="24"/>
        </w:rPr>
        <w:t xml:space="preserve"> </w:t>
      </w:r>
      <w:r>
        <w:rPr>
          <w:rFonts w:cstheme="minorHAnsi"/>
          <w:szCs w:val="24"/>
        </w:rPr>
        <w:t xml:space="preserve">presentan un ICIO más elevado, </w:t>
      </w:r>
      <w:r w:rsidR="00520D97">
        <w:rPr>
          <w:rFonts w:cstheme="minorHAnsi"/>
          <w:szCs w:val="24"/>
        </w:rPr>
        <w:t>el</w:t>
      </w:r>
      <w:r>
        <w:rPr>
          <w:rFonts w:cstheme="minorHAnsi"/>
          <w:szCs w:val="24"/>
        </w:rPr>
        <w:t xml:space="preserve"> </w:t>
      </w:r>
      <w:r w:rsidR="00520D97">
        <w:rPr>
          <w:rFonts w:cstheme="minorHAnsi"/>
          <w:szCs w:val="24"/>
        </w:rPr>
        <w:t>39,8</w:t>
      </w:r>
      <w:r>
        <w:rPr>
          <w:rFonts w:cstheme="minorHAnsi"/>
          <w:szCs w:val="24"/>
        </w:rPr>
        <w:t>%</w:t>
      </w:r>
      <w:r w:rsidR="00070AB2">
        <w:rPr>
          <w:rFonts w:cstheme="minorHAnsi"/>
          <w:szCs w:val="24"/>
        </w:rPr>
        <w:t xml:space="preserve">, </w:t>
      </w:r>
      <w:r w:rsidR="00520D97">
        <w:rPr>
          <w:rFonts w:cstheme="minorHAnsi"/>
          <w:szCs w:val="24"/>
        </w:rPr>
        <w:t>9,6</w:t>
      </w:r>
      <w:r w:rsidR="00070AB2">
        <w:rPr>
          <w:rFonts w:cstheme="minorHAnsi"/>
          <w:szCs w:val="24"/>
        </w:rPr>
        <w:t xml:space="preserve"> </w:t>
      </w:r>
      <w:proofErr w:type="spellStart"/>
      <w:r w:rsidR="00520D97">
        <w:rPr>
          <w:rFonts w:cstheme="minorHAnsi"/>
          <w:szCs w:val="24"/>
        </w:rPr>
        <w:t>p</w:t>
      </w:r>
      <w:proofErr w:type="gramStart"/>
      <w:r w:rsidR="00520D97">
        <w:rPr>
          <w:rFonts w:cstheme="minorHAnsi"/>
          <w:szCs w:val="24"/>
        </w:rPr>
        <w:t>,p</w:t>
      </w:r>
      <w:proofErr w:type="spellEnd"/>
      <w:proofErr w:type="gramEnd"/>
      <w:r w:rsidR="00520D97">
        <w:rPr>
          <w:rFonts w:cstheme="minorHAnsi"/>
          <w:szCs w:val="24"/>
        </w:rPr>
        <w:t>.</w:t>
      </w:r>
      <w:r w:rsidR="00070AB2">
        <w:rPr>
          <w:rFonts w:cstheme="minorHAnsi"/>
          <w:szCs w:val="24"/>
        </w:rPr>
        <w:t xml:space="preserve"> </w:t>
      </w:r>
      <w:r w:rsidR="00520D97">
        <w:rPr>
          <w:rFonts w:cstheme="minorHAnsi"/>
          <w:szCs w:val="24"/>
        </w:rPr>
        <w:t>superior</w:t>
      </w:r>
      <w:r w:rsidR="00070AB2">
        <w:rPr>
          <w:rFonts w:cstheme="minorHAnsi"/>
          <w:szCs w:val="24"/>
        </w:rPr>
        <w:t xml:space="preserve"> </w:t>
      </w:r>
      <w:r w:rsidR="00520D97">
        <w:rPr>
          <w:rFonts w:cstheme="minorHAnsi"/>
          <w:szCs w:val="24"/>
        </w:rPr>
        <w:t>a</w:t>
      </w:r>
      <w:r w:rsidR="00070AB2">
        <w:rPr>
          <w:rFonts w:cstheme="minorHAnsi"/>
          <w:szCs w:val="24"/>
        </w:rPr>
        <w:t xml:space="preserve">l correspondiente a las evaluadas por primera vez </w:t>
      </w:r>
      <w:r w:rsidR="00520D97">
        <w:rPr>
          <w:rFonts w:cstheme="minorHAnsi"/>
          <w:szCs w:val="24"/>
        </w:rPr>
        <w:t>en 2021</w:t>
      </w:r>
      <w:r>
        <w:rPr>
          <w:rFonts w:cstheme="minorHAnsi"/>
          <w:szCs w:val="24"/>
        </w:rPr>
        <w:t xml:space="preserve">. </w:t>
      </w:r>
      <w:r w:rsidR="00070AB2">
        <w:rPr>
          <w:rFonts w:cstheme="minorHAnsi"/>
          <w:szCs w:val="24"/>
        </w:rPr>
        <w:t>Por tipo de entidad, las federaciones deportivas, las ONG y en menor medida las fundaciones privadas se sitúan muy por encima de la media de cumplimiento.</w:t>
      </w:r>
      <w:r>
        <w:rPr>
          <w:rFonts w:cstheme="minorHAnsi"/>
          <w:szCs w:val="24"/>
        </w:rPr>
        <w:t xml:space="preserve"> El margen de mejora es evidente </w:t>
      </w:r>
      <w:r w:rsidR="00F920A1">
        <w:rPr>
          <w:rFonts w:cstheme="minorHAnsi"/>
          <w:szCs w:val="24"/>
        </w:rPr>
        <w:t>para este grupo de sujetos obligados.</w:t>
      </w:r>
      <w:r w:rsidR="00D67951">
        <w:rPr>
          <w:rFonts w:cstheme="minorHAnsi"/>
          <w:szCs w:val="24"/>
        </w:rPr>
        <w:t xml:space="preserve"> </w:t>
      </w:r>
    </w:p>
    <w:p w:rsidR="008B3192" w:rsidRDefault="008B3192" w:rsidP="00D67951">
      <w:pPr>
        <w:rPr>
          <w:b/>
          <w:color w:val="325F64" w:themeColor="accent2" w:themeShade="BF"/>
        </w:rPr>
      </w:pPr>
    </w:p>
    <w:p w:rsidR="00D67951" w:rsidRPr="004612EB" w:rsidRDefault="00806F14" w:rsidP="00D67951">
      <w:pPr>
        <w:rPr>
          <w:b/>
          <w:color w:val="325F64" w:themeColor="accent2" w:themeShade="BF"/>
        </w:rPr>
      </w:pPr>
      <w:r>
        <w:rPr>
          <w:b/>
          <w:color w:val="325F64" w:themeColor="accent2" w:themeShade="BF"/>
        </w:rPr>
        <w:t>Algunas</w:t>
      </w:r>
      <w:r w:rsidR="00D67951">
        <w:rPr>
          <w:b/>
          <w:color w:val="325F64" w:themeColor="accent2" w:themeShade="BF"/>
        </w:rPr>
        <w:t xml:space="preserve"> </w:t>
      </w:r>
      <w:r w:rsidR="00F920A1">
        <w:rPr>
          <w:b/>
          <w:color w:val="325F64" w:themeColor="accent2" w:themeShade="BF"/>
        </w:rPr>
        <w:t>entidades</w:t>
      </w:r>
      <w:r w:rsidR="00D67951">
        <w:rPr>
          <w:b/>
          <w:color w:val="325F64" w:themeColor="accent2" w:themeShade="BF"/>
        </w:rPr>
        <w:t xml:space="preserve"> publican información adicional a la obligatoria relevante desde el punto de vista de la transparencia, lo que constituye una muestra su </w:t>
      </w:r>
      <w:proofErr w:type="spellStart"/>
      <w:r w:rsidR="00D67951">
        <w:rPr>
          <w:b/>
          <w:color w:val="325F64" w:themeColor="accent2" w:themeShade="BF"/>
        </w:rPr>
        <w:t>proactividad</w:t>
      </w:r>
      <w:proofErr w:type="spellEnd"/>
      <w:r w:rsidR="00D67951">
        <w:rPr>
          <w:b/>
          <w:color w:val="325F64" w:themeColor="accent2" w:themeShade="BF"/>
        </w:rPr>
        <w:t xml:space="preserve"> respecto de la transparencia y la rendición de cuentas.</w:t>
      </w:r>
    </w:p>
    <w:p w:rsidR="00D67951" w:rsidRDefault="00D67951" w:rsidP="00D67951">
      <w:r>
        <w:t xml:space="preserve">Algunas de estas informaciones adicionales se corresponden con informaciones contempladas en la Ley </w:t>
      </w:r>
      <w:r w:rsidR="00F920A1">
        <w:t xml:space="preserve">pero que no son de aplicación </w:t>
      </w:r>
      <w:r w:rsidR="002C2C18">
        <w:t>a la entidad</w:t>
      </w:r>
      <w:r w:rsidR="00F920A1">
        <w:t xml:space="preserve"> – por ejemplo, información sobre planificación o datos estadísticos sob</w:t>
      </w:r>
      <w:r w:rsidR="00475A84">
        <w:t>r</w:t>
      </w:r>
      <w:r w:rsidR="00F920A1">
        <w:t xml:space="preserve">e su actividad – y otras no contempladas por la LTAIBG </w:t>
      </w:r>
      <w:r>
        <w:t xml:space="preserve">como </w:t>
      </w:r>
      <w:r w:rsidR="00973C9C">
        <w:t>actas y acuerdos</w:t>
      </w:r>
      <w:r w:rsidR="00070AB2">
        <w:t xml:space="preserve"> o canales de denuncias por vulneración del código ético</w:t>
      </w:r>
      <w:r>
        <w:t>.</w:t>
      </w:r>
    </w:p>
    <w:p w:rsidR="008B3192" w:rsidRDefault="008B3192" w:rsidP="00D67951">
      <w:pPr>
        <w:rPr>
          <w:b/>
          <w:color w:val="325F64" w:themeColor="accent2" w:themeShade="BF"/>
        </w:rPr>
      </w:pPr>
    </w:p>
    <w:p w:rsidR="00D67951" w:rsidRDefault="00070AB2" w:rsidP="00D67951">
      <w:pPr>
        <w:rPr>
          <w:b/>
          <w:color w:val="325F64" w:themeColor="accent2" w:themeShade="BF"/>
        </w:rPr>
      </w:pPr>
      <w:r>
        <w:rPr>
          <w:b/>
          <w:color w:val="325F64" w:themeColor="accent2" w:themeShade="BF"/>
        </w:rPr>
        <w:t>Muchas menos</w:t>
      </w:r>
      <w:r w:rsidR="00D67951" w:rsidRPr="00334037">
        <w:rPr>
          <w:b/>
          <w:color w:val="325F64" w:themeColor="accent2" w:themeShade="BF"/>
        </w:rPr>
        <w:t xml:space="preserve"> </w:t>
      </w:r>
      <w:r w:rsidR="00F920A1">
        <w:rPr>
          <w:b/>
          <w:color w:val="325F64" w:themeColor="accent2" w:themeShade="BF"/>
        </w:rPr>
        <w:t>entidades</w:t>
      </w:r>
      <w:r w:rsidR="00D67951">
        <w:t xml:space="preserve"> </w:t>
      </w:r>
      <w:r w:rsidR="00D67951" w:rsidRPr="00334037">
        <w:rPr>
          <w:b/>
          <w:color w:val="325F64" w:themeColor="accent2" w:themeShade="BF"/>
        </w:rPr>
        <w:t>presentan buenas prácticas</w:t>
      </w:r>
      <w:r w:rsidR="00D67951">
        <w:t xml:space="preserve"> </w:t>
      </w:r>
      <w:r w:rsidR="00D67951" w:rsidRPr="00334037">
        <w:rPr>
          <w:b/>
          <w:color w:val="325F64" w:themeColor="accent2" w:themeShade="BF"/>
        </w:rPr>
        <w:t xml:space="preserve">que podrían ser aplicadas por otras </w:t>
      </w:r>
      <w:r>
        <w:rPr>
          <w:b/>
          <w:color w:val="325F64" w:themeColor="accent2" w:themeShade="BF"/>
        </w:rPr>
        <w:t xml:space="preserve">entidades, lo que se explica por la falta de espacios específicos en las </w:t>
      </w:r>
      <w:proofErr w:type="gramStart"/>
      <w:r>
        <w:rPr>
          <w:b/>
          <w:color w:val="325F64" w:themeColor="accent2" w:themeShade="BF"/>
        </w:rPr>
        <w:lastRenderedPageBreak/>
        <w:t>webs</w:t>
      </w:r>
      <w:proofErr w:type="gramEnd"/>
      <w:r>
        <w:rPr>
          <w:b/>
          <w:color w:val="325F64" w:themeColor="accent2" w:themeShade="BF"/>
        </w:rPr>
        <w:t xml:space="preserve"> institucionales en los que agrupar la información sujeta a obligaciones de publicidad activa</w:t>
      </w:r>
      <w:r w:rsidR="00D67951" w:rsidRPr="00334037">
        <w:rPr>
          <w:b/>
          <w:color w:val="325F64" w:themeColor="accent2" w:themeShade="BF"/>
        </w:rPr>
        <w:t xml:space="preserve">. </w:t>
      </w:r>
    </w:p>
    <w:p w:rsidR="00EB204B" w:rsidRPr="00E750B6" w:rsidRDefault="00D67951" w:rsidP="00070AB2">
      <w:pPr>
        <w:rPr>
          <w:rFonts w:eastAsia="Times New Roman" w:cs="Times New Roman"/>
          <w:color w:val="FF0000"/>
          <w:szCs w:val="22"/>
        </w:rPr>
      </w:pPr>
      <w:r>
        <w:t xml:space="preserve">Entre ellas cabe destacar </w:t>
      </w:r>
      <w:r w:rsidR="00070AB2">
        <w:t xml:space="preserve">la habilitación de un Portal de Transparencia y por parte de </w:t>
      </w:r>
      <w:r w:rsidR="00806F14">
        <w:t>una</w:t>
      </w:r>
      <w:r w:rsidR="00070AB2">
        <w:t xml:space="preserve"> entidad, la publicación de la fecha en que se efectuó la última revisión o actualización de la información. </w:t>
      </w:r>
      <w:r>
        <w:t xml:space="preserve"> </w:t>
      </w:r>
    </w:p>
    <w:p w:rsidR="00070AB2" w:rsidRDefault="00070AB2">
      <w:pPr>
        <w:jc w:val="left"/>
        <w:rPr>
          <w:rFonts w:eastAsia="Times New Roman" w:cs="Times New Roman"/>
          <w:bCs/>
          <w:color w:val="FF0000"/>
          <w:szCs w:val="22"/>
          <w:lang w:bidi="es-ES"/>
        </w:rPr>
      </w:pPr>
      <w:r>
        <w:rPr>
          <w:rFonts w:eastAsia="Times New Roman" w:cs="Times New Roman"/>
          <w:bCs/>
          <w:color w:val="FF0000"/>
          <w:szCs w:val="22"/>
          <w:lang w:bidi="es-ES"/>
        </w:rPr>
        <w:br w:type="page"/>
      </w:r>
      <w:bookmarkStart w:id="20" w:name="_GoBack"/>
      <w:bookmarkEnd w:id="20"/>
    </w:p>
    <w:p w:rsidR="00794A50" w:rsidRPr="00794A50" w:rsidRDefault="00F12288" w:rsidP="00794A50">
      <w:pPr>
        <w:spacing w:line="240" w:lineRule="auto"/>
        <w:jc w:val="center"/>
        <w:rPr>
          <w:rFonts w:eastAsia="Times New Roman" w:cs="Times New Roman"/>
          <w:b/>
          <w:color w:val="000000"/>
          <w:sz w:val="30"/>
          <w:szCs w:val="30"/>
          <w:lang w:eastAsia="en-US"/>
        </w:rPr>
      </w:pPr>
      <w:sdt>
        <w:sdtPr>
          <w:rPr>
            <w:rFonts w:eastAsia="Times New Roman" w:cs="Times New Roman"/>
            <w:b/>
            <w:color w:val="438086" w:themeColor="accent2"/>
            <w:sz w:val="30"/>
            <w:szCs w:val="30"/>
            <w:lang w:eastAsia="en-US"/>
          </w:rPr>
          <w:id w:val="1557966967"/>
        </w:sdtPr>
        <w:sdtEndPr>
          <w:rPr>
            <w:color w:val="auto"/>
          </w:rPr>
        </w:sdtEndPr>
        <w:sdtContent>
          <w:r w:rsidR="00794A50" w:rsidRPr="00FF20A2">
            <w:rPr>
              <w:rFonts w:eastAsia="Times New Roman" w:cs="Times New Roman"/>
              <w:b/>
              <w:color w:val="438086" w:themeColor="accent2"/>
              <w:sz w:val="30"/>
              <w:szCs w:val="30"/>
              <w:lang w:eastAsia="en-US"/>
            </w:rPr>
            <w:t xml:space="preserve">Anexo: Criterios de medición de los atributos de la </w:t>
          </w:r>
          <w:r w:rsidR="00384774">
            <w:rPr>
              <w:rFonts w:eastAsia="Times New Roman" w:cs="Times New Roman"/>
              <w:b/>
              <w:color w:val="438086" w:themeColor="accent2"/>
              <w:sz w:val="30"/>
              <w:szCs w:val="30"/>
              <w:lang w:eastAsia="en-US"/>
            </w:rPr>
            <w:t>i</w:t>
          </w:r>
          <w:r w:rsidR="00794A50" w:rsidRPr="00FF20A2">
            <w:rPr>
              <w:rFonts w:eastAsia="Times New Roman" w:cs="Times New Roman"/>
              <w:b/>
              <w:color w:val="438086" w:themeColor="accent2"/>
              <w:sz w:val="30"/>
              <w:szCs w:val="30"/>
              <w:lang w:eastAsia="en-US"/>
            </w:rPr>
            <w:t>nformación</w:t>
          </w:r>
        </w:sdtContent>
      </w:sdt>
    </w:p>
    <w:tbl>
      <w:tblPr>
        <w:tblW w:w="5694" w:type="pct"/>
        <w:tblInd w:w="-497" w:type="dxa"/>
        <w:tblCellMar>
          <w:left w:w="70" w:type="dxa"/>
          <w:right w:w="70" w:type="dxa"/>
        </w:tblCellMar>
        <w:tblLook w:val="04A0" w:firstRow="1" w:lastRow="0" w:firstColumn="1" w:lastColumn="0" w:noHBand="0" w:noVBand="1"/>
      </w:tblPr>
      <w:tblGrid>
        <w:gridCol w:w="1929"/>
        <w:gridCol w:w="1519"/>
        <w:gridCol w:w="2381"/>
        <w:gridCol w:w="668"/>
        <w:gridCol w:w="3992"/>
      </w:tblGrid>
      <w:tr w:rsidR="00794A50" w:rsidRPr="00794A50" w:rsidTr="00384774">
        <w:trPr>
          <w:trHeight w:val="300"/>
        </w:trPr>
        <w:tc>
          <w:tcPr>
            <w:tcW w:w="919" w:type="pct"/>
            <w:tcBorders>
              <w:top w:val="single" w:sz="4" w:space="0" w:color="auto"/>
              <w:left w:val="single" w:sz="4" w:space="0" w:color="auto"/>
              <w:bottom w:val="single" w:sz="4" w:space="0" w:color="auto"/>
              <w:right w:val="single" w:sz="4" w:space="0" w:color="auto"/>
            </w:tcBorders>
            <w:shd w:val="clear" w:color="000000" w:fill="438086" w:themeFill="accent2"/>
            <w:noWrap/>
            <w:vAlign w:val="bottom"/>
            <w:hideMark/>
          </w:tcPr>
          <w:p w:rsidR="00794A50" w:rsidRPr="00794A50" w:rsidRDefault="00794A50" w:rsidP="00794A50">
            <w:pPr>
              <w:spacing w:after="0" w:line="240" w:lineRule="auto"/>
              <w:jc w:val="center"/>
              <w:rPr>
                <w:rFonts w:eastAsia="Times New Roman" w:cs="Calibri"/>
                <w:b/>
                <w:bCs/>
                <w:color w:val="FFFFFF"/>
                <w:sz w:val="16"/>
                <w:szCs w:val="16"/>
              </w:rPr>
            </w:pPr>
            <w:r w:rsidRPr="00794A50">
              <w:rPr>
                <w:rFonts w:eastAsia="Times New Roman" w:cs="Calibri"/>
                <w:b/>
                <w:bCs/>
                <w:color w:val="FFFFFF"/>
                <w:sz w:val="16"/>
                <w:szCs w:val="16"/>
              </w:rPr>
              <w:t>PRINCIPIOS GENERALES</w:t>
            </w:r>
          </w:p>
        </w:tc>
        <w:tc>
          <w:tcPr>
            <w:tcW w:w="724" w:type="pct"/>
            <w:tcBorders>
              <w:top w:val="single" w:sz="4" w:space="0" w:color="auto"/>
              <w:left w:val="nil"/>
              <w:bottom w:val="single" w:sz="4" w:space="0" w:color="auto"/>
              <w:right w:val="single" w:sz="4" w:space="0" w:color="auto"/>
            </w:tcBorders>
            <w:shd w:val="clear" w:color="000000" w:fill="438086" w:themeFill="accent2"/>
            <w:noWrap/>
            <w:vAlign w:val="bottom"/>
            <w:hideMark/>
          </w:tcPr>
          <w:p w:rsidR="00794A50" w:rsidRPr="00794A50" w:rsidRDefault="00794A50" w:rsidP="00794A50">
            <w:pPr>
              <w:spacing w:after="0" w:line="240" w:lineRule="auto"/>
              <w:jc w:val="center"/>
              <w:rPr>
                <w:rFonts w:eastAsia="Times New Roman" w:cs="Calibri"/>
                <w:b/>
                <w:bCs/>
                <w:color w:val="FFFFFF"/>
                <w:sz w:val="16"/>
                <w:szCs w:val="16"/>
              </w:rPr>
            </w:pPr>
            <w:r w:rsidRPr="00794A50">
              <w:rPr>
                <w:rFonts w:eastAsia="Times New Roman" w:cs="Calibri"/>
                <w:b/>
                <w:bCs/>
                <w:color w:val="FFFFFF"/>
                <w:sz w:val="16"/>
                <w:szCs w:val="16"/>
              </w:rPr>
              <w:t>CRITERIO</w:t>
            </w:r>
          </w:p>
        </w:tc>
        <w:tc>
          <w:tcPr>
            <w:tcW w:w="1135" w:type="pct"/>
            <w:tcBorders>
              <w:top w:val="single" w:sz="4" w:space="0" w:color="auto"/>
              <w:left w:val="nil"/>
              <w:bottom w:val="single" w:sz="4" w:space="0" w:color="auto"/>
              <w:right w:val="single" w:sz="4" w:space="0" w:color="auto"/>
            </w:tcBorders>
            <w:shd w:val="clear" w:color="000000" w:fill="438086" w:themeFill="accent2"/>
            <w:noWrap/>
            <w:vAlign w:val="bottom"/>
            <w:hideMark/>
          </w:tcPr>
          <w:p w:rsidR="00794A50" w:rsidRPr="00794A50" w:rsidRDefault="00794A50" w:rsidP="00794A50">
            <w:pPr>
              <w:spacing w:after="0" w:line="240" w:lineRule="auto"/>
              <w:jc w:val="center"/>
              <w:rPr>
                <w:rFonts w:eastAsia="Times New Roman" w:cs="Calibri"/>
                <w:b/>
                <w:bCs/>
                <w:color w:val="FFFFFF"/>
                <w:sz w:val="16"/>
                <w:szCs w:val="16"/>
              </w:rPr>
            </w:pPr>
            <w:r w:rsidRPr="00794A50">
              <w:rPr>
                <w:rFonts w:eastAsia="Times New Roman" w:cs="Calibri"/>
                <w:b/>
                <w:bCs/>
                <w:color w:val="FFFFFF"/>
                <w:sz w:val="16"/>
                <w:szCs w:val="16"/>
              </w:rPr>
              <w:t>DESCRIPCION</w:t>
            </w:r>
          </w:p>
        </w:tc>
        <w:tc>
          <w:tcPr>
            <w:tcW w:w="318" w:type="pct"/>
            <w:tcBorders>
              <w:top w:val="single" w:sz="4" w:space="0" w:color="auto"/>
              <w:left w:val="nil"/>
              <w:bottom w:val="single" w:sz="4" w:space="0" w:color="auto"/>
              <w:right w:val="single" w:sz="4" w:space="0" w:color="auto"/>
            </w:tcBorders>
            <w:shd w:val="clear" w:color="000000" w:fill="438086" w:themeFill="accent2"/>
            <w:noWrap/>
            <w:vAlign w:val="bottom"/>
            <w:hideMark/>
          </w:tcPr>
          <w:p w:rsidR="00794A50" w:rsidRPr="00794A50" w:rsidRDefault="00794A50" w:rsidP="00794A50">
            <w:pPr>
              <w:spacing w:after="0" w:line="240" w:lineRule="auto"/>
              <w:jc w:val="center"/>
              <w:rPr>
                <w:rFonts w:eastAsia="Times New Roman" w:cs="Calibri"/>
                <w:b/>
                <w:bCs/>
                <w:color w:val="FFFFFF"/>
                <w:sz w:val="16"/>
                <w:szCs w:val="16"/>
              </w:rPr>
            </w:pPr>
            <w:r w:rsidRPr="00794A50">
              <w:rPr>
                <w:rFonts w:eastAsia="Times New Roman" w:cs="Calibri"/>
                <w:b/>
                <w:bCs/>
                <w:color w:val="FFFFFF"/>
                <w:sz w:val="16"/>
                <w:szCs w:val="16"/>
              </w:rPr>
              <w:t>VALOR</w:t>
            </w:r>
          </w:p>
        </w:tc>
        <w:tc>
          <w:tcPr>
            <w:tcW w:w="1903" w:type="pct"/>
            <w:tcBorders>
              <w:top w:val="single" w:sz="4" w:space="0" w:color="auto"/>
              <w:left w:val="nil"/>
              <w:bottom w:val="single" w:sz="4" w:space="0" w:color="auto"/>
              <w:right w:val="single" w:sz="4" w:space="0" w:color="auto"/>
            </w:tcBorders>
            <w:shd w:val="clear" w:color="000000" w:fill="438086" w:themeFill="accent2"/>
            <w:noWrap/>
            <w:vAlign w:val="bottom"/>
            <w:hideMark/>
          </w:tcPr>
          <w:p w:rsidR="00794A50" w:rsidRPr="00794A50" w:rsidRDefault="00794A50" w:rsidP="00794A50">
            <w:pPr>
              <w:spacing w:after="0" w:line="240" w:lineRule="auto"/>
              <w:jc w:val="center"/>
              <w:rPr>
                <w:rFonts w:eastAsia="Times New Roman" w:cs="Calibri"/>
                <w:b/>
                <w:bCs/>
                <w:color w:val="FFFFFF"/>
                <w:sz w:val="16"/>
                <w:szCs w:val="16"/>
              </w:rPr>
            </w:pPr>
            <w:r w:rsidRPr="00794A50">
              <w:rPr>
                <w:rFonts w:eastAsia="Times New Roman" w:cs="Calibri"/>
                <w:b/>
                <w:bCs/>
                <w:color w:val="FFFFFF"/>
                <w:sz w:val="16"/>
                <w:szCs w:val="16"/>
              </w:rPr>
              <w:t>SIGNIFICADO</w:t>
            </w:r>
          </w:p>
        </w:tc>
      </w:tr>
      <w:tr w:rsidR="00794A50" w:rsidRPr="00794A50" w:rsidTr="00384774">
        <w:trPr>
          <w:trHeight w:val="514"/>
        </w:trPr>
        <w:tc>
          <w:tcPr>
            <w:tcW w:w="91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PUBLICACIÓN</w:t>
            </w:r>
          </w:p>
        </w:tc>
        <w:tc>
          <w:tcPr>
            <w:tcW w:w="72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CONTENIDO</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Se obliga su publicación por la Ley19/21013</w:t>
            </w:r>
          </w:p>
        </w:tc>
        <w:tc>
          <w:tcPr>
            <w:tcW w:w="318" w:type="pct"/>
            <w:tcBorders>
              <w:top w:val="nil"/>
              <w:left w:val="nil"/>
              <w:bottom w:val="single" w:sz="4" w:space="0" w:color="auto"/>
              <w:right w:val="single" w:sz="4" w:space="0" w:color="auto"/>
            </w:tcBorders>
            <w:shd w:val="clear" w:color="auto" w:fill="auto"/>
            <w:noWrap/>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SI se publica el contenido de la obligación exigida</w:t>
            </w:r>
          </w:p>
        </w:tc>
      </w:tr>
      <w:tr w:rsidR="00794A50" w:rsidRPr="00794A50" w:rsidTr="00384774">
        <w:trPr>
          <w:trHeight w:val="323"/>
        </w:trPr>
        <w:tc>
          <w:tcPr>
            <w:tcW w:w="919"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NO se publica el contenido de la obligación exigida</w:t>
            </w:r>
          </w:p>
        </w:tc>
      </w:tr>
      <w:tr w:rsidR="00794A50" w:rsidRPr="00794A50" w:rsidTr="00384774">
        <w:trPr>
          <w:trHeight w:val="427"/>
        </w:trPr>
        <w:tc>
          <w:tcPr>
            <w:tcW w:w="919"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FORMA</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Modo de presentar la información</w:t>
            </w:r>
          </w:p>
        </w:tc>
        <w:tc>
          <w:tcPr>
            <w:tcW w:w="318" w:type="pct"/>
            <w:tcBorders>
              <w:top w:val="nil"/>
              <w:left w:val="nil"/>
              <w:bottom w:val="single" w:sz="4" w:space="0" w:color="auto"/>
              <w:right w:val="single" w:sz="4" w:space="0" w:color="auto"/>
            </w:tcBorders>
            <w:shd w:val="clear" w:color="auto" w:fill="auto"/>
            <w:noWrap/>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De forma DIRECTA en la misma web o con enlace directo a la información</w:t>
            </w:r>
          </w:p>
        </w:tc>
      </w:tr>
      <w:tr w:rsidR="00794A50" w:rsidRPr="00794A50" w:rsidTr="00384774">
        <w:trPr>
          <w:trHeight w:val="419"/>
        </w:trPr>
        <w:tc>
          <w:tcPr>
            <w:tcW w:w="919"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De forma INDIRECTA pero sin dirigir a la información a la que se refiere</w:t>
            </w:r>
          </w:p>
        </w:tc>
      </w:tr>
      <w:tr w:rsidR="00794A50" w:rsidRPr="00794A50" w:rsidTr="00384774">
        <w:trPr>
          <w:trHeight w:val="411"/>
        </w:trPr>
        <w:tc>
          <w:tcPr>
            <w:tcW w:w="919"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ACTUALIZACIÓN</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Se identifica la fecha de datación de la información</w:t>
            </w:r>
          </w:p>
        </w:tc>
        <w:tc>
          <w:tcPr>
            <w:tcW w:w="318" w:type="pct"/>
            <w:tcBorders>
              <w:top w:val="nil"/>
              <w:left w:val="nil"/>
              <w:bottom w:val="single" w:sz="4" w:space="0" w:color="auto"/>
              <w:right w:val="single" w:sz="4" w:space="0" w:color="auto"/>
            </w:tcBorders>
            <w:shd w:val="clear" w:color="auto" w:fill="auto"/>
            <w:noWrap/>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Tiene FECHA y está dentro de los TRES meses previos a la fecha de consulta</w:t>
            </w:r>
          </w:p>
        </w:tc>
      </w:tr>
      <w:tr w:rsidR="00794A50" w:rsidRPr="00794A50" w:rsidTr="00384774">
        <w:trPr>
          <w:trHeight w:val="416"/>
        </w:trPr>
        <w:tc>
          <w:tcPr>
            <w:tcW w:w="919"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5</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Tiene FECHA  pero NO ESTA ACTUALIZADO dentro de los tres meses</w:t>
            </w:r>
          </w:p>
        </w:tc>
      </w:tr>
      <w:tr w:rsidR="00794A50" w:rsidRPr="00794A50" w:rsidTr="00384774">
        <w:trPr>
          <w:trHeight w:val="422"/>
        </w:trPr>
        <w:tc>
          <w:tcPr>
            <w:tcW w:w="919"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NO SE CONOCE la fecha de publicación de la información</w:t>
            </w:r>
          </w:p>
        </w:tc>
      </w:tr>
      <w:tr w:rsidR="00794A50" w:rsidRPr="00794A50" w:rsidTr="00384774">
        <w:trPr>
          <w:trHeight w:val="300"/>
        </w:trPr>
        <w:tc>
          <w:tcPr>
            <w:tcW w:w="919" w:type="pct"/>
            <w:vMerge w:val="restart"/>
            <w:tcBorders>
              <w:top w:val="nil"/>
              <w:left w:val="single" w:sz="4" w:space="0" w:color="auto"/>
              <w:bottom w:val="single" w:sz="4" w:space="0" w:color="000000"/>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ATRIBUTOS</w:t>
            </w:r>
          </w:p>
        </w:tc>
        <w:tc>
          <w:tcPr>
            <w:tcW w:w="724"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ACCESIBILIDAD</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Número de clics para acceder a la información desde la página principal de transparencia</w:t>
            </w: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3 clics como máximo</w:t>
            </w:r>
          </w:p>
        </w:tc>
      </w:tr>
      <w:tr w:rsidR="00794A50" w:rsidRPr="00794A50" w:rsidTr="00384774">
        <w:trPr>
          <w:trHeight w:val="171"/>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9</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4</w:t>
            </w:r>
          </w:p>
        </w:tc>
      </w:tr>
      <w:tr w:rsidR="00794A50" w:rsidRPr="00794A50" w:rsidTr="00384774">
        <w:trPr>
          <w:trHeight w:val="245"/>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8</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5</w:t>
            </w:r>
          </w:p>
        </w:tc>
      </w:tr>
      <w:tr w:rsidR="00794A50" w:rsidRPr="00794A50" w:rsidTr="00384774">
        <w:trPr>
          <w:trHeight w:val="263"/>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7</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6</w:t>
            </w:r>
          </w:p>
        </w:tc>
      </w:tr>
      <w:tr w:rsidR="00794A50" w:rsidRPr="00794A50" w:rsidTr="00384774">
        <w:trPr>
          <w:trHeight w:val="281"/>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6</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7</w:t>
            </w:r>
          </w:p>
        </w:tc>
      </w:tr>
      <w:tr w:rsidR="00794A50" w:rsidRPr="00794A50" w:rsidTr="00384774">
        <w:trPr>
          <w:trHeight w:val="271"/>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5</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8</w:t>
            </w:r>
          </w:p>
        </w:tc>
      </w:tr>
      <w:tr w:rsidR="00794A50" w:rsidRPr="00794A50" w:rsidTr="00384774">
        <w:trPr>
          <w:trHeight w:val="133"/>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4</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9</w:t>
            </w:r>
          </w:p>
        </w:tc>
      </w:tr>
      <w:tr w:rsidR="00794A50" w:rsidRPr="00794A50" w:rsidTr="00384774">
        <w:trPr>
          <w:trHeight w:val="207"/>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3</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10</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2</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11</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12</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Más de 12 clics</w:t>
            </w:r>
          </w:p>
        </w:tc>
      </w:tr>
      <w:tr w:rsidR="00794A50" w:rsidRPr="00794A50" w:rsidTr="00384774">
        <w:trPr>
          <w:trHeight w:val="265"/>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CLARIDAD</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Lenguaje fácil de entender por el público general. La información compleja se acompaña de comentarios, glosarios, textos introductorios o similares</w:t>
            </w: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MUY comprensible o con ayudas, en su caso</w:t>
            </w:r>
          </w:p>
        </w:tc>
      </w:tr>
      <w:tr w:rsidR="00794A50" w:rsidRPr="00794A50" w:rsidTr="00384774">
        <w:trPr>
          <w:trHeight w:val="271"/>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9</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 </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8</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Comprensible</w:t>
            </w:r>
          </w:p>
        </w:tc>
      </w:tr>
      <w:tr w:rsidR="00794A50" w:rsidRPr="00794A50" w:rsidTr="00384774">
        <w:trPr>
          <w:trHeight w:val="251"/>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7</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 </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6</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Normal</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5</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 </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4</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Poco comprensible</w:t>
            </w:r>
          </w:p>
        </w:tc>
      </w:tr>
      <w:tr w:rsidR="00794A50" w:rsidRPr="00794A50" w:rsidTr="00384774">
        <w:trPr>
          <w:trHeight w:val="183"/>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3</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 </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2</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Difícilmente comprensible</w:t>
            </w:r>
          </w:p>
        </w:tc>
      </w:tr>
      <w:tr w:rsidR="00794A50" w:rsidRPr="00794A50" w:rsidTr="00384774">
        <w:trPr>
          <w:trHeight w:val="247"/>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 </w:t>
            </w:r>
          </w:p>
        </w:tc>
      </w:tr>
      <w:tr w:rsidR="00794A50" w:rsidRPr="00794A50" w:rsidTr="00384774">
        <w:trPr>
          <w:trHeight w:val="123"/>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NADA comprensible</w:t>
            </w:r>
          </w:p>
        </w:tc>
      </w:tr>
      <w:tr w:rsidR="00794A50" w:rsidRPr="00794A50" w:rsidTr="00384774">
        <w:trPr>
          <w:trHeight w:val="57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val="restart"/>
            <w:tcBorders>
              <w:top w:val="nil"/>
              <w:left w:val="single" w:sz="4" w:space="0" w:color="auto"/>
              <w:bottom w:val="single" w:sz="4" w:space="0" w:color="000000"/>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ESTRUCTURACIÓN</w:t>
            </w:r>
          </w:p>
        </w:tc>
        <w:tc>
          <w:tcPr>
            <w:tcW w:w="1135" w:type="pct"/>
            <w:vMerge w:val="restart"/>
            <w:tcBorders>
              <w:top w:val="nil"/>
              <w:left w:val="single" w:sz="4" w:space="0" w:color="auto"/>
              <w:bottom w:val="single" w:sz="4" w:space="0" w:color="000000"/>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sz w:val="16"/>
                <w:szCs w:val="16"/>
              </w:rPr>
            </w:pPr>
            <w:r w:rsidRPr="00794A50">
              <w:rPr>
                <w:rFonts w:eastAsia="Times New Roman" w:cs="Calibri"/>
                <w:sz w:val="16"/>
                <w:szCs w:val="16"/>
              </w:rPr>
              <w:t>Información organizada siguiendo una lógica clara</w:t>
            </w: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sz w:val="16"/>
                <w:szCs w:val="16"/>
              </w:rPr>
            </w:pPr>
            <w:r w:rsidRPr="00794A50">
              <w:rPr>
                <w:rFonts w:eastAsia="Times New Roman" w:cs="Calibri"/>
                <w:sz w:val="16"/>
                <w:szCs w:val="16"/>
              </w:rPr>
              <w:t>10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sz w:val="16"/>
                <w:szCs w:val="16"/>
              </w:rPr>
            </w:pPr>
            <w:r w:rsidRPr="00794A50">
              <w:rPr>
                <w:rFonts w:eastAsia="Times New Roman" w:cs="Calibri"/>
                <w:sz w:val="16"/>
                <w:szCs w:val="16"/>
              </w:rPr>
              <w:t>la información se encuentra ordenada en grupos de materias, temáticas o de acuerdo con los bloques o grupos de información de la ley</w:t>
            </w:r>
          </w:p>
        </w:tc>
      </w:tr>
      <w:tr w:rsidR="00794A50" w:rsidRPr="00794A50" w:rsidTr="00384774">
        <w:trPr>
          <w:trHeight w:val="427"/>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sz w:val="16"/>
                <w:szCs w:val="16"/>
              </w:rPr>
            </w:pPr>
            <w:r w:rsidRPr="00794A50">
              <w:rPr>
                <w:rFonts w:eastAsia="Times New Roman" w:cs="Calibri"/>
                <w:sz w:val="16"/>
                <w:szCs w:val="16"/>
              </w:rPr>
              <w:t>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sz w:val="16"/>
                <w:szCs w:val="16"/>
              </w:rPr>
            </w:pPr>
            <w:r w:rsidRPr="00794A50">
              <w:rPr>
                <w:rFonts w:eastAsia="Times New Roman" w:cs="Calibri"/>
                <w:sz w:val="16"/>
                <w:szCs w:val="16"/>
              </w:rPr>
              <w:t>la información se presenta dispersa sin agrupación ni ordenación alguna</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Reutilización</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Formatos según Ley 37/2007</w:t>
            </w: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Es un formato reutilizable establecido</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NO es un formato reutilizable</w:t>
            </w:r>
          </w:p>
        </w:tc>
      </w:tr>
      <w:tr w:rsidR="00794A50" w:rsidRPr="00794A50" w:rsidTr="00384774">
        <w:trPr>
          <w:trHeight w:val="343"/>
        </w:trPr>
        <w:tc>
          <w:tcPr>
            <w:tcW w:w="919" w:type="pct"/>
            <w:vMerge w:val="restart"/>
            <w:tcBorders>
              <w:top w:val="nil"/>
              <w:left w:val="single" w:sz="4" w:space="0" w:color="auto"/>
              <w:bottom w:val="single" w:sz="4" w:space="0" w:color="000000"/>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WEB</w:t>
            </w:r>
          </w:p>
        </w:tc>
        <w:tc>
          <w:tcPr>
            <w:tcW w:w="724"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LUGAR PUBLICACION</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Dónde quedan publicadas las obligaciones de publicidad activa</w:t>
            </w: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Apartado específico o banner en la página inicial del sitio</w:t>
            </w:r>
          </w:p>
        </w:tc>
      </w:tr>
      <w:tr w:rsidR="00794A50" w:rsidRPr="00794A50" w:rsidTr="00384774">
        <w:trPr>
          <w:trHeight w:val="362"/>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5</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Apartado específico pero NO en la página de inicio</w:t>
            </w:r>
          </w:p>
        </w:tc>
      </w:tr>
      <w:tr w:rsidR="00794A50" w:rsidRPr="00794A50" w:rsidTr="00384774">
        <w:trPr>
          <w:trHeight w:val="6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No existe un apartado específico de transparencia</w:t>
            </w:r>
          </w:p>
        </w:tc>
      </w:tr>
    </w:tbl>
    <w:p w:rsidR="00794A50" w:rsidRPr="00596EDD" w:rsidRDefault="00794A50" w:rsidP="00596EDD"/>
    <w:sectPr w:rsidR="00794A50" w:rsidRPr="00596EDD">
      <w:headerReference w:type="even" r:id="rId23"/>
      <w:headerReference w:type="default" r:id="rId24"/>
      <w:footerReference w:type="even" r:id="rId25"/>
      <w:footerReference w:type="default" r:id="rId26"/>
      <w:pgSz w:w="11907" w:h="16839"/>
      <w:pgMar w:top="1440" w:right="1418" w:bottom="1440" w:left="1418"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9CA" w:rsidRDefault="001D59CA">
      <w:pPr>
        <w:spacing w:after="0" w:line="240" w:lineRule="auto"/>
      </w:pPr>
      <w:r>
        <w:separator/>
      </w:r>
    </w:p>
  </w:endnote>
  <w:endnote w:type="continuationSeparator" w:id="0">
    <w:p w:rsidR="001D59CA" w:rsidRDefault="001D5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9CA" w:rsidRDefault="001D59CA">
    <w:r>
      <w:fldChar w:fldCharType="begin"/>
    </w:r>
    <w:r>
      <w:instrText>PAGE   \* MERGEFORMAT</w:instrText>
    </w:r>
    <w:r>
      <w:fldChar w:fldCharType="separate"/>
    </w:r>
    <w:r w:rsidR="008B3192">
      <w:rPr>
        <w:noProof/>
      </w:rPr>
      <w:t>22</w:t>
    </w:r>
    <w:r>
      <w:fldChar w:fldCharType="end"/>
    </w:r>
    <w:r>
      <w:t xml:space="preserve"> </w:t>
    </w:r>
    <w:r>
      <w:rPr>
        <w:color w:val="A04DA3" w:themeColor="accent3"/>
      </w:rPr>
      <w:sym w:font="Wingdings 2" w:char="F097"/>
    </w:r>
    <w:r>
      <w:t xml:space="preserve"> </w:t>
    </w:r>
  </w:p>
  <w:tbl>
    <w:tblPr>
      <w:tblW w:w="1950" w:type="pct"/>
      <w:tblLook w:val="04A0" w:firstRow="1" w:lastRow="0" w:firstColumn="1" w:lastColumn="0" w:noHBand="0" w:noVBand="1"/>
    </w:tblPr>
    <w:tblGrid>
      <w:gridCol w:w="2632"/>
      <w:gridCol w:w="990"/>
    </w:tblGrid>
    <w:tr w:rsidR="001D59CA">
      <w:trPr>
        <w:trHeight w:hRule="exact" w:val="72"/>
      </w:trPr>
      <w:tc>
        <w:tcPr>
          <w:tcW w:w="2718" w:type="dxa"/>
          <w:tcBorders>
            <w:top w:val="single" w:sz="12" w:space="0" w:color="438086" w:themeColor="accent2"/>
            <w:bottom w:val="single" w:sz="2" w:space="0" w:color="438086" w:themeColor="accent2"/>
          </w:tcBorders>
        </w:tcPr>
        <w:p w:rsidR="001D59CA" w:rsidRDefault="001D59CA">
          <w:pPr>
            <w:pStyle w:val="Sinespaciado"/>
          </w:pPr>
        </w:p>
      </w:tc>
      <w:tc>
        <w:tcPr>
          <w:tcW w:w="1017" w:type="dxa"/>
          <w:tcBorders>
            <w:bottom w:val="single" w:sz="2" w:space="0" w:color="438086" w:themeColor="accent2"/>
          </w:tcBorders>
        </w:tcPr>
        <w:p w:rsidR="001D59CA" w:rsidRDefault="001D59CA">
          <w:pPr>
            <w:pStyle w:val="Sinespaciado"/>
          </w:pPr>
        </w:p>
      </w:tc>
    </w:tr>
  </w:tbl>
  <w:p w:rsidR="001D59CA" w:rsidRDefault="001D59C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9CA" w:rsidRPr="008876B2" w:rsidRDefault="001D59CA">
    <w:pPr>
      <w:jc w:val="right"/>
    </w:pPr>
    <w:r>
      <w:t>CTBG. Subdirección General de Transparencia y Buen Gobierno</w:t>
    </w:r>
    <w:r w:rsidRPr="008876B2">
      <w:t xml:space="preserve">.  </w:t>
    </w:r>
    <w:r w:rsidRPr="008876B2">
      <w:fldChar w:fldCharType="begin"/>
    </w:r>
    <w:r w:rsidRPr="008876B2">
      <w:instrText>PAGE   \* MERGEFORMAT</w:instrText>
    </w:r>
    <w:r w:rsidRPr="008876B2">
      <w:fldChar w:fldCharType="separate"/>
    </w:r>
    <w:r w:rsidR="008B3192">
      <w:rPr>
        <w:noProof/>
      </w:rPr>
      <w:t>23</w:t>
    </w:r>
    <w:r w:rsidRPr="008876B2">
      <w:fldChar w:fldCharType="end"/>
    </w:r>
    <w:r w:rsidRPr="008876B2">
      <w:t xml:space="preserve"> </w:t>
    </w:r>
    <w:r w:rsidRPr="008876B2">
      <w:rPr>
        <w:color w:val="A04DA3" w:themeColor="accent3"/>
      </w:rPr>
      <w:sym w:font="Wingdings 2" w:char="F097"/>
    </w:r>
    <w:r w:rsidRPr="008876B2">
      <w:t xml:space="preserve"> </w:t>
    </w:r>
  </w:p>
  <w:tbl>
    <w:tblPr>
      <w:tblW w:w="1950" w:type="pct"/>
      <w:jc w:val="right"/>
      <w:tblLook w:val="04A0" w:firstRow="1" w:lastRow="0" w:firstColumn="1" w:lastColumn="0" w:noHBand="0" w:noVBand="1"/>
    </w:tblPr>
    <w:tblGrid>
      <w:gridCol w:w="1044"/>
      <w:gridCol w:w="2578"/>
    </w:tblGrid>
    <w:tr w:rsidR="001D59CA">
      <w:trPr>
        <w:trHeight w:hRule="exact" w:val="72"/>
        <w:jc w:val="right"/>
      </w:trPr>
      <w:tc>
        <w:tcPr>
          <w:tcW w:w="1098" w:type="dxa"/>
          <w:tcBorders>
            <w:bottom w:val="single" w:sz="2" w:space="0" w:color="438086" w:themeColor="accent2"/>
          </w:tcBorders>
        </w:tcPr>
        <w:p w:rsidR="001D59CA" w:rsidRDefault="001D59CA">
          <w:pPr>
            <w:pStyle w:val="Sinespaciado"/>
          </w:pPr>
        </w:p>
      </w:tc>
      <w:tc>
        <w:tcPr>
          <w:tcW w:w="2732" w:type="dxa"/>
          <w:tcBorders>
            <w:top w:val="single" w:sz="12" w:space="0" w:color="438086" w:themeColor="accent2"/>
            <w:bottom w:val="single" w:sz="2" w:space="0" w:color="438086" w:themeColor="accent2"/>
          </w:tcBorders>
        </w:tcPr>
        <w:p w:rsidR="001D59CA" w:rsidRDefault="001D59CA">
          <w:pPr>
            <w:pStyle w:val="Sinespaciado"/>
          </w:pPr>
        </w:p>
      </w:tc>
    </w:tr>
  </w:tbl>
  <w:p w:rsidR="001D59CA" w:rsidRDefault="001D59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9CA" w:rsidRDefault="001D59CA">
      <w:pPr>
        <w:spacing w:after="0" w:line="240" w:lineRule="auto"/>
      </w:pPr>
      <w:r>
        <w:separator/>
      </w:r>
    </w:p>
  </w:footnote>
  <w:footnote w:type="continuationSeparator" w:id="0">
    <w:p w:rsidR="001D59CA" w:rsidRDefault="001D59CA">
      <w:pPr>
        <w:spacing w:after="0" w:line="240" w:lineRule="auto"/>
      </w:pPr>
      <w:r>
        <w:continuationSeparator/>
      </w:r>
    </w:p>
  </w:footnote>
  <w:footnote w:id="1">
    <w:p w:rsidR="001D59CA" w:rsidRDefault="001D59CA">
      <w:pPr>
        <w:pStyle w:val="Textonotapie"/>
      </w:pPr>
      <w:r>
        <w:rPr>
          <w:rStyle w:val="Refdenotaalpie"/>
        </w:rPr>
        <w:footnoteRef/>
      </w:r>
      <w:r>
        <w:t xml:space="preserve"> Esta diferencia no es estadísticamente significativa</w:t>
      </w:r>
    </w:p>
  </w:footnote>
  <w:footnote w:id="2">
    <w:p w:rsidR="001D59CA" w:rsidRDefault="001D59CA">
      <w:pPr>
        <w:pStyle w:val="Textonotapie"/>
      </w:pPr>
      <w:r>
        <w:rPr>
          <w:rStyle w:val="Refdenotaalpie"/>
        </w:rPr>
        <w:footnoteRef/>
      </w:r>
      <w:r>
        <w:t xml:space="preserve"> En este caso las diferencias estadísticamente significativas se limitan a las federaciones deportivas respecto de las empresas y cooperativas </w:t>
      </w:r>
    </w:p>
  </w:footnote>
  <w:footnote w:id="3">
    <w:p w:rsidR="001D59CA" w:rsidRDefault="001D59CA">
      <w:pPr>
        <w:pStyle w:val="Textonotapie"/>
      </w:pPr>
      <w:r>
        <w:rPr>
          <w:rStyle w:val="Refdenotaalpie"/>
        </w:rPr>
        <w:footnoteRef/>
      </w:r>
      <w:r>
        <w:t xml:space="preserve"> Este epígrafe se refiere exclusivamente a las entidades evaluadas por primera vez en 2022.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507790"/>
      <w:dataBinding w:prefixMappings="xmlns:ns0='http://schemas.openxmlformats.org/package/2006/metadata/core-properties' xmlns:ns1='http://purl.org/dc/elements/1.1/'" w:xpath="/ns0:coreProperties[1]/ns1:creator[1]" w:storeItemID="{6C3C8BC8-F283-45AE-878A-BAB7291924A1}"/>
      <w:text/>
    </w:sdtPr>
    <w:sdtContent>
      <w:p w:rsidR="001D59CA" w:rsidRDefault="001D59CA" w:rsidP="006219DA">
        <w:pPr>
          <w:pStyle w:val="Encabezado"/>
          <w:pBdr>
            <w:bottom w:val="single" w:sz="4" w:space="0" w:color="auto"/>
          </w:pBdr>
          <w:jc w:val="right"/>
        </w:pPr>
        <w:r>
          <w:t>CONSEJO DE TRANSPARENCIA Y BUEN GOBIERNO. SGTBG.</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9CA" w:rsidRDefault="001D59CA" w:rsidP="00D74601">
    <w:pPr>
      <w:pStyle w:val="Listaconvietas"/>
      <w:numPr>
        <w:ilvl w:val="0"/>
        <w:numId w:val="0"/>
      </w:numPr>
      <w:ind w:left="360"/>
    </w:pPr>
    <w:r w:rsidRPr="008876B2">
      <w:t>Plan de e</w:t>
    </w:r>
    <w:r>
      <w:t xml:space="preserve">valuación 2022. Evaluación de las entidades perceptoras de </w:t>
    </w:r>
  </w:p>
  <w:p w:rsidR="001D59CA" w:rsidRDefault="001D59CA" w:rsidP="00D74601">
    <w:pPr>
      <w:pStyle w:val="Listaconvietas"/>
      <w:numPr>
        <w:ilvl w:val="0"/>
        <w:numId w:val="0"/>
      </w:numPr>
      <w:ind w:left="360"/>
    </w:pPr>
    <w:r>
      <w:t>subvenciones y ayudas públicas.</w:t>
    </w:r>
  </w:p>
  <w:p w:rsidR="001D59CA" w:rsidRPr="008876B2" w:rsidRDefault="001D59CA" w:rsidP="00D74601">
    <w:pPr>
      <w:pStyle w:val="Listaconvietas"/>
      <w:numPr>
        <w:ilvl w:val="0"/>
        <w:numId w:val="0"/>
      </w:numPr>
      <w:ind w:lef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9.2pt;height:9.2pt" o:bullet="t">
        <v:imagedata r:id="rId1" o:title="BD14533_"/>
      </v:shape>
    </w:pict>
  </w:numPicBullet>
  <w:numPicBullet w:numPicBulletId="1">
    <w:pict>
      <v:shape id="_x0000_i1063" type="#_x0000_t75" style="width:9.2pt;height:9.2pt" o:bullet="t">
        <v:imagedata r:id="rId2" o:title="BD10268_"/>
      </v:shape>
    </w:pict>
  </w:numPicBullet>
  <w:numPicBullet w:numPicBulletId="2">
    <w:pict>
      <v:shape id="_x0000_i1064" type="#_x0000_t75" style="width:10.9pt;height:10.9pt" o:bullet="t">
        <v:imagedata r:id="rId3" o:title="BD14529_"/>
      </v:shape>
    </w:pict>
  </w:numPicBullet>
  <w:abstractNum w:abstractNumId="0">
    <w:nsid w:val="FFFFFF7C"/>
    <w:multiLevelType w:val="singleLevel"/>
    <w:tmpl w:val="C2A6D920"/>
    <w:lvl w:ilvl="0">
      <w:start w:val="1"/>
      <w:numFmt w:val="decimal"/>
      <w:lvlText w:val="%1."/>
      <w:lvlJc w:val="left"/>
      <w:pPr>
        <w:tabs>
          <w:tab w:val="num" w:pos="1800"/>
        </w:tabs>
        <w:ind w:left="1800" w:hanging="360"/>
      </w:pPr>
    </w:lvl>
  </w:abstractNum>
  <w:abstractNum w:abstractNumId="1">
    <w:nsid w:val="FFFFFF7D"/>
    <w:multiLevelType w:val="singleLevel"/>
    <w:tmpl w:val="AA46E614"/>
    <w:lvl w:ilvl="0">
      <w:start w:val="1"/>
      <w:numFmt w:val="decimal"/>
      <w:lvlText w:val="%1."/>
      <w:lvlJc w:val="left"/>
      <w:pPr>
        <w:tabs>
          <w:tab w:val="num" w:pos="1440"/>
        </w:tabs>
        <w:ind w:left="1440" w:hanging="360"/>
      </w:pPr>
    </w:lvl>
  </w:abstractNum>
  <w:abstractNum w:abstractNumId="2">
    <w:nsid w:val="FFFFFF7E"/>
    <w:multiLevelType w:val="singleLevel"/>
    <w:tmpl w:val="1B5E526C"/>
    <w:lvl w:ilvl="0">
      <w:start w:val="1"/>
      <w:numFmt w:val="decimal"/>
      <w:lvlText w:val="%1."/>
      <w:lvlJc w:val="left"/>
      <w:pPr>
        <w:tabs>
          <w:tab w:val="num" w:pos="1080"/>
        </w:tabs>
        <w:ind w:left="1080" w:hanging="360"/>
      </w:pPr>
    </w:lvl>
  </w:abstractNum>
  <w:abstractNum w:abstractNumId="3">
    <w:nsid w:val="FFFFFF7F"/>
    <w:multiLevelType w:val="singleLevel"/>
    <w:tmpl w:val="BBA64556"/>
    <w:lvl w:ilvl="0">
      <w:start w:val="1"/>
      <w:numFmt w:val="decimal"/>
      <w:lvlText w:val="%1."/>
      <w:lvlJc w:val="left"/>
      <w:pPr>
        <w:tabs>
          <w:tab w:val="num" w:pos="720"/>
        </w:tabs>
        <w:ind w:left="720" w:hanging="360"/>
      </w:pPr>
    </w:lvl>
  </w:abstractNum>
  <w:abstractNum w:abstractNumId="4">
    <w:nsid w:val="FFFFFF80"/>
    <w:multiLevelType w:val="singleLevel"/>
    <w:tmpl w:val="55EA7C8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7326DB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D3A6BF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E0E3EE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EF4EB12"/>
    <w:lvl w:ilvl="0">
      <w:start w:val="1"/>
      <w:numFmt w:val="decimal"/>
      <w:lvlText w:val="%1."/>
      <w:lvlJc w:val="left"/>
      <w:pPr>
        <w:tabs>
          <w:tab w:val="num" w:pos="360"/>
        </w:tabs>
        <w:ind w:left="360" w:hanging="360"/>
      </w:pPr>
    </w:lvl>
  </w:abstractNum>
  <w:abstractNum w:abstractNumId="9">
    <w:nsid w:val="FFFFFF89"/>
    <w:multiLevelType w:val="singleLevel"/>
    <w:tmpl w:val="4FD4F5F6"/>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005D11A9"/>
    <w:multiLevelType w:val="multilevel"/>
    <w:tmpl w:val="33B056D0"/>
    <w:numStyleLink w:val="Listaconvietasurbana"/>
  </w:abstractNum>
  <w:abstractNum w:abstractNumId="11">
    <w:nsid w:val="0482200E"/>
    <w:multiLevelType w:val="hybridMultilevel"/>
    <w:tmpl w:val="E6C6F8CE"/>
    <w:lvl w:ilvl="0" w:tplc="AA644D84">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EDC38E4"/>
    <w:multiLevelType w:val="multilevel"/>
    <w:tmpl w:val="33B056D0"/>
    <w:numStyleLink w:val="Listaconvietasurbana"/>
  </w:abstractNum>
  <w:abstractNum w:abstractNumId="13">
    <w:nsid w:val="124B7CF1"/>
    <w:multiLevelType w:val="multilevel"/>
    <w:tmpl w:val="7AC6A14E"/>
    <w:styleLink w:val="Listanumeradaurbana"/>
    <w:lvl w:ilvl="0">
      <w:start w:val="1"/>
      <w:numFmt w:val="decimal"/>
      <w:lvlText w:val="%1."/>
      <w:lvlJc w:val="left"/>
      <w:pPr>
        <w:ind w:left="288" w:hanging="288"/>
      </w:pPr>
      <w:rPr>
        <w:rFonts w:asciiTheme="minorHAnsi" w:hAnsiTheme="minorHAnsi" w:hint="default"/>
        <w:i w:val="0"/>
        <w:color w:val="A04DA3" w:themeColor="accent3"/>
        <w:sz w:val="20"/>
      </w:rPr>
    </w:lvl>
    <w:lvl w:ilvl="1">
      <w:start w:val="1"/>
      <w:numFmt w:val="upperLetter"/>
      <w:lvlText w:val="%2."/>
      <w:lvlJc w:val="left"/>
      <w:pPr>
        <w:ind w:left="792" w:hanging="288"/>
      </w:pPr>
      <w:rPr>
        <w:rFonts w:asciiTheme="minorHAnsi" w:hAnsiTheme="minorHAnsi" w:hint="default"/>
        <w:b w:val="0"/>
        <w:i w:val="0"/>
        <w:color w:val="438086" w:themeColor="accent2"/>
        <w:sz w:val="20"/>
      </w:rPr>
    </w:lvl>
    <w:lvl w:ilvl="2">
      <w:start w:val="1"/>
      <w:numFmt w:val="lowerRoman"/>
      <w:lvlText w:val="%3."/>
      <w:lvlJc w:val="right"/>
      <w:pPr>
        <w:ind w:left="1296" w:hanging="288"/>
      </w:pPr>
      <w:rPr>
        <w:rFonts w:asciiTheme="minorHAnsi" w:hAnsiTheme="minorHAnsi" w:hint="default"/>
        <w:b w:val="0"/>
        <w:i w:val="0"/>
        <w:color w:val="53548A" w:themeColor="accent1"/>
        <w:sz w:val="20"/>
      </w:rPr>
    </w:lvl>
    <w:lvl w:ilvl="3">
      <w:start w:val="1"/>
      <w:numFmt w:val="decimal"/>
      <w:lvlText w:val="%4."/>
      <w:lvlJc w:val="left"/>
      <w:pPr>
        <w:ind w:left="1800" w:hanging="288"/>
      </w:pPr>
      <w:rPr>
        <w:rFonts w:asciiTheme="minorHAnsi" w:hAnsiTheme="minorHAnsi" w:hint="default"/>
        <w:b w:val="0"/>
        <w:i w:val="0"/>
        <w:color w:val="53548A" w:themeColor="accent1"/>
        <w:sz w:val="20"/>
      </w:rPr>
    </w:lvl>
    <w:lvl w:ilvl="4">
      <w:start w:val="1"/>
      <w:numFmt w:val="lowerLetter"/>
      <w:lvlText w:val="%5."/>
      <w:lvlJc w:val="left"/>
      <w:pPr>
        <w:ind w:left="2304" w:hanging="288"/>
      </w:pPr>
      <w:rPr>
        <w:rFonts w:asciiTheme="minorHAnsi" w:hAnsiTheme="minorHAnsi" w:hint="default"/>
        <w:b w:val="0"/>
        <w:i w:val="0"/>
        <w:color w:val="53548A" w:themeColor="accent1"/>
        <w:sz w:val="20"/>
      </w:rPr>
    </w:lvl>
    <w:lvl w:ilvl="5">
      <w:start w:val="1"/>
      <w:numFmt w:val="lowerRoman"/>
      <w:lvlText w:val="%6."/>
      <w:lvlJc w:val="right"/>
      <w:pPr>
        <w:ind w:left="2808" w:hanging="288"/>
      </w:pPr>
      <w:rPr>
        <w:rFonts w:asciiTheme="minorHAnsi" w:hAnsiTheme="minorHAnsi" w:hint="default"/>
        <w:b w:val="0"/>
        <w:i w:val="0"/>
        <w:color w:val="53548A" w:themeColor="accent1"/>
        <w:sz w:val="20"/>
      </w:rPr>
    </w:lvl>
    <w:lvl w:ilvl="6">
      <w:start w:val="1"/>
      <w:numFmt w:val="decimal"/>
      <w:lvlText w:val="%7."/>
      <w:lvlJc w:val="left"/>
      <w:pPr>
        <w:ind w:left="3312" w:hanging="288"/>
      </w:pPr>
      <w:rPr>
        <w:rFonts w:asciiTheme="minorHAnsi" w:hAnsiTheme="minorHAnsi" w:hint="default"/>
        <w:b w:val="0"/>
        <w:i w:val="0"/>
        <w:color w:val="53548A" w:themeColor="accent1"/>
        <w:sz w:val="20"/>
      </w:rPr>
    </w:lvl>
    <w:lvl w:ilvl="7">
      <w:start w:val="1"/>
      <w:numFmt w:val="lowerLetter"/>
      <w:lvlText w:val="%8."/>
      <w:lvlJc w:val="left"/>
      <w:pPr>
        <w:ind w:left="3816" w:hanging="288"/>
      </w:pPr>
      <w:rPr>
        <w:rFonts w:asciiTheme="minorHAnsi" w:hAnsiTheme="minorHAnsi" w:hint="default"/>
        <w:b w:val="0"/>
        <w:i w:val="0"/>
        <w:color w:val="53548A" w:themeColor="accent1"/>
        <w:sz w:val="20"/>
      </w:rPr>
    </w:lvl>
    <w:lvl w:ilvl="8">
      <w:start w:val="1"/>
      <w:numFmt w:val="lowerRoman"/>
      <w:lvlText w:val="%9."/>
      <w:lvlJc w:val="right"/>
      <w:pPr>
        <w:ind w:left="4320" w:hanging="288"/>
      </w:pPr>
      <w:rPr>
        <w:rFonts w:asciiTheme="minorHAnsi" w:hAnsiTheme="minorHAnsi" w:hint="default"/>
        <w:b w:val="0"/>
        <w:i w:val="0"/>
        <w:color w:val="53548A" w:themeColor="accent1"/>
        <w:sz w:val="20"/>
      </w:rPr>
    </w:lvl>
  </w:abstractNum>
  <w:abstractNum w:abstractNumId="14">
    <w:nsid w:val="12796372"/>
    <w:multiLevelType w:val="hybridMultilevel"/>
    <w:tmpl w:val="D1821594"/>
    <w:lvl w:ilvl="0" w:tplc="AA644D84">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9550593"/>
    <w:multiLevelType w:val="hybridMultilevel"/>
    <w:tmpl w:val="1E423E76"/>
    <w:lvl w:ilvl="0" w:tplc="AA644D84">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9BE3A5C"/>
    <w:multiLevelType w:val="multilevel"/>
    <w:tmpl w:val="33B056D0"/>
    <w:lvl w:ilvl="0">
      <w:start w:val="1"/>
      <w:numFmt w:val="bullet"/>
      <w:lvlText w:val=""/>
      <w:lvlJc w:val="left"/>
      <w:pPr>
        <w:ind w:left="216" w:hanging="216"/>
      </w:pPr>
      <w:rPr>
        <w:rFonts w:ascii="Symbol" w:hAnsi="Symbol" w:hint="default"/>
        <w:b w:val="0"/>
        <w:i w:val="0"/>
        <w:color w:val="A04DA3" w:themeColor="accent3"/>
        <w:sz w:val="18"/>
      </w:rPr>
    </w:lvl>
    <w:lvl w:ilvl="1">
      <w:start w:val="1"/>
      <w:numFmt w:val="bullet"/>
      <w:lvlText w:val=""/>
      <w:lvlJc w:val="left"/>
      <w:pPr>
        <w:ind w:left="461" w:hanging="216"/>
      </w:pPr>
      <w:rPr>
        <w:rFonts w:ascii="Wingdings" w:hAnsi="Wingdings" w:hint="default"/>
        <w:b w:val="0"/>
        <w:i w:val="0"/>
        <w:color w:val="438086" w:themeColor="accent2"/>
        <w:sz w:val="12"/>
      </w:rPr>
    </w:lvl>
    <w:lvl w:ilvl="2">
      <w:start w:val="1"/>
      <w:numFmt w:val="bullet"/>
      <w:lvlText w:val=""/>
      <w:lvlJc w:val="left"/>
      <w:pPr>
        <w:ind w:left="706" w:hanging="216"/>
      </w:pPr>
      <w:rPr>
        <w:rFonts w:ascii="Symbol" w:hAnsi="Symbol" w:hint="default"/>
        <w:b w:val="0"/>
        <w:i w:val="0"/>
        <w:color w:val="53548A" w:themeColor="accent1"/>
        <w:sz w:val="16"/>
      </w:rPr>
    </w:lvl>
    <w:lvl w:ilvl="3">
      <w:start w:val="1"/>
      <w:numFmt w:val="bullet"/>
      <w:lvlText w:val=""/>
      <w:lvlJc w:val="left"/>
      <w:pPr>
        <w:ind w:left="951" w:hanging="216"/>
      </w:pPr>
      <w:rPr>
        <w:rFonts w:ascii="Symbol" w:hAnsi="Symbol" w:hint="default"/>
        <w:b w:val="0"/>
        <w:i w:val="0"/>
        <w:color w:val="53548A" w:themeColor="accent1"/>
        <w:sz w:val="16"/>
      </w:rPr>
    </w:lvl>
    <w:lvl w:ilvl="4">
      <w:start w:val="1"/>
      <w:numFmt w:val="bullet"/>
      <w:lvlText w:val=""/>
      <w:lvlJc w:val="left"/>
      <w:pPr>
        <w:ind w:left="1196" w:hanging="216"/>
      </w:pPr>
      <w:rPr>
        <w:rFonts w:ascii="Symbol" w:hAnsi="Symbol" w:hint="default"/>
        <w:color w:val="53548A" w:themeColor="accent1"/>
        <w:sz w:val="16"/>
      </w:rPr>
    </w:lvl>
    <w:lvl w:ilvl="5">
      <w:start w:val="1"/>
      <w:numFmt w:val="bullet"/>
      <w:lvlText w:val=""/>
      <w:lvlJc w:val="left"/>
      <w:pPr>
        <w:ind w:left="1441" w:hanging="216"/>
      </w:pPr>
      <w:rPr>
        <w:rFonts w:ascii="Symbol" w:hAnsi="Symbol" w:hint="default"/>
        <w:color w:val="53548A" w:themeColor="accent1"/>
        <w:sz w:val="16"/>
      </w:rPr>
    </w:lvl>
    <w:lvl w:ilvl="6">
      <w:start w:val="1"/>
      <w:numFmt w:val="bullet"/>
      <w:lvlText w:val=""/>
      <w:lvlJc w:val="left"/>
      <w:pPr>
        <w:ind w:left="1686" w:hanging="216"/>
      </w:pPr>
      <w:rPr>
        <w:rFonts w:ascii="Symbol" w:hAnsi="Symbol" w:hint="default"/>
        <w:color w:val="53548A" w:themeColor="accent1"/>
        <w:sz w:val="16"/>
      </w:rPr>
    </w:lvl>
    <w:lvl w:ilvl="7">
      <w:start w:val="1"/>
      <w:numFmt w:val="bullet"/>
      <w:lvlText w:val=""/>
      <w:lvlJc w:val="left"/>
      <w:pPr>
        <w:ind w:left="1931" w:hanging="216"/>
      </w:pPr>
      <w:rPr>
        <w:rFonts w:ascii="Symbol" w:hAnsi="Symbol" w:hint="default"/>
        <w:color w:val="53548A" w:themeColor="accent1"/>
        <w:sz w:val="16"/>
      </w:rPr>
    </w:lvl>
    <w:lvl w:ilvl="8">
      <w:start w:val="1"/>
      <w:numFmt w:val="bullet"/>
      <w:lvlText w:val=""/>
      <w:lvlJc w:val="left"/>
      <w:pPr>
        <w:ind w:left="2176" w:hanging="216"/>
      </w:pPr>
      <w:rPr>
        <w:rFonts w:ascii="Symbol" w:hAnsi="Symbol" w:hint="default"/>
        <w:color w:val="53548A" w:themeColor="accent1"/>
        <w:sz w:val="16"/>
      </w:rPr>
    </w:lvl>
  </w:abstractNum>
  <w:abstractNum w:abstractNumId="17">
    <w:nsid w:val="1A6C5517"/>
    <w:multiLevelType w:val="multilevel"/>
    <w:tmpl w:val="7AC6A14E"/>
    <w:numStyleLink w:val="Listanumeradaurbana"/>
  </w:abstractNum>
  <w:abstractNum w:abstractNumId="18">
    <w:nsid w:val="1DDE73E0"/>
    <w:multiLevelType w:val="multilevel"/>
    <w:tmpl w:val="33B056D0"/>
    <w:numStyleLink w:val="Listaconvietasurbana"/>
  </w:abstractNum>
  <w:abstractNum w:abstractNumId="19">
    <w:nsid w:val="251A0F72"/>
    <w:multiLevelType w:val="multilevel"/>
    <w:tmpl w:val="7AC6A14E"/>
    <w:lvl w:ilvl="0">
      <w:start w:val="1"/>
      <w:numFmt w:val="decimal"/>
      <w:lvlText w:val="%1."/>
      <w:lvlJc w:val="left"/>
      <w:pPr>
        <w:ind w:left="288" w:hanging="288"/>
      </w:pPr>
      <w:rPr>
        <w:rFonts w:asciiTheme="minorHAnsi" w:hAnsiTheme="minorHAnsi" w:hint="default"/>
        <w:i w:val="0"/>
        <w:color w:val="A04DA3" w:themeColor="accent3"/>
        <w:sz w:val="20"/>
      </w:rPr>
    </w:lvl>
    <w:lvl w:ilvl="1">
      <w:start w:val="1"/>
      <w:numFmt w:val="upperLetter"/>
      <w:lvlText w:val="%2."/>
      <w:lvlJc w:val="left"/>
      <w:pPr>
        <w:ind w:left="792" w:hanging="288"/>
      </w:pPr>
      <w:rPr>
        <w:rFonts w:asciiTheme="minorHAnsi" w:hAnsiTheme="minorHAnsi" w:hint="default"/>
        <w:b w:val="0"/>
        <w:i w:val="0"/>
        <w:color w:val="438086" w:themeColor="accent2"/>
        <w:sz w:val="20"/>
      </w:rPr>
    </w:lvl>
    <w:lvl w:ilvl="2">
      <w:start w:val="1"/>
      <w:numFmt w:val="lowerRoman"/>
      <w:lvlText w:val="%3."/>
      <w:lvlJc w:val="right"/>
      <w:pPr>
        <w:ind w:left="1296" w:hanging="288"/>
      </w:pPr>
      <w:rPr>
        <w:rFonts w:asciiTheme="minorHAnsi" w:hAnsiTheme="minorHAnsi" w:hint="default"/>
        <w:b w:val="0"/>
        <w:i w:val="0"/>
        <w:color w:val="53548A" w:themeColor="accent1"/>
        <w:sz w:val="20"/>
      </w:rPr>
    </w:lvl>
    <w:lvl w:ilvl="3">
      <w:start w:val="1"/>
      <w:numFmt w:val="decimal"/>
      <w:lvlText w:val="%4."/>
      <w:lvlJc w:val="left"/>
      <w:pPr>
        <w:ind w:left="1800" w:hanging="288"/>
      </w:pPr>
      <w:rPr>
        <w:rFonts w:asciiTheme="minorHAnsi" w:hAnsiTheme="minorHAnsi" w:hint="default"/>
        <w:b w:val="0"/>
        <w:i w:val="0"/>
        <w:color w:val="53548A" w:themeColor="accent1"/>
        <w:sz w:val="20"/>
      </w:rPr>
    </w:lvl>
    <w:lvl w:ilvl="4">
      <w:start w:val="1"/>
      <w:numFmt w:val="lowerLetter"/>
      <w:lvlText w:val="%5."/>
      <w:lvlJc w:val="left"/>
      <w:pPr>
        <w:ind w:left="2304" w:hanging="288"/>
      </w:pPr>
      <w:rPr>
        <w:rFonts w:asciiTheme="minorHAnsi" w:hAnsiTheme="minorHAnsi" w:hint="default"/>
        <w:b w:val="0"/>
        <w:i w:val="0"/>
        <w:color w:val="53548A" w:themeColor="accent1"/>
        <w:sz w:val="20"/>
      </w:rPr>
    </w:lvl>
    <w:lvl w:ilvl="5">
      <w:start w:val="1"/>
      <w:numFmt w:val="lowerRoman"/>
      <w:lvlText w:val="%6."/>
      <w:lvlJc w:val="right"/>
      <w:pPr>
        <w:ind w:left="2808" w:hanging="288"/>
      </w:pPr>
      <w:rPr>
        <w:rFonts w:asciiTheme="minorHAnsi" w:hAnsiTheme="minorHAnsi" w:hint="default"/>
        <w:b w:val="0"/>
        <w:i w:val="0"/>
        <w:color w:val="53548A" w:themeColor="accent1"/>
        <w:sz w:val="20"/>
      </w:rPr>
    </w:lvl>
    <w:lvl w:ilvl="6">
      <w:start w:val="1"/>
      <w:numFmt w:val="decimal"/>
      <w:lvlText w:val="%7."/>
      <w:lvlJc w:val="left"/>
      <w:pPr>
        <w:ind w:left="3312" w:hanging="288"/>
      </w:pPr>
      <w:rPr>
        <w:rFonts w:asciiTheme="minorHAnsi" w:hAnsiTheme="minorHAnsi" w:hint="default"/>
        <w:b w:val="0"/>
        <w:i w:val="0"/>
        <w:color w:val="53548A" w:themeColor="accent1"/>
        <w:sz w:val="20"/>
      </w:rPr>
    </w:lvl>
    <w:lvl w:ilvl="7">
      <w:start w:val="1"/>
      <w:numFmt w:val="lowerLetter"/>
      <w:lvlText w:val="%8."/>
      <w:lvlJc w:val="left"/>
      <w:pPr>
        <w:ind w:left="3816" w:hanging="288"/>
      </w:pPr>
      <w:rPr>
        <w:rFonts w:asciiTheme="minorHAnsi" w:hAnsiTheme="minorHAnsi" w:hint="default"/>
        <w:b w:val="0"/>
        <w:i w:val="0"/>
        <w:color w:val="53548A" w:themeColor="accent1"/>
        <w:sz w:val="20"/>
      </w:rPr>
    </w:lvl>
    <w:lvl w:ilvl="8">
      <w:start w:val="1"/>
      <w:numFmt w:val="lowerRoman"/>
      <w:lvlText w:val="%9."/>
      <w:lvlJc w:val="right"/>
      <w:pPr>
        <w:ind w:left="4320" w:hanging="288"/>
      </w:pPr>
      <w:rPr>
        <w:rFonts w:asciiTheme="minorHAnsi" w:hAnsiTheme="minorHAnsi" w:hint="default"/>
        <w:b w:val="0"/>
        <w:i w:val="0"/>
        <w:color w:val="53548A" w:themeColor="accent1"/>
        <w:sz w:val="20"/>
      </w:rPr>
    </w:lvl>
  </w:abstractNum>
  <w:abstractNum w:abstractNumId="20">
    <w:nsid w:val="308C1F36"/>
    <w:multiLevelType w:val="hybridMultilevel"/>
    <w:tmpl w:val="3AE83DDC"/>
    <w:lvl w:ilvl="0" w:tplc="0409000F">
      <w:start w:val="1"/>
      <w:numFmt w:val="decimal"/>
      <w:lvlText w:val="%1."/>
      <w:lvlJc w:val="left"/>
      <w:pPr>
        <w:ind w:left="1440" w:hanging="360"/>
      </w:pPr>
    </w:lvl>
    <w:lvl w:ilvl="1" w:tplc="84D2ED82">
      <w:start w:val="1"/>
      <w:numFmt w:val="lowerLetter"/>
      <w:lvlText w:val="%2."/>
      <w:lvlJc w:val="left"/>
      <w:pPr>
        <w:ind w:left="2160" w:hanging="360"/>
      </w:pPr>
      <w:rPr>
        <w:color w:val="424456" w:themeColor="text2"/>
      </w:rPr>
    </w:lvl>
    <w:lvl w:ilvl="2" w:tplc="553E7D70">
      <w:start w:val="1"/>
      <w:numFmt w:val="lowerRoman"/>
      <w:lvlText w:val="%3."/>
      <w:lvlJc w:val="right"/>
      <w:pPr>
        <w:ind w:left="2880" w:hanging="180"/>
      </w:pPr>
      <w:rPr>
        <w:color w:val="424456" w:themeColor="text2"/>
      </w:rPr>
    </w:lvl>
    <w:lvl w:ilvl="3" w:tplc="DEE48288">
      <w:start w:val="1"/>
      <w:numFmt w:val="decimal"/>
      <w:lvlText w:val="%4."/>
      <w:lvlJc w:val="left"/>
      <w:pPr>
        <w:ind w:left="3600" w:hanging="360"/>
      </w:pPr>
      <w:rPr>
        <w:color w:val="424456" w:themeColor="text2"/>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1">
    <w:nsid w:val="35E71CD9"/>
    <w:multiLevelType w:val="hybridMultilevel"/>
    <w:tmpl w:val="39D65854"/>
    <w:lvl w:ilvl="0" w:tplc="07525450">
      <w:start w:val="1"/>
      <w:numFmt w:val="bullet"/>
      <w:lvlText w:val=""/>
      <w:lvlJc w:val="left"/>
      <w:pPr>
        <w:ind w:left="1440" w:hanging="360"/>
      </w:pPr>
      <w:rPr>
        <w:rFonts w:ascii="Symbol" w:hAnsi="Symbol" w:cs="Symbol" w:hint="default"/>
        <w:color w:val="A04DA3" w:themeColor="accent3"/>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2">
    <w:nsid w:val="36A80E22"/>
    <w:multiLevelType w:val="hybridMultilevel"/>
    <w:tmpl w:val="CF765A9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nsid w:val="3D9C46A3"/>
    <w:multiLevelType w:val="multilevel"/>
    <w:tmpl w:val="33B056D0"/>
    <w:styleLink w:val="Listaconvietasurbana"/>
    <w:lvl w:ilvl="0">
      <w:start w:val="1"/>
      <w:numFmt w:val="bullet"/>
      <w:pStyle w:val="Vieta1"/>
      <w:lvlText w:val=""/>
      <w:lvlJc w:val="left"/>
      <w:pPr>
        <w:ind w:left="216" w:hanging="216"/>
      </w:pPr>
      <w:rPr>
        <w:rFonts w:ascii="Symbol" w:hAnsi="Symbol" w:hint="default"/>
        <w:b w:val="0"/>
        <w:i w:val="0"/>
        <w:color w:val="A04DA3" w:themeColor="accent3"/>
        <w:sz w:val="18"/>
      </w:rPr>
    </w:lvl>
    <w:lvl w:ilvl="1">
      <w:start w:val="1"/>
      <w:numFmt w:val="bullet"/>
      <w:pStyle w:val="Vieta2"/>
      <w:lvlText w:val=""/>
      <w:lvlJc w:val="left"/>
      <w:pPr>
        <w:ind w:left="461" w:hanging="216"/>
      </w:pPr>
      <w:rPr>
        <w:rFonts w:ascii="Wingdings" w:hAnsi="Wingdings" w:hint="default"/>
        <w:b w:val="0"/>
        <w:i w:val="0"/>
        <w:color w:val="438086" w:themeColor="accent2"/>
        <w:sz w:val="12"/>
      </w:rPr>
    </w:lvl>
    <w:lvl w:ilvl="2">
      <w:start w:val="1"/>
      <w:numFmt w:val="bullet"/>
      <w:pStyle w:val="Vieta3"/>
      <w:lvlText w:val=""/>
      <w:lvlJc w:val="left"/>
      <w:pPr>
        <w:ind w:left="706" w:hanging="216"/>
      </w:pPr>
      <w:rPr>
        <w:rFonts w:ascii="Symbol" w:hAnsi="Symbol" w:hint="default"/>
        <w:b w:val="0"/>
        <w:i w:val="0"/>
        <w:color w:val="53548A" w:themeColor="accent1"/>
        <w:sz w:val="16"/>
      </w:rPr>
    </w:lvl>
    <w:lvl w:ilvl="3">
      <w:start w:val="1"/>
      <w:numFmt w:val="bullet"/>
      <w:lvlText w:val=""/>
      <w:lvlJc w:val="left"/>
      <w:pPr>
        <w:ind w:left="951" w:hanging="216"/>
      </w:pPr>
      <w:rPr>
        <w:rFonts w:ascii="Symbol" w:hAnsi="Symbol" w:hint="default"/>
        <w:b w:val="0"/>
        <w:i w:val="0"/>
        <w:color w:val="53548A" w:themeColor="accent1"/>
        <w:sz w:val="16"/>
      </w:rPr>
    </w:lvl>
    <w:lvl w:ilvl="4">
      <w:start w:val="1"/>
      <w:numFmt w:val="bullet"/>
      <w:lvlText w:val=""/>
      <w:lvlJc w:val="left"/>
      <w:pPr>
        <w:ind w:left="1196" w:hanging="216"/>
      </w:pPr>
      <w:rPr>
        <w:rFonts w:ascii="Symbol" w:hAnsi="Symbol" w:hint="default"/>
        <w:color w:val="53548A" w:themeColor="accent1"/>
        <w:sz w:val="16"/>
      </w:rPr>
    </w:lvl>
    <w:lvl w:ilvl="5">
      <w:start w:val="1"/>
      <w:numFmt w:val="bullet"/>
      <w:lvlText w:val=""/>
      <w:lvlJc w:val="left"/>
      <w:pPr>
        <w:ind w:left="1441" w:hanging="216"/>
      </w:pPr>
      <w:rPr>
        <w:rFonts w:ascii="Symbol" w:hAnsi="Symbol" w:hint="default"/>
        <w:color w:val="53548A" w:themeColor="accent1"/>
        <w:sz w:val="16"/>
      </w:rPr>
    </w:lvl>
    <w:lvl w:ilvl="6">
      <w:start w:val="1"/>
      <w:numFmt w:val="bullet"/>
      <w:lvlText w:val=""/>
      <w:lvlJc w:val="left"/>
      <w:pPr>
        <w:ind w:left="1686" w:hanging="216"/>
      </w:pPr>
      <w:rPr>
        <w:rFonts w:ascii="Symbol" w:hAnsi="Symbol" w:hint="default"/>
        <w:color w:val="53548A" w:themeColor="accent1"/>
        <w:sz w:val="16"/>
      </w:rPr>
    </w:lvl>
    <w:lvl w:ilvl="7">
      <w:start w:val="1"/>
      <w:numFmt w:val="bullet"/>
      <w:lvlText w:val=""/>
      <w:lvlJc w:val="left"/>
      <w:pPr>
        <w:ind w:left="1931" w:hanging="216"/>
      </w:pPr>
      <w:rPr>
        <w:rFonts w:ascii="Symbol" w:hAnsi="Symbol" w:hint="default"/>
        <w:color w:val="53548A" w:themeColor="accent1"/>
        <w:sz w:val="16"/>
      </w:rPr>
    </w:lvl>
    <w:lvl w:ilvl="8">
      <w:start w:val="1"/>
      <w:numFmt w:val="bullet"/>
      <w:lvlText w:val=""/>
      <w:lvlJc w:val="left"/>
      <w:pPr>
        <w:ind w:left="2176" w:hanging="216"/>
      </w:pPr>
      <w:rPr>
        <w:rFonts w:ascii="Symbol" w:hAnsi="Symbol" w:hint="default"/>
        <w:color w:val="53548A" w:themeColor="accent1"/>
        <w:sz w:val="16"/>
      </w:rPr>
    </w:lvl>
  </w:abstractNum>
  <w:abstractNum w:abstractNumId="24">
    <w:nsid w:val="40B17DB9"/>
    <w:multiLevelType w:val="hybridMultilevel"/>
    <w:tmpl w:val="A0BE2AD0"/>
    <w:lvl w:ilvl="0" w:tplc="C4045840">
      <w:start w:val="1"/>
      <w:numFmt w:val="decimal"/>
      <w:lvlText w:val="%1."/>
      <w:lvlJc w:val="left"/>
      <w:pPr>
        <w:ind w:left="720" w:hanging="360"/>
      </w:pPr>
      <w:rPr>
        <w:rFonts w:asciiTheme="majorHAnsi" w:hAnsiTheme="majorHAnsi" w:hint="default"/>
        <w:color w:val="325F64" w:themeColor="accent2" w:themeShade="BF"/>
        <w:sz w:val="18"/>
        <w:szCs w:val="18"/>
        <w:u w:val="none"/>
      </w:rPr>
    </w:lvl>
    <w:lvl w:ilvl="1" w:tplc="098C87B0">
      <w:start w:val="1"/>
      <w:numFmt w:val="lowerLetter"/>
      <w:lvlText w:val="%2."/>
      <w:lvlJc w:val="left"/>
      <w:pPr>
        <w:ind w:left="1440" w:hanging="360"/>
      </w:pPr>
      <w:rPr>
        <w:color w:val="438086" w:themeColor="accent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C57BC7"/>
    <w:multiLevelType w:val="hybridMultilevel"/>
    <w:tmpl w:val="5064A2F4"/>
    <w:lvl w:ilvl="0" w:tplc="BDC83ACC">
      <w:start w:val="1"/>
      <w:numFmt w:val="bullet"/>
      <w:lvlText w:val=""/>
      <w:lvlJc w:val="left"/>
      <w:pPr>
        <w:ind w:left="720" w:hanging="360"/>
      </w:pPr>
      <w:rPr>
        <w:rFonts w:ascii="Wingdings" w:hAnsi="Wingdings" w:cs="Wingdings" w:hint="default"/>
        <w:color w:val="325F64" w:themeColor="accent2" w:themeShade="BF"/>
        <w:sz w:val="16"/>
        <w:szCs w:val="16"/>
      </w:rPr>
    </w:lvl>
    <w:lvl w:ilvl="1" w:tplc="E896886C">
      <w:start w:val="1"/>
      <w:numFmt w:val="bullet"/>
      <w:lvlText w:val=""/>
      <w:lvlJc w:val="left"/>
      <w:pPr>
        <w:ind w:left="1440" w:hanging="360"/>
      </w:pPr>
      <w:rPr>
        <w:rFonts w:ascii="Wingdings" w:hAnsi="Wingdings" w:cs="Wingdings" w:hint="default"/>
        <w:color w:val="438086" w:themeColor="accent2"/>
        <w:sz w:val="16"/>
        <w:szCs w:val="16"/>
      </w:rPr>
    </w:lvl>
    <w:lvl w:ilvl="2" w:tplc="13C0FDF8">
      <w:start w:val="1"/>
      <w:numFmt w:val="bullet"/>
      <w:lvlText w:val=""/>
      <w:lvlJc w:val="left"/>
      <w:pPr>
        <w:ind w:left="2160" w:hanging="360"/>
      </w:pPr>
      <w:rPr>
        <w:rFonts w:ascii="Wingdings" w:hAnsi="Wingdings" w:cs="Wingdings" w:hint="default"/>
        <w:color w:val="83BBC1" w:themeColor="accent2" w:themeTint="99"/>
        <w:sz w:val="16"/>
        <w:szCs w:val="16"/>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nsid w:val="43303F17"/>
    <w:multiLevelType w:val="hybridMultilevel"/>
    <w:tmpl w:val="205A987E"/>
    <w:lvl w:ilvl="0" w:tplc="A6C4533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8785B94"/>
    <w:multiLevelType w:val="multilevel"/>
    <w:tmpl w:val="33B056D0"/>
    <w:lvl w:ilvl="0">
      <w:start w:val="1"/>
      <w:numFmt w:val="bullet"/>
      <w:lvlText w:val=""/>
      <w:lvlJc w:val="left"/>
      <w:pPr>
        <w:ind w:left="216" w:hanging="216"/>
      </w:pPr>
      <w:rPr>
        <w:rFonts w:ascii="Symbol" w:hAnsi="Symbol" w:hint="default"/>
        <w:b w:val="0"/>
        <w:i w:val="0"/>
        <w:color w:val="A04DA3" w:themeColor="accent3"/>
        <w:sz w:val="18"/>
      </w:rPr>
    </w:lvl>
    <w:lvl w:ilvl="1">
      <w:start w:val="1"/>
      <w:numFmt w:val="bullet"/>
      <w:lvlText w:val=""/>
      <w:lvlJc w:val="left"/>
      <w:pPr>
        <w:ind w:left="461" w:hanging="216"/>
      </w:pPr>
      <w:rPr>
        <w:rFonts w:ascii="Wingdings" w:hAnsi="Wingdings" w:hint="default"/>
        <w:b w:val="0"/>
        <w:i w:val="0"/>
        <w:color w:val="438086" w:themeColor="accent2"/>
        <w:sz w:val="12"/>
      </w:rPr>
    </w:lvl>
    <w:lvl w:ilvl="2">
      <w:start w:val="1"/>
      <w:numFmt w:val="bullet"/>
      <w:lvlText w:val=""/>
      <w:lvlJc w:val="left"/>
      <w:pPr>
        <w:ind w:left="706" w:hanging="216"/>
      </w:pPr>
      <w:rPr>
        <w:rFonts w:ascii="Symbol" w:hAnsi="Symbol" w:hint="default"/>
        <w:b w:val="0"/>
        <w:i w:val="0"/>
        <w:color w:val="53548A" w:themeColor="accent1"/>
        <w:sz w:val="16"/>
      </w:rPr>
    </w:lvl>
    <w:lvl w:ilvl="3">
      <w:start w:val="1"/>
      <w:numFmt w:val="bullet"/>
      <w:lvlText w:val=""/>
      <w:lvlJc w:val="left"/>
      <w:pPr>
        <w:ind w:left="951" w:hanging="216"/>
      </w:pPr>
      <w:rPr>
        <w:rFonts w:ascii="Symbol" w:hAnsi="Symbol" w:hint="default"/>
        <w:b w:val="0"/>
        <w:i w:val="0"/>
        <w:color w:val="53548A" w:themeColor="accent1"/>
        <w:sz w:val="16"/>
      </w:rPr>
    </w:lvl>
    <w:lvl w:ilvl="4">
      <w:start w:val="1"/>
      <w:numFmt w:val="bullet"/>
      <w:lvlText w:val=""/>
      <w:lvlJc w:val="left"/>
      <w:pPr>
        <w:ind w:left="1196" w:hanging="216"/>
      </w:pPr>
      <w:rPr>
        <w:rFonts w:ascii="Symbol" w:hAnsi="Symbol" w:hint="default"/>
        <w:color w:val="53548A" w:themeColor="accent1"/>
        <w:sz w:val="16"/>
      </w:rPr>
    </w:lvl>
    <w:lvl w:ilvl="5">
      <w:start w:val="1"/>
      <w:numFmt w:val="bullet"/>
      <w:lvlText w:val=""/>
      <w:lvlJc w:val="left"/>
      <w:pPr>
        <w:ind w:left="1441" w:hanging="216"/>
      </w:pPr>
      <w:rPr>
        <w:rFonts w:ascii="Symbol" w:hAnsi="Symbol" w:hint="default"/>
        <w:color w:val="53548A" w:themeColor="accent1"/>
        <w:sz w:val="16"/>
      </w:rPr>
    </w:lvl>
    <w:lvl w:ilvl="6">
      <w:start w:val="1"/>
      <w:numFmt w:val="bullet"/>
      <w:lvlText w:val=""/>
      <w:lvlJc w:val="left"/>
      <w:pPr>
        <w:ind w:left="1686" w:hanging="216"/>
      </w:pPr>
      <w:rPr>
        <w:rFonts w:ascii="Symbol" w:hAnsi="Symbol" w:hint="default"/>
        <w:color w:val="53548A" w:themeColor="accent1"/>
        <w:sz w:val="16"/>
      </w:rPr>
    </w:lvl>
    <w:lvl w:ilvl="7">
      <w:start w:val="1"/>
      <w:numFmt w:val="bullet"/>
      <w:lvlText w:val=""/>
      <w:lvlJc w:val="left"/>
      <w:pPr>
        <w:ind w:left="1931" w:hanging="216"/>
      </w:pPr>
      <w:rPr>
        <w:rFonts w:ascii="Symbol" w:hAnsi="Symbol" w:hint="default"/>
        <w:color w:val="53548A" w:themeColor="accent1"/>
        <w:sz w:val="16"/>
      </w:rPr>
    </w:lvl>
    <w:lvl w:ilvl="8">
      <w:start w:val="1"/>
      <w:numFmt w:val="bullet"/>
      <w:lvlText w:val=""/>
      <w:lvlJc w:val="left"/>
      <w:pPr>
        <w:ind w:left="2176" w:hanging="216"/>
      </w:pPr>
      <w:rPr>
        <w:rFonts w:ascii="Symbol" w:hAnsi="Symbol" w:hint="default"/>
        <w:color w:val="53548A" w:themeColor="accent1"/>
        <w:sz w:val="16"/>
      </w:rPr>
    </w:lvl>
  </w:abstractNum>
  <w:abstractNum w:abstractNumId="28">
    <w:nsid w:val="57911FB4"/>
    <w:multiLevelType w:val="hybridMultilevel"/>
    <w:tmpl w:val="D6B69FD2"/>
    <w:lvl w:ilvl="0" w:tplc="AA644D84">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ECA42F2"/>
    <w:multiLevelType w:val="hybridMultilevel"/>
    <w:tmpl w:val="F60CC51C"/>
    <w:lvl w:ilvl="0" w:tplc="AA644D84">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0C70A48"/>
    <w:multiLevelType w:val="hybridMultilevel"/>
    <w:tmpl w:val="60F65B56"/>
    <w:lvl w:ilvl="0" w:tplc="59F6C5FA">
      <w:start w:val="5"/>
      <w:numFmt w:val="upperRoman"/>
      <w:lvlText w:val="%1."/>
      <w:lvlJc w:val="left"/>
      <w:pPr>
        <w:ind w:left="1146"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1751600"/>
    <w:multiLevelType w:val="hybridMultilevel"/>
    <w:tmpl w:val="38F8EBC4"/>
    <w:lvl w:ilvl="0" w:tplc="5C1E6DF8">
      <w:start w:val="1"/>
      <w:numFmt w:val="upperRoman"/>
      <w:lvlText w:val="%1."/>
      <w:lvlJc w:val="left"/>
      <w:pPr>
        <w:ind w:left="1146"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3E8022B"/>
    <w:multiLevelType w:val="multilevel"/>
    <w:tmpl w:val="33B056D0"/>
    <w:numStyleLink w:val="Listaconvietasurbana"/>
  </w:abstractNum>
  <w:abstractNum w:abstractNumId="33">
    <w:nsid w:val="6F0D0B31"/>
    <w:multiLevelType w:val="multilevel"/>
    <w:tmpl w:val="7AC6A14E"/>
    <w:numStyleLink w:val="Listanumeradaurbana"/>
  </w:abstractNum>
  <w:abstractNum w:abstractNumId="34">
    <w:nsid w:val="72817FF1"/>
    <w:multiLevelType w:val="hybridMultilevel"/>
    <w:tmpl w:val="702CD21C"/>
    <w:lvl w:ilvl="0" w:tplc="07525450">
      <w:start w:val="1"/>
      <w:numFmt w:val="bullet"/>
      <w:lvlText w:val=""/>
      <w:lvlJc w:val="left"/>
      <w:pPr>
        <w:ind w:left="1440" w:hanging="360"/>
      </w:pPr>
      <w:rPr>
        <w:rFonts w:ascii="Symbol" w:hAnsi="Symbol" w:cs="Symbol" w:hint="default"/>
        <w:color w:val="A04DA3" w:themeColor="accent3"/>
      </w:rPr>
    </w:lvl>
    <w:lvl w:ilvl="1" w:tplc="F4389890">
      <w:start w:val="1"/>
      <w:numFmt w:val="bullet"/>
      <w:lvlText w:val=""/>
      <w:lvlJc w:val="left"/>
      <w:pPr>
        <w:ind w:left="2160" w:hanging="360"/>
      </w:pPr>
      <w:rPr>
        <w:rFonts w:ascii="Wingdings" w:hAnsi="Wingdings" w:cs="Wingdings" w:hint="default"/>
        <w:color w:val="438086" w:themeColor="accent2"/>
        <w:sz w:val="12"/>
        <w:szCs w:val="12"/>
      </w:rPr>
    </w:lvl>
    <w:lvl w:ilvl="2" w:tplc="9A9E4A9C">
      <w:start w:val="1"/>
      <w:numFmt w:val="bullet"/>
      <w:lvlText w:val=""/>
      <w:lvlJc w:val="left"/>
      <w:pPr>
        <w:ind w:left="2880" w:hanging="360"/>
      </w:pPr>
      <w:rPr>
        <w:rFonts w:ascii="Symbol" w:hAnsi="Symbol" w:cs="Symbol" w:hint="default"/>
        <w:color w:val="53548A" w:themeColor="accent1"/>
        <w:sz w:val="16"/>
        <w:szCs w:val="16"/>
      </w:rPr>
    </w:lvl>
    <w:lvl w:ilvl="3" w:tplc="96863BBE">
      <w:start w:val="1"/>
      <w:numFmt w:val="bullet"/>
      <w:lvlText w:val=""/>
      <w:lvlJc w:val="left"/>
      <w:pPr>
        <w:ind w:left="3600" w:hanging="360"/>
      </w:pPr>
      <w:rPr>
        <w:rFonts w:ascii="Symbol" w:hAnsi="Symbol" w:cs="Symbol" w:hint="default"/>
        <w:sz w:val="16"/>
        <w:szCs w:val="16"/>
      </w:rPr>
    </w:lvl>
    <w:lvl w:ilvl="4" w:tplc="98987F98">
      <w:start w:val="1"/>
      <w:numFmt w:val="bullet"/>
      <w:lvlText w:val=""/>
      <w:lvlJc w:val="left"/>
      <w:pPr>
        <w:ind w:left="4320" w:hanging="360"/>
      </w:pPr>
      <w:rPr>
        <w:rFonts w:ascii="Symbol" w:hAnsi="Symbol" w:cs="Symbol" w:hint="default"/>
        <w:sz w:val="16"/>
        <w:szCs w:val="16"/>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5">
    <w:nsid w:val="733505FE"/>
    <w:multiLevelType w:val="hybridMultilevel"/>
    <w:tmpl w:val="41F4AC88"/>
    <w:lvl w:ilvl="0" w:tplc="AA644D84">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6740294"/>
    <w:multiLevelType w:val="multilevel"/>
    <w:tmpl w:val="33B056D0"/>
    <w:numStyleLink w:val="Listaconvietasurbana"/>
  </w:abstractNum>
  <w:abstractNum w:abstractNumId="37">
    <w:nsid w:val="76921C5B"/>
    <w:multiLevelType w:val="multilevel"/>
    <w:tmpl w:val="33B056D0"/>
    <w:numStyleLink w:val="Listaconvietasurbana"/>
  </w:abstractNum>
  <w:abstractNum w:abstractNumId="38">
    <w:nsid w:val="78120CBC"/>
    <w:multiLevelType w:val="hybridMultilevel"/>
    <w:tmpl w:val="58AA0882"/>
    <w:lvl w:ilvl="0" w:tplc="487414DE">
      <w:start w:val="4"/>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E025C09"/>
    <w:multiLevelType w:val="multilevel"/>
    <w:tmpl w:val="33B056D0"/>
    <w:numStyleLink w:val="Listaconvietasurbana"/>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4"/>
  </w:num>
  <w:num w:numId="13">
    <w:abstractNumId w:val="25"/>
  </w:num>
  <w:num w:numId="14">
    <w:abstractNumId w:val="21"/>
  </w:num>
  <w:num w:numId="15">
    <w:abstractNumId w:val="34"/>
  </w:num>
  <w:num w:numId="16">
    <w:abstractNumId w:val="20"/>
  </w:num>
  <w:num w:numId="17">
    <w:abstractNumId w:val="23"/>
  </w:num>
  <w:num w:numId="18">
    <w:abstractNumId w:val="12"/>
  </w:num>
  <w:num w:numId="19">
    <w:abstractNumId w:val="36"/>
  </w:num>
  <w:num w:numId="20">
    <w:abstractNumId w:val="37"/>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start w:val="1"/>
        <w:numFmt w:val="bullet"/>
        <w:lvlText w:val=""/>
        <w:lvlJc w:val="left"/>
        <w:pPr>
          <w:ind w:left="1196" w:hanging="216"/>
        </w:pPr>
        <w:rPr>
          <w:rFonts w:ascii="Symbol" w:hAnsi="Symbol" w:hint="default"/>
          <w:color w:val="53548A" w:themeColor="accent1"/>
          <w:sz w:val="18"/>
          <w:szCs w:val="18"/>
        </w:rPr>
      </w:lvl>
    </w:lvlOverride>
  </w:num>
  <w:num w:numId="21">
    <w:abstractNumId w:val="32"/>
    <w:lvlOverride w:ilvl="0">
      <w:lvl w:ilvl="0">
        <w:start w:val="1"/>
        <w:numFmt w:val="bullet"/>
        <w:lvlText w:val=""/>
        <w:lvlJc w:val="left"/>
        <w:pPr>
          <w:ind w:left="216" w:hanging="216"/>
        </w:pPr>
        <w:rPr>
          <w:rFonts w:ascii="Symbol" w:hAnsi="Symbol" w:hint="default"/>
          <w:b w:val="0"/>
          <w:i w:val="0"/>
          <w:color w:val="A04DA3" w:themeColor="accent3"/>
          <w:sz w:val="18"/>
          <w:szCs w:val="18"/>
        </w:rPr>
      </w:lvl>
    </w:lvlOverride>
  </w:num>
  <w:num w:numId="22">
    <w:abstractNumId w:val="13"/>
  </w:num>
  <w:num w:numId="23">
    <w:abstractNumId w:val="33"/>
  </w:num>
  <w:num w:numId="24">
    <w:abstractNumId w:val="17"/>
  </w:num>
  <w:num w:numId="25">
    <w:abstractNumId w:val="16"/>
  </w:num>
  <w:num w:numId="26">
    <w:abstractNumId w:val="10"/>
  </w:num>
  <w:num w:numId="27">
    <w:abstractNumId w:val="39"/>
  </w:num>
  <w:num w:numId="28">
    <w:abstractNumId w:val="27"/>
  </w:num>
  <w:num w:numId="29">
    <w:abstractNumId w:val="19"/>
  </w:num>
  <w:num w:numId="30">
    <w:abstractNumId w:val="18"/>
  </w:num>
  <w:num w:numId="31">
    <w:abstractNumId w:val="18"/>
  </w:num>
  <w:num w:numId="32">
    <w:abstractNumId w:val="18"/>
  </w:num>
  <w:num w:numId="33">
    <w:abstractNumId w:val="23"/>
  </w:num>
  <w:num w:numId="34">
    <w:abstractNumId w:val="13"/>
  </w:num>
  <w:num w:numId="35">
    <w:abstractNumId w:val="23"/>
  </w:num>
  <w:num w:numId="36">
    <w:abstractNumId w:val="23"/>
  </w:num>
  <w:num w:numId="37">
    <w:abstractNumId w:val="23"/>
  </w:num>
  <w:num w:numId="38">
    <w:abstractNumId w:val="23"/>
  </w:num>
  <w:num w:numId="39">
    <w:abstractNumId w:val="13"/>
  </w:num>
  <w:num w:numId="40">
    <w:abstractNumId w:val="31"/>
  </w:num>
  <w:num w:numId="41">
    <w:abstractNumId w:val="28"/>
  </w:num>
  <w:num w:numId="42">
    <w:abstractNumId w:val="11"/>
  </w:num>
  <w:num w:numId="43">
    <w:abstractNumId w:val="29"/>
  </w:num>
  <w:num w:numId="44">
    <w:abstractNumId w:val="15"/>
  </w:num>
  <w:num w:numId="45">
    <w:abstractNumId w:val="14"/>
  </w:num>
  <w:num w:numId="46">
    <w:abstractNumId w:val="35"/>
  </w:num>
  <w:num w:numId="47">
    <w:abstractNumId w:val="30"/>
  </w:num>
  <w:num w:numId="48">
    <w:abstractNumId w:val="26"/>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DateAndTim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drawingGridHorizontalSpacing w:val="100"/>
  <w:displayHorizontalDrawingGridEvery w:val="2"/>
  <w:characterSpacingControl w:val="doNotCompress"/>
  <w:hdrShapeDefaults>
    <o:shapedefaults v:ext="edit" spidmax="2049" fillcolor="white">
      <v:fill color="white"/>
      <o:colormru v:ext="edit" colors="#334c4f,#79b5b0,#b77851,#d1e1e3,#066,#7ea8ac,#4e767a,#293d3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6B2"/>
    <w:rsid w:val="0000250A"/>
    <w:rsid w:val="00004C5D"/>
    <w:rsid w:val="00011811"/>
    <w:rsid w:val="000200DB"/>
    <w:rsid w:val="00020673"/>
    <w:rsid w:val="0002440D"/>
    <w:rsid w:val="00026A1D"/>
    <w:rsid w:val="000302F6"/>
    <w:rsid w:val="00033C6B"/>
    <w:rsid w:val="00040795"/>
    <w:rsid w:val="0004344A"/>
    <w:rsid w:val="0004614D"/>
    <w:rsid w:val="000467A9"/>
    <w:rsid w:val="00047DDB"/>
    <w:rsid w:val="00053BF4"/>
    <w:rsid w:val="00070AB2"/>
    <w:rsid w:val="00071449"/>
    <w:rsid w:val="00077CDF"/>
    <w:rsid w:val="0008061C"/>
    <w:rsid w:val="00090A3E"/>
    <w:rsid w:val="000B5A54"/>
    <w:rsid w:val="000C0689"/>
    <w:rsid w:val="000C37F6"/>
    <w:rsid w:val="000C4A0A"/>
    <w:rsid w:val="000D2D73"/>
    <w:rsid w:val="000E0645"/>
    <w:rsid w:val="000E1511"/>
    <w:rsid w:val="000F02B2"/>
    <w:rsid w:val="000F22B5"/>
    <w:rsid w:val="000F392E"/>
    <w:rsid w:val="000F3CFB"/>
    <w:rsid w:val="000F5663"/>
    <w:rsid w:val="000F6C27"/>
    <w:rsid w:val="00100FDC"/>
    <w:rsid w:val="001015E0"/>
    <w:rsid w:val="0010181A"/>
    <w:rsid w:val="00115E70"/>
    <w:rsid w:val="00124764"/>
    <w:rsid w:val="00131645"/>
    <w:rsid w:val="00141DBA"/>
    <w:rsid w:val="00144B18"/>
    <w:rsid w:val="00144DA6"/>
    <w:rsid w:val="00146232"/>
    <w:rsid w:val="00146504"/>
    <w:rsid w:val="0014740D"/>
    <w:rsid w:val="00152FBA"/>
    <w:rsid w:val="00162C20"/>
    <w:rsid w:val="00174861"/>
    <w:rsid w:val="00181303"/>
    <w:rsid w:val="0019120F"/>
    <w:rsid w:val="00195B99"/>
    <w:rsid w:val="001963A1"/>
    <w:rsid w:val="00196E57"/>
    <w:rsid w:val="001B45B7"/>
    <w:rsid w:val="001C0ECE"/>
    <w:rsid w:val="001C5432"/>
    <w:rsid w:val="001D364C"/>
    <w:rsid w:val="001D59CA"/>
    <w:rsid w:val="001D5FAD"/>
    <w:rsid w:val="001E7F43"/>
    <w:rsid w:val="001F4BB6"/>
    <w:rsid w:val="00205084"/>
    <w:rsid w:val="002136D7"/>
    <w:rsid w:val="0021780C"/>
    <w:rsid w:val="0022471D"/>
    <w:rsid w:val="002313A7"/>
    <w:rsid w:val="002358A1"/>
    <w:rsid w:val="00235A5B"/>
    <w:rsid w:val="002456B0"/>
    <w:rsid w:val="00247E8E"/>
    <w:rsid w:val="0025449D"/>
    <w:rsid w:val="00255EC4"/>
    <w:rsid w:val="0026153E"/>
    <w:rsid w:val="002652DB"/>
    <w:rsid w:val="0027311B"/>
    <w:rsid w:val="00276179"/>
    <w:rsid w:val="00277C4C"/>
    <w:rsid w:val="00284DF9"/>
    <w:rsid w:val="0028680F"/>
    <w:rsid w:val="002A7CBE"/>
    <w:rsid w:val="002B3243"/>
    <w:rsid w:val="002B5BB5"/>
    <w:rsid w:val="002B7CC9"/>
    <w:rsid w:val="002B7F01"/>
    <w:rsid w:val="002C2C18"/>
    <w:rsid w:val="002C5AAC"/>
    <w:rsid w:val="002D5384"/>
    <w:rsid w:val="002D79CB"/>
    <w:rsid w:val="002D79EE"/>
    <w:rsid w:val="002F2CAA"/>
    <w:rsid w:val="002F4D73"/>
    <w:rsid w:val="002F71A3"/>
    <w:rsid w:val="0031284F"/>
    <w:rsid w:val="003220BF"/>
    <w:rsid w:val="003256DE"/>
    <w:rsid w:val="00336258"/>
    <w:rsid w:val="00341355"/>
    <w:rsid w:val="00345ABD"/>
    <w:rsid w:val="00352180"/>
    <w:rsid w:val="003535A0"/>
    <w:rsid w:val="003549D0"/>
    <w:rsid w:val="00355F1A"/>
    <w:rsid w:val="00375B00"/>
    <w:rsid w:val="00381193"/>
    <w:rsid w:val="00384774"/>
    <w:rsid w:val="00391F22"/>
    <w:rsid w:val="00395F26"/>
    <w:rsid w:val="003A61D2"/>
    <w:rsid w:val="003A6B5E"/>
    <w:rsid w:val="003C3FCE"/>
    <w:rsid w:val="003C4162"/>
    <w:rsid w:val="003D3102"/>
    <w:rsid w:val="003D5691"/>
    <w:rsid w:val="003E12E2"/>
    <w:rsid w:val="003E4333"/>
    <w:rsid w:val="003E71A0"/>
    <w:rsid w:val="003F10D6"/>
    <w:rsid w:val="003F1417"/>
    <w:rsid w:val="003F2AA0"/>
    <w:rsid w:val="0040196E"/>
    <w:rsid w:val="00405363"/>
    <w:rsid w:val="00406C3D"/>
    <w:rsid w:val="00406DDA"/>
    <w:rsid w:val="00412C7A"/>
    <w:rsid w:val="00413C4E"/>
    <w:rsid w:val="00415CDA"/>
    <w:rsid w:val="00417966"/>
    <w:rsid w:val="00431486"/>
    <w:rsid w:val="004452FC"/>
    <w:rsid w:val="0046145E"/>
    <w:rsid w:val="00463BE8"/>
    <w:rsid w:val="00470683"/>
    <w:rsid w:val="0047212C"/>
    <w:rsid w:val="00473D85"/>
    <w:rsid w:val="00475A84"/>
    <w:rsid w:val="004856CF"/>
    <w:rsid w:val="00497839"/>
    <w:rsid w:val="004A60E2"/>
    <w:rsid w:val="004A6DBC"/>
    <w:rsid w:val="004B5A06"/>
    <w:rsid w:val="004C21D3"/>
    <w:rsid w:val="004C2585"/>
    <w:rsid w:val="004C740B"/>
    <w:rsid w:val="004C792C"/>
    <w:rsid w:val="004F7C58"/>
    <w:rsid w:val="00513EC7"/>
    <w:rsid w:val="0051614E"/>
    <w:rsid w:val="00520912"/>
    <w:rsid w:val="00520D97"/>
    <w:rsid w:val="0052794A"/>
    <w:rsid w:val="00535CD6"/>
    <w:rsid w:val="00550FCC"/>
    <w:rsid w:val="00554AE4"/>
    <w:rsid w:val="00561E73"/>
    <w:rsid w:val="00563729"/>
    <w:rsid w:val="005646C3"/>
    <w:rsid w:val="005718D7"/>
    <w:rsid w:val="005915F6"/>
    <w:rsid w:val="00596EDD"/>
    <w:rsid w:val="005A1673"/>
    <w:rsid w:val="005A1B1B"/>
    <w:rsid w:val="005A2346"/>
    <w:rsid w:val="005B7C64"/>
    <w:rsid w:val="005C4D90"/>
    <w:rsid w:val="005C5DC1"/>
    <w:rsid w:val="005C658E"/>
    <w:rsid w:val="005F0168"/>
    <w:rsid w:val="005F0A2F"/>
    <w:rsid w:val="005F586A"/>
    <w:rsid w:val="006219DA"/>
    <w:rsid w:val="0062716C"/>
    <w:rsid w:val="006341B5"/>
    <w:rsid w:val="006350B7"/>
    <w:rsid w:val="00646612"/>
    <w:rsid w:val="006469F3"/>
    <w:rsid w:val="0065420F"/>
    <w:rsid w:val="00683852"/>
    <w:rsid w:val="006A2316"/>
    <w:rsid w:val="006A42D4"/>
    <w:rsid w:val="006A7B1F"/>
    <w:rsid w:val="006B577E"/>
    <w:rsid w:val="006C0613"/>
    <w:rsid w:val="006C3C82"/>
    <w:rsid w:val="006D0307"/>
    <w:rsid w:val="006D7EE4"/>
    <w:rsid w:val="006E01D9"/>
    <w:rsid w:val="007009D5"/>
    <w:rsid w:val="007109F5"/>
    <w:rsid w:val="00720A68"/>
    <w:rsid w:val="00743995"/>
    <w:rsid w:val="0075372C"/>
    <w:rsid w:val="00757000"/>
    <w:rsid w:val="007601C2"/>
    <w:rsid w:val="00770643"/>
    <w:rsid w:val="0077256F"/>
    <w:rsid w:val="00777DE9"/>
    <w:rsid w:val="0078793A"/>
    <w:rsid w:val="00794A50"/>
    <w:rsid w:val="007B30CF"/>
    <w:rsid w:val="007E1A7A"/>
    <w:rsid w:val="007F2F57"/>
    <w:rsid w:val="00801472"/>
    <w:rsid w:val="00802233"/>
    <w:rsid w:val="00806F14"/>
    <w:rsid w:val="00811B08"/>
    <w:rsid w:val="008176A6"/>
    <w:rsid w:val="008220D7"/>
    <w:rsid w:val="008234D9"/>
    <w:rsid w:val="00841A00"/>
    <w:rsid w:val="008469AD"/>
    <w:rsid w:val="0085543A"/>
    <w:rsid w:val="008876B2"/>
    <w:rsid w:val="00891AA1"/>
    <w:rsid w:val="008929EF"/>
    <w:rsid w:val="008A2FD0"/>
    <w:rsid w:val="008A7D3B"/>
    <w:rsid w:val="008B3192"/>
    <w:rsid w:val="008B401C"/>
    <w:rsid w:val="008D5F41"/>
    <w:rsid w:val="008F0A3A"/>
    <w:rsid w:val="00902A11"/>
    <w:rsid w:val="00913792"/>
    <w:rsid w:val="00914D8C"/>
    <w:rsid w:val="00925B4F"/>
    <w:rsid w:val="009318F3"/>
    <w:rsid w:val="00934D75"/>
    <w:rsid w:val="009417A3"/>
    <w:rsid w:val="00954BE4"/>
    <w:rsid w:val="0096306D"/>
    <w:rsid w:val="00971688"/>
    <w:rsid w:val="00973C9C"/>
    <w:rsid w:val="00976AE5"/>
    <w:rsid w:val="009832A4"/>
    <w:rsid w:val="00984881"/>
    <w:rsid w:val="00990975"/>
    <w:rsid w:val="009A6396"/>
    <w:rsid w:val="009B165E"/>
    <w:rsid w:val="009B2880"/>
    <w:rsid w:val="009B529F"/>
    <w:rsid w:val="009E3455"/>
    <w:rsid w:val="009E5841"/>
    <w:rsid w:val="009F1F97"/>
    <w:rsid w:val="009F5AAA"/>
    <w:rsid w:val="00A06568"/>
    <w:rsid w:val="00A07AF5"/>
    <w:rsid w:val="00A137C0"/>
    <w:rsid w:val="00A32599"/>
    <w:rsid w:val="00A36403"/>
    <w:rsid w:val="00A375F8"/>
    <w:rsid w:val="00A526BF"/>
    <w:rsid w:val="00A56F8E"/>
    <w:rsid w:val="00A61B8E"/>
    <w:rsid w:val="00A73F3F"/>
    <w:rsid w:val="00AA2D83"/>
    <w:rsid w:val="00AB0ABE"/>
    <w:rsid w:val="00AC149D"/>
    <w:rsid w:val="00AD6D80"/>
    <w:rsid w:val="00AE22C2"/>
    <w:rsid w:val="00AF02EB"/>
    <w:rsid w:val="00AF32A5"/>
    <w:rsid w:val="00AF627B"/>
    <w:rsid w:val="00B042DE"/>
    <w:rsid w:val="00B044F3"/>
    <w:rsid w:val="00B057CB"/>
    <w:rsid w:val="00B1253D"/>
    <w:rsid w:val="00B14C7B"/>
    <w:rsid w:val="00B17F38"/>
    <w:rsid w:val="00B305DD"/>
    <w:rsid w:val="00B44631"/>
    <w:rsid w:val="00B529FF"/>
    <w:rsid w:val="00B54BF2"/>
    <w:rsid w:val="00B5699D"/>
    <w:rsid w:val="00B60229"/>
    <w:rsid w:val="00B7453A"/>
    <w:rsid w:val="00B86CD2"/>
    <w:rsid w:val="00B95A20"/>
    <w:rsid w:val="00BA25D1"/>
    <w:rsid w:val="00BB55B0"/>
    <w:rsid w:val="00BB5FFF"/>
    <w:rsid w:val="00BC6A56"/>
    <w:rsid w:val="00BD3830"/>
    <w:rsid w:val="00BD3DF5"/>
    <w:rsid w:val="00BD4F6E"/>
    <w:rsid w:val="00BE52F3"/>
    <w:rsid w:val="00BE68CD"/>
    <w:rsid w:val="00BE7255"/>
    <w:rsid w:val="00BF3F82"/>
    <w:rsid w:val="00C02ADF"/>
    <w:rsid w:val="00C05C6E"/>
    <w:rsid w:val="00C060B9"/>
    <w:rsid w:val="00C061D5"/>
    <w:rsid w:val="00C07C9C"/>
    <w:rsid w:val="00C12FE5"/>
    <w:rsid w:val="00C21873"/>
    <w:rsid w:val="00C31F9B"/>
    <w:rsid w:val="00C519BE"/>
    <w:rsid w:val="00C773FD"/>
    <w:rsid w:val="00C80342"/>
    <w:rsid w:val="00C95495"/>
    <w:rsid w:val="00CA1FF0"/>
    <w:rsid w:val="00CA722F"/>
    <w:rsid w:val="00CB2499"/>
    <w:rsid w:val="00CB65E7"/>
    <w:rsid w:val="00CB6D6C"/>
    <w:rsid w:val="00CC223D"/>
    <w:rsid w:val="00CD6E1B"/>
    <w:rsid w:val="00CE43A8"/>
    <w:rsid w:val="00D001DB"/>
    <w:rsid w:val="00D01F89"/>
    <w:rsid w:val="00D21232"/>
    <w:rsid w:val="00D23563"/>
    <w:rsid w:val="00D2461E"/>
    <w:rsid w:val="00D249F3"/>
    <w:rsid w:val="00D37A2F"/>
    <w:rsid w:val="00D42228"/>
    <w:rsid w:val="00D438E9"/>
    <w:rsid w:val="00D55EB5"/>
    <w:rsid w:val="00D631CC"/>
    <w:rsid w:val="00D67951"/>
    <w:rsid w:val="00D74601"/>
    <w:rsid w:val="00D83420"/>
    <w:rsid w:val="00D836EF"/>
    <w:rsid w:val="00DA7486"/>
    <w:rsid w:val="00DB52E9"/>
    <w:rsid w:val="00DB5307"/>
    <w:rsid w:val="00DE056B"/>
    <w:rsid w:val="00DE5408"/>
    <w:rsid w:val="00DF0601"/>
    <w:rsid w:val="00DF4260"/>
    <w:rsid w:val="00DF7C00"/>
    <w:rsid w:val="00E1322B"/>
    <w:rsid w:val="00E35AFE"/>
    <w:rsid w:val="00E709D2"/>
    <w:rsid w:val="00E719EF"/>
    <w:rsid w:val="00E750B6"/>
    <w:rsid w:val="00E838E6"/>
    <w:rsid w:val="00E8642F"/>
    <w:rsid w:val="00E924EF"/>
    <w:rsid w:val="00EA0FD2"/>
    <w:rsid w:val="00EB1F5F"/>
    <w:rsid w:val="00EB204B"/>
    <w:rsid w:val="00EB2173"/>
    <w:rsid w:val="00EB2F24"/>
    <w:rsid w:val="00EB4694"/>
    <w:rsid w:val="00EE04EB"/>
    <w:rsid w:val="00EE20F1"/>
    <w:rsid w:val="00EE3C20"/>
    <w:rsid w:val="00EF3A76"/>
    <w:rsid w:val="00F06526"/>
    <w:rsid w:val="00F07996"/>
    <w:rsid w:val="00F12288"/>
    <w:rsid w:val="00F16D98"/>
    <w:rsid w:val="00F20DF6"/>
    <w:rsid w:val="00F22E36"/>
    <w:rsid w:val="00F23B80"/>
    <w:rsid w:val="00F23BD7"/>
    <w:rsid w:val="00F245CD"/>
    <w:rsid w:val="00F279CA"/>
    <w:rsid w:val="00F27CB0"/>
    <w:rsid w:val="00F358D1"/>
    <w:rsid w:val="00F422E6"/>
    <w:rsid w:val="00F43FB5"/>
    <w:rsid w:val="00F446FB"/>
    <w:rsid w:val="00F47130"/>
    <w:rsid w:val="00F5298B"/>
    <w:rsid w:val="00F53FF2"/>
    <w:rsid w:val="00F73923"/>
    <w:rsid w:val="00F920A1"/>
    <w:rsid w:val="00F931F3"/>
    <w:rsid w:val="00F95BEE"/>
    <w:rsid w:val="00F95EE9"/>
    <w:rsid w:val="00FA377A"/>
    <w:rsid w:val="00FA5D07"/>
    <w:rsid w:val="00FA5D94"/>
    <w:rsid w:val="00FB32A8"/>
    <w:rsid w:val="00FB4BBF"/>
    <w:rsid w:val="00FB7457"/>
    <w:rsid w:val="00FC3BD8"/>
    <w:rsid w:val="00FC41D3"/>
    <w:rsid w:val="00FC70AB"/>
    <w:rsid w:val="00FD588F"/>
    <w:rsid w:val="00FE1478"/>
    <w:rsid w:val="00FF20A2"/>
    <w:rsid w:val="00FF5F43"/>
    <w:rsid w:val="00FF72DE"/>
  </w:rsids>
  <m:mathPr>
    <m:mathFont m:val="Cambria Math"/>
    <m:brkBin m:val="before"/>
    <m:brkBinSub m:val="--"/>
    <m:smallFrac m:val="0"/>
    <m:dispDef/>
    <m:lMargin m:val="1440"/>
    <m:rMargin m:val="144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colormru v:ext="edit" colors="#334c4f,#79b5b0,#b77851,#d1e1e3,#066,#7ea8ac,#4e767a,#293d3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semiHidden="0" w:uiPriority="3" w:unhideWhenUsed="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Revision" w:uiPriority="0"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FCC"/>
    <w:pPr>
      <w:jc w:val="both"/>
    </w:pPr>
    <w:rPr>
      <w:rFonts w:ascii="Century Gothic" w:hAnsi="Century Gothic"/>
      <w:szCs w:val="20"/>
    </w:rPr>
  </w:style>
  <w:style w:type="paragraph" w:styleId="Ttulo1">
    <w:name w:val="heading 1"/>
    <w:basedOn w:val="Normal"/>
    <w:next w:val="Normal"/>
    <w:link w:val="Ttulo1Car"/>
    <w:uiPriority w:val="9"/>
    <w:qFormat/>
    <w:rsid w:val="00E719EF"/>
    <w:pPr>
      <w:pBdr>
        <w:bottom w:val="single" w:sz="4" w:space="1" w:color="438086" w:themeColor="accent2"/>
      </w:pBdr>
      <w:spacing w:before="360" w:after="80"/>
      <w:outlineLvl w:val="0"/>
    </w:pPr>
    <w:rPr>
      <w:rFonts w:asciiTheme="majorHAnsi" w:hAnsiTheme="majorHAnsi"/>
      <w:b/>
      <w:color w:val="438086" w:themeColor="accent2"/>
      <w:sz w:val="32"/>
      <w:szCs w:val="32"/>
    </w:rPr>
  </w:style>
  <w:style w:type="paragraph" w:styleId="Ttulo2">
    <w:name w:val="heading 2"/>
    <w:basedOn w:val="Normal"/>
    <w:next w:val="Normal"/>
    <w:link w:val="Ttulo2Car"/>
    <w:uiPriority w:val="9"/>
    <w:qFormat/>
    <w:rsid w:val="00AA2D83"/>
    <w:pPr>
      <w:spacing w:after="0"/>
      <w:outlineLvl w:val="1"/>
    </w:pPr>
    <w:rPr>
      <w:rFonts w:asciiTheme="majorHAnsi" w:hAnsiTheme="majorHAnsi"/>
      <w:b/>
      <w:color w:val="438086" w:themeColor="accent2"/>
      <w:sz w:val="28"/>
      <w:szCs w:val="28"/>
    </w:rPr>
  </w:style>
  <w:style w:type="paragraph" w:styleId="Ttulo3">
    <w:name w:val="heading 3"/>
    <w:basedOn w:val="Normal"/>
    <w:next w:val="Normal"/>
    <w:link w:val="Ttulo3Car"/>
    <w:uiPriority w:val="9"/>
    <w:qFormat/>
    <w:rsid w:val="00AA2D83"/>
    <w:pPr>
      <w:spacing w:after="0"/>
      <w:outlineLvl w:val="2"/>
    </w:pPr>
    <w:rPr>
      <w:rFonts w:asciiTheme="majorHAnsi" w:hAnsiTheme="majorHAnsi"/>
      <w:b/>
      <w:color w:val="438086" w:themeColor="accent2"/>
      <w:szCs w:val="24"/>
    </w:rPr>
  </w:style>
  <w:style w:type="paragraph" w:styleId="Ttulo4">
    <w:name w:val="heading 4"/>
    <w:basedOn w:val="Normal"/>
    <w:next w:val="Normal"/>
    <w:link w:val="Ttulo4Car"/>
    <w:uiPriority w:val="9"/>
    <w:unhideWhenUsed/>
    <w:qFormat/>
    <w:rsid w:val="00AA2D83"/>
    <w:pPr>
      <w:spacing w:after="0"/>
      <w:outlineLvl w:val="3"/>
    </w:pPr>
    <w:rPr>
      <w:rFonts w:asciiTheme="majorHAnsi" w:hAnsiTheme="majorHAnsi"/>
      <w:b/>
      <w:i/>
      <w:color w:val="438086" w:themeColor="accent2"/>
      <w:szCs w:val="22"/>
    </w:rPr>
  </w:style>
  <w:style w:type="paragraph" w:styleId="Ttulo5">
    <w:name w:val="heading 5"/>
    <w:basedOn w:val="Normal"/>
    <w:next w:val="Normal"/>
    <w:link w:val="Ttulo5Car"/>
    <w:uiPriority w:val="9"/>
    <w:semiHidden/>
    <w:unhideWhenUsed/>
    <w:qFormat/>
    <w:pPr>
      <w:spacing w:after="0"/>
      <w:outlineLvl w:val="4"/>
    </w:pPr>
    <w:rPr>
      <w:rFonts w:asciiTheme="majorHAnsi" w:hAnsiTheme="majorHAnsi"/>
      <w:b/>
      <w:color w:val="325F64" w:themeColor="accent2" w:themeShade="BF"/>
    </w:rPr>
  </w:style>
  <w:style w:type="paragraph" w:styleId="Ttulo6">
    <w:name w:val="heading 6"/>
    <w:basedOn w:val="Normal"/>
    <w:next w:val="Normal"/>
    <w:link w:val="Ttulo6Car"/>
    <w:uiPriority w:val="9"/>
    <w:semiHidden/>
    <w:unhideWhenUsed/>
    <w:qFormat/>
    <w:pPr>
      <w:spacing w:after="0"/>
      <w:outlineLvl w:val="5"/>
    </w:pPr>
    <w:rPr>
      <w:rFonts w:asciiTheme="majorHAnsi" w:hAnsiTheme="majorHAnsi"/>
      <w:b/>
      <w:i/>
      <w:color w:val="325F64" w:themeColor="accent2" w:themeShade="BF"/>
    </w:rPr>
  </w:style>
  <w:style w:type="paragraph" w:styleId="Ttulo7">
    <w:name w:val="heading 7"/>
    <w:basedOn w:val="Normal"/>
    <w:next w:val="Normal"/>
    <w:link w:val="Ttulo7Car"/>
    <w:uiPriority w:val="9"/>
    <w:semiHidden/>
    <w:unhideWhenUsed/>
    <w:qFormat/>
    <w:pPr>
      <w:spacing w:after="0"/>
      <w:outlineLvl w:val="6"/>
    </w:pPr>
    <w:rPr>
      <w:rFonts w:asciiTheme="majorHAnsi" w:hAnsiTheme="majorHAnsi"/>
      <w:b/>
      <w:color w:val="53548A" w:themeColor="accent1"/>
    </w:rPr>
  </w:style>
  <w:style w:type="paragraph" w:styleId="Ttulo8">
    <w:name w:val="heading 8"/>
    <w:basedOn w:val="Normal"/>
    <w:next w:val="Normal"/>
    <w:link w:val="Ttulo8Car"/>
    <w:uiPriority w:val="9"/>
    <w:semiHidden/>
    <w:unhideWhenUsed/>
    <w:qFormat/>
    <w:pPr>
      <w:spacing w:after="0"/>
      <w:outlineLvl w:val="7"/>
    </w:pPr>
    <w:rPr>
      <w:rFonts w:asciiTheme="majorHAnsi" w:hAnsiTheme="majorHAnsi"/>
      <w:b/>
      <w:i/>
      <w:color w:val="53548A" w:themeColor="accent1"/>
    </w:rPr>
  </w:style>
  <w:style w:type="paragraph" w:styleId="Ttulo9">
    <w:name w:val="heading 9"/>
    <w:basedOn w:val="Normal"/>
    <w:next w:val="Normal"/>
    <w:link w:val="Ttulo9Car"/>
    <w:uiPriority w:val="9"/>
    <w:semiHidden/>
    <w:unhideWhenUsed/>
    <w:qFormat/>
    <w:pPr>
      <w:spacing w:after="0"/>
      <w:outlineLvl w:val="8"/>
    </w:pPr>
    <w:rPr>
      <w:rFonts w:asciiTheme="majorHAnsi" w:hAnsiTheme="majorHAnsi"/>
      <w:b/>
      <w:color w:val="313240" w:themeColor="text2"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tulo">
    <w:name w:val="Title"/>
    <w:basedOn w:val="Normal"/>
    <w:link w:val="TtuloCar"/>
    <w:uiPriority w:val="10"/>
    <w:qFormat/>
    <w:pPr>
      <w:spacing w:before="400"/>
    </w:pPr>
    <w:rPr>
      <w:rFonts w:asciiTheme="majorHAnsi" w:hAnsiTheme="majorHAnsi"/>
      <w:color w:val="3E3E67" w:themeColor="accent1" w:themeShade="BF"/>
      <w:sz w:val="56"/>
      <w:szCs w:val="56"/>
    </w:rPr>
  </w:style>
  <w:style w:type="character" w:customStyle="1" w:styleId="TtuloCar">
    <w:name w:val="Título Car"/>
    <w:basedOn w:val="Fuentedeprrafopredeter"/>
    <w:link w:val="Ttulo"/>
    <w:uiPriority w:val="10"/>
    <w:rPr>
      <w:rFonts w:asciiTheme="majorHAnsi" w:hAnsiTheme="majorHAnsi"/>
      <w:color w:val="3E3E67" w:themeColor="accent1" w:themeShade="BF"/>
      <w:sz w:val="56"/>
      <w:szCs w:val="56"/>
    </w:rPr>
  </w:style>
  <w:style w:type="paragraph" w:styleId="Subttulo">
    <w:name w:val="Subtitle"/>
    <w:basedOn w:val="Normal"/>
    <w:link w:val="SubttuloCar"/>
    <w:uiPriority w:val="11"/>
    <w:qFormat/>
    <w:pPr>
      <w:spacing w:after="480"/>
    </w:pPr>
    <w:rPr>
      <w:i/>
      <w:color w:val="424456" w:themeColor="text2"/>
      <w:szCs w:val="24"/>
    </w:rPr>
  </w:style>
  <w:style w:type="character" w:customStyle="1" w:styleId="SubttuloCar">
    <w:name w:val="Subtítulo Car"/>
    <w:basedOn w:val="Fuentedeprrafopredeter"/>
    <w:link w:val="Subttulo"/>
    <w:uiPriority w:val="11"/>
    <w:rPr>
      <w:i/>
      <w:color w:val="424456" w:themeColor="text2"/>
      <w:sz w:val="24"/>
      <w:szCs w:val="24"/>
    </w:rPr>
  </w:style>
  <w:style w:type="character" w:styleId="nfasisintenso">
    <w:name w:val="Intense Emphasis"/>
    <w:basedOn w:val="Fuentedeprrafopredeter"/>
    <w:uiPriority w:val="21"/>
    <w:qFormat/>
    <w:rPr>
      <w:rFonts w:asciiTheme="minorHAnsi" w:hAnsiTheme="minorHAnsi" w:cstheme="minorBidi"/>
      <w:b/>
      <w:i/>
      <w:caps/>
      <w:color w:val="438086"/>
      <w:spacing w:val="5"/>
    </w:rPr>
  </w:style>
  <w:style w:type="character" w:customStyle="1" w:styleId="Ttulo1Car">
    <w:name w:val="Título 1 Car"/>
    <w:basedOn w:val="Fuentedeprrafopredeter"/>
    <w:link w:val="Ttulo1"/>
    <w:uiPriority w:val="9"/>
    <w:rsid w:val="00E719EF"/>
    <w:rPr>
      <w:rFonts w:asciiTheme="majorHAnsi" w:hAnsiTheme="majorHAnsi"/>
      <w:b/>
      <w:color w:val="438086" w:themeColor="accent2"/>
      <w:sz w:val="32"/>
      <w:szCs w:val="32"/>
    </w:rPr>
  </w:style>
  <w:style w:type="character" w:customStyle="1" w:styleId="Ttulo2Car">
    <w:name w:val="Título 2 Car"/>
    <w:basedOn w:val="Fuentedeprrafopredeter"/>
    <w:link w:val="Ttulo2"/>
    <w:uiPriority w:val="9"/>
    <w:rsid w:val="00AA2D83"/>
    <w:rPr>
      <w:rFonts w:asciiTheme="majorHAnsi" w:hAnsiTheme="majorHAnsi"/>
      <w:b/>
      <w:color w:val="438086" w:themeColor="accent2"/>
      <w:sz w:val="28"/>
      <w:szCs w:val="28"/>
    </w:rPr>
  </w:style>
  <w:style w:type="character" w:customStyle="1" w:styleId="Ttulo3Car">
    <w:name w:val="Título 3 Car"/>
    <w:basedOn w:val="Fuentedeprrafopredeter"/>
    <w:link w:val="Ttulo3"/>
    <w:uiPriority w:val="9"/>
    <w:rsid w:val="00AA2D83"/>
    <w:rPr>
      <w:rFonts w:asciiTheme="majorHAnsi" w:hAnsiTheme="majorHAnsi"/>
      <w:b/>
      <w:color w:val="438086" w:themeColor="accent2"/>
      <w:sz w:val="24"/>
      <w:szCs w:val="24"/>
    </w:rPr>
  </w:style>
  <w:style w:type="character" w:customStyle="1" w:styleId="Ttulo4Car">
    <w:name w:val="Título 4 Car"/>
    <w:basedOn w:val="Fuentedeprrafopredeter"/>
    <w:link w:val="Ttulo4"/>
    <w:uiPriority w:val="9"/>
    <w:rsid w:val="00AA2D83"/>
    <w:rPr>
      <w:rFonts w:asciiTheme="majorHAnsi" w:hAnsiTheme="majorHAnsi"/>
      <w:b/>
      <w:i/>
      <w:color w:val="438086" w:themeColor="accent2"/>
    </w:rPr>
  </w:style>
  <w:style w:type="character" w:customStyle="1" w:styleId="Ttulo5Car">
    <w:name w:val="Título 5 Car"/>
    <w:basedOn w:val="Fuentedeprrafopredeter"/>
    <w:link w:val="Ttulo5"/>
    <w:uiPriority w:val="9"/>
    <w:semiHidden/>
    <w:rPr>
      <w:rFonts w:asciiTheme="majorHAnsi" w:hAnsiTheme="majorHAnsi"/>
      <w:b/>
      <w:color w:val="325F64" w:themeColor="accent2" w:themeShade="BF"/>
      <w:sz w:val="20"/>
      <w:szCs w:val="20"/>
    </w:rPr>
  </w:style>
  <w:style w:type="character" w:customStyle="1" w:styleId="Ttulo6Car">
    <w:name w:val="Título 6 Car"/>
    <w:basedOn w:val="Fuentedeprrafopredeter"/>
    <w:link w:val="Ttulo6"/>
    <w:uiPriority w:val="9"/>
    <w:semiHidden/>
    <w:rPr>
      <w:rFonts w:asciiTheme="majorHAnsi" w:hAnsiTheme="majorHAnsi"/>
      <w:b/>
      <w:i/>
      <w:color w:val="325F64" w:themeColor="accent2" w:themeShade="BF"/>
      <w:sz w:val="20"/>
      <w:szCs w:val="20"/>
    </w:rPr>
  </w:style>
  <w:style w:type="character" w:customStyle="1" w:styleId="Ttulo7Car">
    <w:name w:val="Título 7 Car"/>
    <w:basedOn w:val="Fuentedeprrafopredeter"/>
    <w:link w:val="Ttulo7"/>
    <w:uiPriority w:val="9"/>
    <w:semiHidden/>
    <w:rPr>
      <w:rFonts w:asciiTheme="majorHAnsi" w:hAnsiTheme="majorHAnsi"/>
      <w:b/>
      <w:color w:val="53548A" w:themeColor="accent1"/>
      <w:sz w:val="20"/>
      <w:szCs w:val="20"/>
    </w:rPr>
  </w:style>
  <w:style w:type="character" w:customStyle="1" w:styleId="Ttulo8Car">
    <w:name w:val="Título 8 Car"/>
    <w:basedOn w:val="Fuentedeprrafopredeter"/>
    <w:link w:val="Ttulo8"/>
    <w:uiPriority w:val="9"/>
    <w:semiHidden/>
    <w:rPr>
      <w:rFonts w:asciiTheme="majorHAnsi" w:hAnsiTheme="majorHAnsi"/>
      <w:b/>
      <w:i/>
      <w:color w:val="53548A" w:themeColor="accent1"/>
      <w:sz w:val="20"/>
      <w:szCs w:val="20"/>
    </w:rPr>
  </w:style>
  <w:style w:type="character" w:customStyle="1" w:styleId="Ttulo9Car">
    <w:name w:val="Título 9 Car"/>
    <w:basedOn w:val="Fuentedeprrafopredeter"/>
    <w:link w:val="Ttulo9"/>
    <w:uiPriority w:val="9"/>
    <w:semiHidden/>
    <w:rPr>
      <w:rFonts w:asciiTheme="majorHAnsi" w:hAnsiTheme="majorHAnsi"/>
      <w:b/>
      <w:color w:val="313240" w:themeColor="text2" w:themeShade="BF"/>
      <w:sz w:val="20"/>
      <w:szCs w:val="20"/>
    </w:rPr>
  </w:style>
  <w:style w:type="character" w:styleId="Textoennegrita">
    <w:name w:val="Strong"/>
    <w:basedOn w:val="Fuentedeprrafopredeter"/>
    <w:uiPriority w:val="22"/>
    <w:qFormat/>
    <w:rPr>
      <w:b/>
      <w:bCs/>
    </w:rPr>
  </w:style>
  <w:style w:type="paragraph" w:styleId="Textodebloque">
    <w:name w:val="Block Text"/>
    <w:basedOn w:val="Normal"/>
    <w:uiPriority w:val="3"/>
    <w:semiHidden/>
    <w:unhideWhenUsed/>
    <w:pPr>
      <w:pBdr>
        <w:top w:val="single" w:sz="2" w:space="10" w:color="53548A" w:themeColor="accent1"/>
        <w:left w:val="single" w:sz="2" w:space="10" w:color="53548A" w:themeColor="accent1"/>
        <w:bottom w:val="single" w:sz="2" w:space="10" w:color="53548A" w:themeColor="accent1"/>
        <w:right w:val="single" w:sz="2" w:space="10" w:color="53548A" w:themeColor="accent1"/>
        <w:between w:val="single" w:sz="2" w:space="10" w:color="53548A" w:themeColor="accent1"/>
        <w:bar w:val="single" w:sz="2" w:color="53548A" w:themeColor="accent1"/>
      </w:pBdr>
      <w:ind w:left="1152" w:right="1152"/>
    </w:pPr>
    <w:rPr>
      <w:rFonts w:eastAsiaTheme="minorEastAsia"/>
      <w:i/>
      <w:iCs/>
      <w:color w:val="53548A" w:themeColor="accent1"/>
    </w:rPr>
  </w:style>
  <w:style w:type="character" w:styleId="nfasissutil">
    <w:name w:val="Subtle Emphasis"/>
    <w:basedOn w:val="Fuentedeprrafopredeter"/>
    <w:uiPriority w:val="19"/>
    <w:qFormat/>
    <w:rPr>
      <w:rFonts w:asciiTheme="minorHAnsi" w:hAnsiTheme="minorHAnsi"/>
      <w:i/>
      <w:color w:val="006666"/>
    </w:rPr>
  </w:style>
  <w:style w:type="character" w:styleId="Referenciaintensa">
    <w:name w:val="Intense Reference"/>
    <w:basedOn w:val="Fuentedeprrafopredeter"/>
    <w:uiPriority w:val="32"/>
    <w:qFormat/>
    <w:rPr>
      <w:rFonts w:asciiTheme="minorHAnsi" w:hAnsiTheme="minorHAnsi" w:cs="Times New Roman"/>
      <w:b/>
      <w:i/>
      <w:caps/>
      <w:color w:val="4E4F89"/>
      <w:spacing w:val="5"/>
    </w:rPr>
  </w:style>
  <w:style w:type="character" w:styleId="Referenciasutil">
    <w:name w:val="Subtle Reference"/>
    <w:basedOn w:val="Fuentedeprrafopredeter"/>
    <w:uiPriority w:val="31"/>
    <w:qFormat/>
    <w:rPr>
      <w:rFonts w:cs="Times New Roman"/>
      <w:i/>
      <w:color w:val="4E4F89"/>
    </w:rPr>
  </w:style>
  <w:style w:type="character" w:styleId="nfasis">
    <w:name w:val="Emphasis"/>
    <w:uiPriority w:val="20"/>
    <w:qFormat/>
    <w:rPr>
      <w:rFonts w:asciiTheme="minorHAnsi" w:hAnsiTheme="minorHAnsi"/>
      <w:b/>
      <w:color w:val="438086" w:themeColor="accent2"/>
      <w:spacing w:val="10"/>
    </w:rPr>
  </w:style>
  <w:style w:type="character" w:styleId="Ttulodellibro">
    <w:name w:val="Book Title"/>
    <w:basedOn w:val="Fuentedeprrafopredeter"/>
    <w:uiPriority w:val="33"/>
    <w:qFormat/>
    <w:rPr>
      <w:rFonts w:ascii="Cambria" w:hAnsi="Cambria" w:cs="Times New Roman"/>
      <w:i/>
      <w:color w:val="000000"/>
      <w:sz w:val="20"/>
      <w:szCs w:val="20"/>
    </w:rPr>
  </w:style>
  <w:style w:type="paragraph" w:styleId="Encabezado">
    <w:name w:val="header"/>
    <w:basedOn w:val="Normal"/>
    <w:link w:val="EncabezadoCar"/>
    <w:uiPriority w:val="99"/>
    <w:unhideWhenUsed/>
    <w:pPr>
      <w:tabs>
        <w:tab w:val="center" w:pos="4320"/>
        <w:tab w:val="right" w:pos="8640"/>
      </w:tabs>
    </w:pPr>
  </w:style>
  <w:style w:type="character" w:customStyle="1" w:styleId="EncabezadoCar">
    <w:name w:val="Encabezado Car"/>
    <w:basedOn w:val="Fuentedeprrafopredeter"/>
    <w:link w:val="Encabezado"/>
    <w:uiPriority w:val="99"/>
    <w:rPr>
      <w:sz w:val="20"/>
      <w:szCs w:val="20"/>
    </w:rPr>
  </w:style>
  <w:style w:type="paragraph" w:styleId="Piedepgina">
    <w:name w:val="footer"/>
    <w:basedOn w:val="Normal"/>
    <w:link w:val="PiedepginaCar"/>
    <w:uiPriority w:val="99"/>
    <w:unhideWhenUsed/>
    <w:pPr>
      <w:tabs>
        <w:tab w:val="center" w:pos="4320"/>
        <w:tab w:val="right" w:pos="8640"/>
      </w:tabs>
    </w:pPr>
  </w:style>
  <w:style w:type="character" w:customStyle="1" w:styleId="PiedepginaCar">
    <w:name w:val="Pie de página Car"/>
    <w:basedOn w:val="Fuentedeprrafopredeter"/>
    <w:link w:val="Piedepgina"/>
    <w:uiPriority w:val="99"/>
    <w:rPr>
      <w:sz w:val="20"/>
      <w:szCs w:val="20"/>
    </w:rPr>
  </w:style>
  <w:style w:type="paragraph" w:styleId="Sangranormal">
    <w:name w:val="Normal Indent"/>
    <w:basedOn w:val="Normal"/>
    <w:uiPriority w:val="99"/>
    <w:unhideWhenUsed/>
    <w:pPr>
      <w:ind w:left="720"/>
      <w:contextualSpacing/>
    </w:pPr>
  </w:style>
  <w:style w:type="paragraph" w:styleId="Citadestacada">
    <w:name w:val="Intense Quote"/>
    <w:basedOn w:val="Normal"/>
    <w:uiPriority w:val="30"/>
    <w:qFormat/>
    <w:pPr>
      <w:pBdr>
        <w:top w:val="threeDEngrave" w:sz="6" w:space="10" w:color="438086" w:themeColor="accent2"/>
        <w:bottom w:val="single" w:sz="4" w:space="10" w:color="438086" w:themeColor="accent2"/>
      </w:pBdr>
      <w:spacing w:before="360" w:after="360" w:line="324" w:lineRule="auto"/>
      <w:ind w:left="1080" w:right="1080"/>
    </w:pPr>
    <w:rPr>
      <w:i/>
      <w:color w:val="438086" w:themeColor="accent2"/>
      <w:szCs w:val="22"/>
    </w:rPr>
  </w:style>
  <w:style w:type="numbering" w:customStyle="1" w:styleId="Listaconvietasurbana">
    <w:name w:val="Lista con viñetas urbana"/>
    <w:uiPriority w:val="99"/>
    <w:pPr>
      <w:numPr>
        <w:numId w:val="17"/>
      </w:numPr>
    </w:pPr>
  </w:style>
  <w:style w:type="numbering" w:customStyle="1" w:styleId="Listanumeradaurbana">
    <w:name w:val="Lista numerada urbana"/>
    <w:uiPriority w:val="99"/>
    <w:pPr>
      <w:numPr>
        <w:numId w:val="22"/>
      </w:numPr>
    </w:pPr>
  </w:style>
  <w:style w:type="paragraph" w:styleId="Prrafodelista">
    <w:name w:val="List Paragraph"/>
    <w:basedOn w:val="Normal"/>
    <w:uiPriority w:val="34"/>
    <w:unhideWhenUsed/>
    <w:qFormat/>
    <w:pPr>
      <w:ind w:left="720"/>
      <w:contextualSpacing/>
    </w:pPr>
  </w:style>
  <w:style w:type="paragraph" w:styleId="Sinespaciado">
    <w:name w:val="No Spacing"/>
    <w:basedOn w:val="Normal"/>
    <w:uiPriority w:val="1"/>
    <w:qFormat/>
    <w:pPr>
      <w:spacing w:after="0" w:line="240" w:lineRule="auto"/>
    </w:pPr>
    <w:rPr>
      <w:szCs w:val="32"/>
    </w:rPr>
  </w:style>
  <w:style w:type="character" w:styleId="Textodelmarcadordeposicin">
    <w:name w:val="Placeholder Text"/>
    <w:basedOn w:val="Fuentedeprrafopredeter"/>
    <w:uiPriority w:val="99"/>
    <w:unhideWhenUsed/>
    <w:rPr>
      <w:color w:val="80808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customStyle="1" w:styleId="Vieta1">
    <w:name w:val="Viñeta 1"/>
    <w:basedOn w:val="Prrafodelista"/>
    <w:uiPriority w:val="38"/>
    <w:qFormat/>
    <w:pPr>
      <w:numPr>
        <w:numId w:val="38"/>
      </w:numPr>
      <w:spacing w:after="0"/>
    </w:pPr>
  </w:style>
  <w:style w:type="paragraph" w:customStyle="1" w:styleId="Vieta2">
    <w:name w:val="Viñeta 2"/>
    <w:basedOn w:val="Prrafodelista"/>
    <w:uiPriority w:val="38"/>
    <w:qFormat/>
    <w:pPr>
      <w:numPr>
        <w:ilvl w:val="1"/>
        <w:numId w:val="38"/>
      </w:numPr>
      <w:spacing w:after="0"/>
    </w:pPr>
  </w:style>
  <w:style w:type="paragraph" w:customStyle="1" w:styleId="Vieta3">
    <w:name w:val="Viñeta 3"/>
    <w:basedOn w:val="Prrafodelista"/>
    <w:uiPriority w:val="38"/>
    <w:qFormat/>
    <w:pPr>
      <w:numPr>
        <w:ilvl w:val="2"/>
        <w:numId w:val="38"/>
      </w:numPr>
      <w:spacing w:after="0"/>
    </w:pPr>
  </w:style>
  <w:style w:type="paragraph" w:customStyle="1" w:styleId="MarcadorDePosicinPredeterminadoAsunto10">
    <w:name w:val="MarcadorDePosiciónPredeterminado_Asunto10"/>
    <w:uiPriority w:val="39"/>
    <w:rPr>
      <w:i/>
      <w:color w:val="424456" w:themeColor="text2"/>
      <w:sz w:val="24"/>
      <w:szCs w:val="24"/>
    </w:rPr>
  </w:style>
  <w:style w:type="paragraph" w:customStyle="1" w:styleId="Encabezadopar">
    <w:name w:val="Encabezado par"/>
    <w:basedOn w:val="Encabezado"/>
    <w:uiPriority w:val="39"/>
    <w:pPr>
      <w:pBdr>
        <w:bottom w:val="single" w:sz="4" w:space="1" w:color="auto"/>
      </w:pBdr>
    </w:pPr>
  </w:style>
  <w:style w:type="paragraph" w:customStyle="1" w:styleId="Encabezadoimpar">
    <w:name w:val="Encabezado impar"/>
    <w:basedOn w:val="Encabezado"/>
    <w:uiPriority w:val="39"/>
    <w:pPr>
      <w:pBdr>
        <w:bottom w:val="single" w:sz="4" w:space="1" w:color="auto"/>
      </w:pBdr>
      <w:jc w:val="right"/>
    </w:pPr>
  </w:style>
  <w:style w:type="paragraph" w:customStyle="1" w:styleId="Categora">
    <w:name w:val="Categoría"/>
    <w:basedOn w:val="Normal"/>
    <w:uiPriority w:val="39"/>
    <w:qFormat/>
    <w:pPr>
      <w:framePr w:hSpace="187" w:wrap="around" w:hAnchor="margin" w:xAlign="center" w:y="721"/>
      <w:spacing w:after="0" w:line="240" w:lineRule="auto"/>
    </w:pPr>
    <w:rPr>
      <w:caps/>
      <w:szCs w:val="22"/>
    </w:rPr>
  </w:style>
  <w:style w:type="paragraph" w:customStyle="1" w:styleId="Comentarios">
    <w:name w:val="Comentarios"/>
    <w:basedOn w:val="Normal"/>
    <w:uiPriority w:val="39"/>
    <w:qFormat/>
    <w:pPr>
      <w:spacing w:after="120" w:line="240" w:lineRule="auto"/>
    </w:pPr>
    <w:rPr>
      <w:b/>
      <w:szCs w:val="22"/>
    </w:rPr>
  </w:style>
  <w:style w:type="paragraph" w:customStyle="1" w:styleId="Textodecomentarios">
    <w:name w:val="Texto de comentarios"/>
    <w:basedOn w:val="Normal"/>
    <w:uiPriority w:val="39"/>
    <w:qFormat/>
    <w:pPr>
      <w:spacing w:after="120" w:line="288" w:lineRule="auto"/>
    </w:pPr>
    <w:rPr>
      <w:szCs w:val="22"/>
    </w:rPr>
  </w:style>
  <w:style w:type="character" w:styleId="Hipervnculo">
    <w:name w:val="Hyperlink"/>
    <w:basedOn w:val="Fuentedeprrafopredeter"/>
    <w:uiPriority w:val="99"/>
    <w:unhideWhenUsed/>
    <w:rPr>
      <w:color w:val="67AFBD" w:themeColor="hyperlink"/>
      <w:u w:val="single"/>
    </w:rPr>
  </w:style>
  <w:style w:type="paragraph" w:styleId="TDC1">
    <w:name w:val="toc 1"/>
    <w:basedOn w:val="Normal"/>
    <w:next w:val="Normal"/>
    <w:autoRedefine/>
    <w:uiPriority w:val="39"/>
    <w:unhideWhenUsed/>
    <w:qFormat/>
    <w:rPr>
      <w:rFonts w:eastAsiaTheme="minorEastAsia"/>
      <w:szCs w:val="24"/>
    </w:rPr>
  </w:style>
  <w:style w:type="paragraph" w:styleId="TDC2">
    <w:name w:val="toc 2"/>
    <w:basedOn w:val="Normal"/>
    <w:next w:val="Normal"/>
    <w:autoRedefine/>
    <w:uiPriority w:val="39"/>
    <w:unhideWhenUsed/>
    <w:qFormat/>
    <w:pPr>
      <w:ind w:left="240"/>
    </w:pPr>
    <w:rPr>
      <w:rFonts w:eastAsiaTheme="minorEastAsia"/>
      <w:szCs w:val="24"/>
    </w:rPr>
  </w:style>
  <w:style w:type="paragraph" w:styleId="TDC3">
    <w:name w:val="toc 3"/>
    <w:basedOn w:val="Normal"/>
    <w:next w:val="Normal"/>
    <w:autoRedefine/>
    <w:uiPriority w:val="39"/>
    <w:unhideWhenUsed/>
    <w:qFormat/>
    <w:pPr>
      <w:spacing w:after="100"/>
      <w:ind w:left="400"/>
    </w:pPr>
  </w:style>
  <w:style w:type="paragraph" w:styleId="Epgrafe">
    <w:name w:val="caption"/>
    <w:basedOn w:val="Normal"/>
    <w:next w:val="Normal"/>
    <w:uiPriority w:val="35"/>
    <w:unhideWhenUsed/>
    <w:qFormat/>
    <w:pPr>
      <w:spacing w:line="240" w:lineRule="auto"/>
    </w:pPr>
    <w:rPr>
      <w:b/>
      <w:bCs/>
      <w:color w:val="53548A" w:themeColor="accent1"/>
      <w:sz w:val="18"/>
      <w:szCs w:val="18"/>
    </w:rPr>
  </w:style>
  <w:style w:type="paragraph" w:styleId="Textonotapie">
    <w:name w:val="footnote text"/>
    <w:basedOn w:val="Normal"/>
    <w:link w:val="TextonotapieCar"/>
    <w:uiPriority w:val="99"/>
    <w:semiHidden/>
    <w:unhideWhenUsed/>
    <w:rsid w:val="00E1322B"/>
    <w:pPr>
      <w:spacing w:after="0" w:line="240" w:lineRule="auto"/>
    </w:pPr>
    <w:rPr>
      <w:sz w:val="20"/>
    </w:rPr>
  </w:style>
  <w:style w:type="character" w:customStyle="1" w:styleId="TextonotapieCar">
    <w:name w:val="Texto nota pie Car"/>
    <w:basedOn w:val="Fuentedeprrafopredeter"/>
    <w:link w:val="Textonotapie"/>
    <w:uiPriority w:val="99"/>
    <w:semiHidden/>
    <w:rsid w:val="00E1322B"/>
    <w:rPr>
      <w:rFonts w:ascii="Century Gothic" w:hAnsi="Century Gothic"/>
      <w:sz w:val="20"/>
      <w:szCs w:val="20"/>
    </w:rPr>
  </w:style>
  <w:style w:type="character" w:styleId="Refdenotaalpie">
    <w:name w:val="footnote reference"/>
    <w:basedOn w:val="Fuentedeprrafopredeter"/>
    <w:uiPriority w:val="99"/>
    <w:semiHidden/>
    <w:unhideWhenUsed/>
    <w:rsid w:val="00E1322B"/>
    <w:rPr>
      <w:vertAlign w:val="superscript"/>
    </w:rPr>
  </w:style>
  <w:style w:type="paragraph" w:styleId="TtulodeTDC">
    <w:name w:val="TOC Heading"/>
    <w:basedOn w:val="Ttulo1"/>
    <w:next w:val="Normal"/>
    <w:uiPriority w:val="39"/>
    <w:semiHidden/>
    <w:unhideWhenUsed/>
    <w:qFormat/>
    <w:rsid w:val="00E924EF"/>
    <w:pPr>
      <w:keepNext/>
      <w:keepLines/>
      <w:pBdr>
        <w:bottom w:val="none" w:sz="0" w:space="0" w:color="auto"/>
      </w:pBdr>
      <w:spacing w:before="480" w:after="0"/>
      <w:jc w:val="left"/>
      <w:outlineLvl w:val="9"/>
    </w:pPr>
    <w:rPr>
      <w:rFonts w:eastAsiaTheme="majorEastAsia" w:cstheme="majorBidi"/>
      <w:bCs/>
      <w:color w:val="3E3E67" w:themeColor="accent1" w:themeShade="BF"/>
      <w:sz w:val="28"/>
      <w:szCs w:val="28"/>
    </w:rPr>
  </w:style>
  <w:style w:type="paragraph" w:styleId="Tabladeilustraciones">
    <w:name w:val="table of figures"/>
    <w:basedOn w:val="Normal"/>
    <w:next w:val="Normal"/>
    <w:uiPriority w:val="99"/>
    <w:unhideWhenUsed/>
    <w:rsid w:val="00E924EF"/>
    <w:pPr>
      <w:spacing w:after="0"/>
      <w:ind w:left="440" w:hanging="440"/>
      <w:jc w:val="left"/>
    </w:pPr>
    <w:rPr>
      <w:rFonts w:asciiTheme="minorHAnsi" w:hAnsiTheme="minorHAnsi"/>
      <w:b/>
      <w:bCs/>
      <w:sz w:val="20"/>
    </w:rPr>
  </w:style>
  <w:style w:type="table" w:styleId="Listavistosa-nfasis2">
    <w:name w:val="Colorful List Accent 2"/>
    <w:basedOn w:val="Tablanormal"/>
    <w:uiPriority w:val="42"/>
    <w:rsid w:val="0008061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AF4F5" w:themeFill="accent2" w:themeFillTint="19"/>
    </w:tcPr>
    <w:tblStylePr w:type="firstRow">
      <w:rPr>
        <w:b/>
        <w:bCs/>
        <w:color w:val="FFFFFF" w:themeColor="background1"/>
      </w:rPr>
      <w:tblPr/>
      <w:tcPr>
        <w:tcBorders>
          <w:bottom w:val="single" w:sz="12" w:space="0" w:color="FFFFFF" w:themeColor="background1"/>
        </w:tcBorders>
        <w:shd w:val="clear" w:color="auto" w:fill="35666B" w:themeFill="accent2" w:themeFillShade="CC"/>
      </w:tcPr>
    </w:tblStylePr>
    <w:tblStylePr w:type="lastRow">
      <w:rPr>
        <w:b/>
        <w:bCs/>
        <w:color w:val="3566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3E5" w:themeFill="accent2" w:themeFillTint="3F"/>
      </w:tcPr>
    </w:tblStylePr>
    <w:tblStylePr w:type="band1Horz">
      <w:tblPr/>
      <w:tcPr>
        <w:shd w:val="clear" w:color="auto" w:fill="D5E8EA" w:themeFill="accent2" w:themeFillTint="33"/>
      </w:tcPr>
    </w:tblStylePr>
  </w:style>
  <w:style w:type="table" w:customStyle="1" w:styleId="Tablaconcuadrcula1">
    <w:name w:val="Tabla con cuadrícula1"/>
    <w:basedOn w:val="Tablanormal"/>
    <w:next w:val="Tablaconcuadrcula"/>
    <w:uiPriority w:val="59"/>
    <w:rsid w:val="00F931F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1D364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535CD6"/>
    <w:rPr>
      <w:sz w:val="16"/>
      <w:szCs w:val="16"/>
    </w:rPr>
  </w:style>
  <w:style w:type="paragraph" w:styleId="Textocomentario">
    <w:name w:val="annotation text"/>
    <w:basedOn w:val="Normal"/>
    <w:link w:val="TextocomentarioCar"/>
    <w:uiPriority w:val="99"/>
    <w:semiHidden/>
    <w:unhideWhenUsed/>
    <w:rsid w:val="00535CD6"/>
    <w:pPr>
      <w:spacing w:line="240" w:lineRule="auto"/>
    </w:pPr>
    <w:rPr>
      <w:sz w:val="20"/>
    </w:rPr>
  </w:style>
  <w:style w:type="character" w:customStyle="1" w:styleId="TextocomentarioCar">
    <w:name w:val="Texto comentario Car"/>
    <w:basedOn w:val="Fuentedeprrafopredeter"/>
    <w:link w:val="Textocomentario"/>
    <w:uiPriority w:val="99"/>
    <w:semiHidden/>
    <w:rsid w:val="00535CD6"/>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535CD6"/>
    <w:rPr>
      <w:b/>
      <w:bCs/>
    </w:rPr>
  </w:style>
  <w:style w:type="character" w:customStyle="1" w:styleId="AsuntodelcomentarioCar">
    <w:name w:val="Asunto del comentario Car"/>
    <w:basedOn w:val="TextocomentarioCar"/>
    <w:link w:val="Asuntodelcomentario"/>
    <w:uiPriority w:val="99"/>
    <w:semiHidden/>
    <w:rsid w:val="00535CD6"/>
    <w:rPr>
      <w:rFonts w:ascii="Century Gothic" w:hAnsi="Century Gothic"/>
      <w:b/>
      <w:bCs/>
      <w:sz w:val="20"/>
      <w:szCs w:val="20"/>
    </w:rPr>
  </w:style>
  <w:style w:type="paragraph" w:styleId="Listaconvietas">
    <w:name w:val="List Bullet"/>
    <w:basedOn w:val="Normal"/>
    <w:uiPriority w:val="99"/>
    <w:unhideWhenUsed/>
    <w:rsid w:val="00D74601"/>
    <w:pPr>
      <w:numPr>
        <w:numId w:val="1"/>
      </w:numPr>
      <w:contextualSpacing/>
    </w:pPr>
  </w:style>
  <w:style w:type="table" w:styleId="Listaclara-nfasis2">
    <w:name w:val="Light List Accent 2"/>
    <w:basedOn w:val="Tablanormal"/>
    <w:uiPriority w:val="42"/>
    <w:rsid w:val="00141DBA"/>
    <w:pPr>
      <w:spacing w:after="0" w:line="240" w:lineRule="auto"/>
    </w:pPr>
    <w:tblPr>
      <w:tblStyleRowBandSize w:val="1"/>
      <w:tblStyleColBandSize w:val="1"/>
      <w:tblInd w:w="0" w:type="dxa"/>
      <w:tblBorders>
        <w:top w:val="single" w:sz="8" w:space="0" w:color="438086" w:themeColor="accent2"/>
        <w:left w:val="single" w:sz="8" w:space="0" w:color="438086" w:themeColor="accent2"/>
        <w:bottom w:val="single" w:sz="8" w:space="0" w:color="438086" w:themeColor="accent2"/>
        <w:right w:val="single" w:sz="8" w:space="0" w:color="43808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38086" w:themeFill="accent2"/>
      </w:tcPr>
    </w:tblStylePr>
    <w:tblStylePr w:type="lastRow">
      <w:pPr>
        <w:spacing w:before="0" w:after="0" w:line="240" w:lineRule="auto"/>
      </w:pPr>
      <w:rPr>
        <w:b/>
        <w:bCs/>
      </w:rPr>
      <w:tblPr/>
      <w:tcPr>
        <w:tcBorders>
          <w:top w:val="double" w:sz="6" w:space="0" w:color="438086" w:themeColor="accent2"/>
          <w:left w:val="single" w:sz="8" w:space="0" w:color="438086" w:themeColor="accent2"/>
          <w:bottom w:val="single" w:sz="8" w:space="0" w:color="438086" w:themeColor="accent2"/>
          <w:right w:val="single" w:sz="8" w:space="0" w:color="438086" w:themeColor="accent2"/>
        </w:tcBorders>
      </w:tcPr>
    </w:tblStylePr>
    <w:tblStylePr w:type="firstCol">
      <w:rPr>
        <w:b/>
        <w:bCs/>
      </w:rPr>
    </w:tblStylePr>
    <w:tblStylePr w:type="lastCol">
      <w:rPr>
        <w:b/>
        <w:bCs/>
      </w:rPr>
    </w:tblStylePr>
    <w:tblStylePr w:type="band1Vert">
      <w:tblPr/>
      <w:tcPr>
        <w:tcBorders>
          <w:top w:val="single" w:sz="8" w:space="0" w:color="438086" w:themeColor="accent2"/>
          <w:left w:val="single" w:sz="8" w:space="0" w:color="438086" w:themeColor="accent2"/>
          <w:bottom w:val="single" w:sz="8" w:space="0" w:color="438086" w:themeColor="accent2"/>
          <w:right w:val="single" w:sz="8" w:space="0" w:color="438086" w:themeColor="accent2"/>
        </w:tcBorders>
      </w:tcPr>
    </w:tblStylePr>
    <w:tblStylePr w:type="band1Horz">
      <w:tblPr/>
      <w:tcPr>
        <w:tcBorders>
          <w:top w:val="single" w:sz="8" w:space="0" w:color="438086" w:themeColor="accent2"/>
          <w:left w:val="single" w:sz="8" w:space="0" w:color="438086" w:themeColor="accent2"/>
          <w:bottom w:val="single" w:sz="8" w:space="0" w:color="438086" w:themeColor="accent2"/>
          <w:right w:val="single" w:sz="8" w:space="0" w:color="438086" w:themeColor="accent2"/>
        </w:tcBorders>
      </w:tcPr>
    </w:tblStylePr>
  </w:style>
  <w:style w:type="table" w:styleId="Cuadrculamedia3-nfasis2">
    <w:name w:val="Medium Grid 3 Accent 2"/>
    <w:basedOn w:val="Tablanormal"/>
    <w:uiPriority w:val="42"/>
    <w:rsid w:val="00FC41D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BE3E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3808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3808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3808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3808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C7C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C7CB" w:themeFill="accent2"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semiHidden="0" w:uiPriority="3" w:unhideWhenUsed="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Revision" w:uiPriority="0"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FCC"/>
    <w:pPr>
      <w:jc w:val="both"/>
    </w:pPr>
    <w:rPr>
      <w:rFonts w:ascii="Century Gothic" w:hAnsi="Century Gothic"/>
      <w:szCs w:val="20"/>
    </w:rPr>
  </w:style>
  <w:style w:type="paragraph" w:styleId="Ttulo1">
    <w:name w:val="heading 1"/>
    <w:basedOn w:val="Normal"/>
    <w:next w:val="Normal"/>
    <w:link w:val="Ttulo1Car"/>
    <w:uiPriority w:val="9"/>
    <w:qFormat/>
    <w:rsid w:val="00E719EF"/>
    <w:pPr>
      <w:pBdr>
        <w:bottom w:val="single" w:sz="4" w:space="1" w:color="438086" w:themeColor="accent2"/>
      </w:pBdr>
      <w:spacing w:before="360" w:after="80"/>
      <w:outlineLvl w:val="0"/>
    </w:pPr>
    <w:rPr>
      <w:rFonts w:asciiTheme="majorHAnsi" w:hAnsiTheme="majorHAnsi"/>
      <w:b/>
      <w:color w:val="438086" w:themeColor="accent2"/>
      <w:sz w:val="32"/>
      <w:szCs w:val="32"/>
    </w:rPr>
  </w:style>
  <w:style w:type="paragraph" w:styleId="Ttulo2">
    <w:name w:val="heading 2"/>
    <w:basedOn w:val="Normal"/>
    <w:next w:val="Normal"/>
    <w:link w:val="Ttulo2Car"/>
    <w:uiPriority w:val="9"/>
    <w:qFormat/>
    <w:rsid w:val="00AA2D83"/>
    <w:pPr>
      <w:spacing w:after="0"/>
      <w:outlineLvl w:val="1"/>
    </w:pPr>
    <w:rPr>
      <w:rFonts w:asciiTheme="majorHAnsi" w:hAnsiTheme="majorHAnsi"/>
      <w:b/>
      <w:color w:val="438086" w:themeColor="accent2"/>
      <w:sz w:val="28"/>
      <w:szCs w:val="28"/>
    </w:rPr>
  </w:style>
  <w:style w:type="paragraph" w:styleId="Ttulo3">
    <w:name w:val="heading 3"/>
    <w:basedOn w:val="Normal"/>
    <w:next w:val="Normal"/>
    <w:link w:val="Ttulo3Car"/>
    <w:uiPriority w:val="9"/>
    <w:qFormat/>
    <w:rsid w:val="00AA2D83"/>
    <w:pPr>
      <w:spacing w:after="0"/>
      <w:outlineLvl w:val="2"/>
    </w:pPr>
    <w:rPr>
      <w:rFonts w:asciiTheme="majorHAnsi" w:hAnsiTheme="majorHAnsi"/>
      <w:b/>
      <w:color w:val="438086" w:themeColor="accent2"/>
      <w:szCs w:val="24"/>
    </w:rPr>
  </w:style>
  <w:style w:type="paragraph" w:styleId="Ttulo4">
    <w:name w:val="heading 4"/>
    <w:basedOn w:val="Normal"/>
    <w:next w:val="Normal"/>
    <w:link w:val="Ttulo4Car"/>
    <w:uiPriority w:val="9"/>
    <w:unhideWhenUsed/>
    <w:qFormat/>
    <w:rsid w:val="00AA2D83"/>
    <w:pPr>
      <w:spacing w:after="0"/>
      <w:outlineLvl w:val="3"/>
    </w:pPr>
    <w:rPr>
      <w:rFonts w:asciiTheme="majorHAnsi" w:hAnsiTheme="majorHAnsi"/>
      <w:b/>
      <w:i/>
      <w:color w:val="438086" w:themeColor="accent2"/>
      <w:szCs w:val="22"/>
    </w:rPr>
  </w:style>
  <w:style w:type="paragraph" w:styleId="Ttulo5">
    <w:name w:val="heading 5"/>
    <w:basedOn w:val="Normal"/>
    <w:next w:val="Normal"/>
    <w:link w:val="Ttulo5Car"/>
    <w:uiPriority w:val="9"/>
    <w:semiHidden/>
    <w:unhideWhenUsed/>
    <w:qFormat/>
    <w:pPr>
      <w:spacing w:after="0"/>
      <w:outlineLvl w:val="4"/>
    </w:pPr>
    <w:rPr>
      <w:rFonts w:asciiTheme="majorHAnsi" w:hAnsiTheme="majorHAnsi"/>
      <w:b/>
      <w:color w:val="325F64" w:themeColor="accent2" w:themeShade="BF"/>
    </w:rPr>
  </w:style>
  <w:style w:type="paragraph" w:styleId="Ttulo6">
    <w:name w:val="heading 6"/>
    <w:basedOn w:val="Normal"/>
    <w:next w:val="Normal"/>
    <w:link w:val="Ttulo6Car"/>
    <w:uiPriority w:val="9"/>
    <w:semiHidden/>
    <w:unhideWhenUsed/>
    <w:qFormat/>
    <w:pPr>
      <w:spacing w:after="0"/>
      <w:outlineLvl w:val="5"/>
    </w:pPr>
    <w:rPr>
      <w:rFonts w:asciiTheme="majorHAnsi" w:hAnsiTheme="majorHAnsi"/>
      <w:b/>
      <w:i/>
      <w:color w:val="325F64" w:themeColor="accent2" w:themeShade="BF"/>
    </w:rPr>
  </w:style>
  <w:style w:type="paragraph" w:styleId="Ttulo7">
    <w:name w:val="heading 7"/>
    <w:basedOn w:val="Normal"/>
    <w:next w:val="Normal"/>
    <w:link w:val="Ttulo7Car"/>
    <w:uiPriority w:val="9"/>
    <w:semiHidden/>
    <w:unhideWhenUsed/>
    <w:qFormat/>
    <w:pPr>
      <w:spacing w:after="0"/>
      <w:outlineLvl w:val="6"/>
    </w:pPr>
    <w:rPr>
      <w:rFonts w:asciiTheme="majorHAnsi" w:hAnsiTheme="majorHAnsi"/>
      <w:b/>
      <w:color w:val="53548A" w:themeColor="accent1"/>
    </w:rPr>
  </w:style>
  <w:style w:type="paragraph" w:styleId="Ttulo8">
    <w:name w:val="heading 8"/>
    <w:basedOn w:val="Normal"/>
    <w:next w:val="Normal"/>
    <w:link w:val="Ttulo8Car"/>
    <w:uiPriority w:val="9"/>
    <w:semiHidden/>
    <w:unhideWhenUsed/>
    <w:qFormat/>
    <w:pPr>
      <w:spacing w:after="0"/>
      <w:outlineLvl w:val="7"/>
    </w:pPr>
    <w:rPr>
      <w:rFonts w:asciiTheme="majorHAnsi" w:hAnsiTheme="majorHAnsi"/>
      <w:b/>
      <w:i/>
      <w:color w:val="53548A" w:themeColor="accent1"/>
    </w:rPr>
  </w:style>
  <w:style w:type="paragraph" w:styleId="Ttulo9">
    <w:name w:val="heading 9"/>
    <w:basedOn w:val="Normal"/>
    <w:next w:val="Normal"/>
    <w:link w:val="Ttulo9Car"/>
    <w:uiPriority w:val="9"/>
    <w:semiHidden/>
    <w:unhideWhenUsed/>
    <w:qFormat/>
    <w:pPr>
      <w:spacing w:after="0"/>
      <w:outlineLvl w:val="8"/>
    </w:pPr>
    <w:rPr>
      <w:rFonts w:asciiTheme="majorHAnsi" w:hAnsiTheme="majorHAnsi"/>
      <w:b/>
      <w:color w:val="313240" w:themeColor="text2"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tulo">
    <w:name w:val="Title"/>
    <w:basedOn w:val="Normal"/>
    <w:link w:val="TtuloCar"/>
    <w:uiPriority w:val="10"/>
    <w:qFormat/>
    <w:pPr>
      <w:spacing w:before="400"/>
    </w:pPr>
    <w:rPr>
      <w:rFonts w:asciiTheme="majorHAnsi" w:hAnsiTheme="majorHAnsi"/>
      <w:color w:val="3E3E67" w:themeColor="accent1" w:themeShade="BF"/>
      <w:sz w:val="56"/>
      <w:szCs w:val="56"/>
    </w:rPr>
  </w:style>
  <w:style w:type="character" w:customStyle="1" w:styleId="TtuloCar">
    <w:name w:val="Título Car"/>
    <w:basedOn w:val="Fuentedeprrafopredeter"/>
    <w:link w:val="Ttulo"/>
    <w:uiPriority w:val="10"/>
    <w:rPr>
      <w:rFonts w:asciiTheme="majorHAnsi" w:hAnsiTheme="majorHAnsi"/>
      <w:color w:val="3E3E67" w:themeColor="accent1" w:themeShade="BF"/>
      <w:sz w:val="56"/>
      <w:szCs w:val="56"/>
    </w:rPr>
  </w:style>
  <w:style w:type="paragraph" w:styleId="Subttulo">
    <w:name w:val="Subtitle"/>
    <w:basedOn w:val="Normal"/>
    <w:link w:val="SubttuloCar"/>
    <w:uiPriority w:val="11"/>
    <w:qFormat/>
    <w:pPr>
      <w:spacing w:after="480"/>
    </w:pPr>
    <w:rPr>
      <w:i/>
      <w:color w:val="424456" w:themeColor="text2"/>
      <w:szCs w:val="24"/>
    </w:rPr>
  </w:style>
  <w:style w:type="character" w:customStyle="1" w:styleId="SubttuloCar">
    <w:name w:val="Subtítulo Car"/>
    <w:basedOn w:val="Fuentedeprrafopredeter"/>
    <w:link w:val="Subttulo"/>
    <w:uiPriority w:val="11"/>
    <w:rPr>
      <w:i/>
      <w:color w:val="424456" w:themeColor="text2"/>
      <w:sz w:val="24"/>
      <w:szCs w:val="24"/>
    </w:rPr>
  </w:style>
  <w:style w:type="character" w:styleId="nfasisintenso">
    <w:name w:val="Intense Emphasis"/>
    <w:basedOn w:val="Fuentedeprrafopredeter"/>
    <w:uiPriority w:val="21"/>
    <w:qFormat/>
    <w:rPr>
      <w:rFonts w:asciiTheme="minorHAnsi" w:hAnsiTheme="minorHAnsi" w:cstheme="minorBidi"/>
      <w:b/>
      <w:i/>
      <w:caps/>
      <w:color w:val="438086"/>
      <w:spacing w:val="5"/>
    </w:rPr>
  </w:style>
  <w:style w:type="character" w:customStyle="1" w:styleId="Ttulo1Car">
    <w:name w:val="Título 1 Car"/>
    <w:basedOn w:val="Fuentedeprrafopredeter"/>
    <w:link w:val="Ttulo1"/>
    <w:uiPriority w:val="9"/>
    <w:rsid w:val="00E719EF"/>
    <w:rPr>
      <w:rFonts w:asciiTheme="majorHAnsi" w:hAnsiTheme="majorHAnsi"/>
      <w:b/>
      <w:color w:val="438086" w:themeColor="accent2"/>
      <w:sz w:val="32"/>
      <w:szCs w:val="32"/>
    </w:rPr>
  </w:style>
  <w:style w:type="character" w:customStyle="1" w:styleId="Ttulo2Car">
    <w:name w:val="Título 2 Car"/>
    <w:basedOn w:val="Fuentedeprrafopredeter"/>
    <w:link w:val="Ttulo2"/>
    <w:uiPriority w:val="9"/>
    <w:rsid w:val="00AA2D83"/>
    <w:rPr>
      <w:rFonts w:asciiTheme="majorHAnsi" w:hAnsiTheme="majorHAnsi"/>
      <w:b/>
      <w:color w:val="438086" w:themeColor="accent2"/>
      <w:sz w:val="28"/>
      <w:szCs w:val="28"/>
    </w:rPr>
  </w:style>
  <w:style w:type="character" w:customStyle="1" w:styleId="Ttulo3Car">
    <w:name w:val="Título 3 Car"/>
    <w:basedOn w:val="Fuentedeprrafopredeter"/>
    <w:link w:val="Ttulo3"/>
    <w:uiPriority w:val="9"/>
    <w:rsid w:val="00AA2D83"/>
    <w:rPr>
      <w:rFonts w:asciiTheme="majorHAnsi" w:hAnsiTheme="majorHAnsi"/>
      <w:b/>
      <w:color w:val="438086" w:themeColor="accent2"/>
      <w:sz w:val="24"/>
      <w:szCs w:val="24"/>
    </w:rPr>
  </w:style>
  <w:style w:type="character" w:customStyle="1" w:styleId="Ttulo4Car">
    <w:name w:val="Título 4 Car"/>
    <w:basedOn w:val="Fuentedeprrafopredeter"/>
    <w:link w:val="Ttulo4"/>
    <w:uiPriority w:val="9"/>
    <w:rsid w:val="00AA2D83"/>
    <w:rPr>
      <w:rFonts w:asciiTheme="majorHAnsi" w:hAnsiTheme="majorHAnsi"/>
      <w:b/>
      <w:i/>
      <w:color w:val="438086" w:themeColor="accent2"/>
    </w:rPr>
  </w:style>
  <w:style w:type="character" w:customStyle="1" w:styleId="Ttulo5Car">
    <w:name w:val="Título 5 Car"/>
    <w:basedOn w:val="Fuentedeprrafopredeter"/>
    <w:link w:val="Ttulo5"/>
    <w:uiPriority w:val="9"/>
    <w:semiHidden/>
    <w:rPr>
      <w:rFonts w:asciiTheme="majorHAnsi" w:hAnsiTheme="majorHAnsi"/>
      <w:b/>
      <w:color w:val="325F64" w:themeColor="accent2" w:themeShade="BF"/>
      <w:sz w:val="20"/>
      <w:szCs w:val="20"/>
    </w:rPr>
  </w:style>
  <w:style w:type="character" w:customStyle="1" w:styleId="Ttulo6Car">
    <w:name w:val="Título 6 Car"/>
    <w:basedOn w:val="Fuentedeprrafopredeter"/>
    <w:link w:val="Ttulo6"/>
    <w:uiPriority w:val="9"/>
    <w:semiHidden/>
    <w:rPr>
      <w:rFonts w:asciiTheme="majorHAnsi" w:hAnsiTheme="majorHAnsi"/>
      <w:b/>
      <w:i/>
      <w:color w:val="325F64" w:themeColor="accent2" w:themeShade="BF"/>
      <w:sz w:val="20"/>
      <w:szCs w:val="20"/>
    </w:rPr>
  </w:style>
  <w:style w:type="character" w:customStyle="1" w:styleId="Ttulo7Car">
    <w:name w:val="Título 7 Car"/>
    <w:basedOn w:val="Fuentedeprrafopredeter"/>
    <w:link w:val="Ttulo7"/>
    <w:uiPriority w:val="9"/>
    <w:semiHidden/>
    <w:rPr>
      <w:rFonts w:asciiTheme="majorHAnsi" w:hAnsiTheme="majorHAnsi"/>
      <w:b/>
      <w:color w:val="53548A" w:themeColor="accent1"/>
      <w:sz w:val="20"/>
      <w:szCs w:val="20"/>
    </w:rPr>
  </w:style>
  <w:style w:type="character" w:customStyle="1" w:styleId="Ttulo8Car">
    <w:name w:val="Título 8 Car"/>
    <w:basedOn w:val="Fuentedeprrafopredeter"/>
    <w:link w:val="Ttulo8"/>
    <w:uiPriority w:val="9"/>
    <w:semiHidden/>
    <w:rPr>
      <w:rFonts w:asciiTheme="majorHAnsi" w:hAnsiTheme="majorHAnsi"/>
      <w:b/>
      <w:i/>
      <w:color w:val="53548A" w:themeColor="accent1"/>
      <w:sz w:val="20"/>
      <w:szCs w:val="20"/>
    </w:rPr>
  </w:style>
  <w:style w:type="character" w:customStyle="1" w:styleId="Ttulo9Car">
    <w:name w:val="Título 9 Car"/>
    <w:basedOn w:val="Fuentedeprrafopredeter"/>
    <w:link w:val="Ttulo9"/>
    <w:uiPriority w:val="9"/>
    <w:semiHidden/>
    <w:rPr>
      <w:rFonts w:asciiTheme="majorHAnsi" w:hAnsiTheme="majorHAnsi"/>
      <w:b/>
      <w:color w:val="313240" w:themeColor="text2" w:themeShade="BF"/>
      <w:sz w:val="20"/>
      <w:szCs w:val="20"/>
    </w:rPr>
  </w:style>
  <w:style w:type="character" w:styleId="Textoennegrita">
    <w:name w:val="Strong"/>
    <w:basedOn w:val="Fuentedeprrafopredeter"/>
    <w:uiPriority w:val="22"/>
    <w:qFormat/>
    <w:rPr>
      <w:b/>
      <w:bCs/>
    </w:rPr>
  </w:style>
  <w:style w:type="paragraph" w:styleId="Textodebloque">
    <w:name w:val="Block Text"/>
    <w:basedOn w:val="Normal"/>
    <w:uiPriority w:val="3"/>
    <w:semiHidden/>
    <w:unhideWhenUsed/>
    <w:pPr>
      <w:pBdr>
        <w:top w:val="single" w:sz="2" w:space="10" w:color="53548A" w:themeColor="accent1"/>
        <w:left w:val="single" w:sz="2" w:space="10" w:color="53548A" w:themeColor="accent1"/>
        <w:bottom w:val="single" w:sz="2" w:space="10" w:color="53548A" w:themeColor="accent1"/>
        <w:right w:val="single" w:sz="2" w:space="10" w:color="53548A" w:themeColor="accent1"/>
        <w:between w:val="single" w:sz="2" w:space="10" w:color="53548A" w:themeColor="accent1"/>
        <w:bar w:val="single" w:sz="2" w:color="53548A" w:themeColor="accent1"/>
      </w:pBdr>
      <w:ind w:left="1152" w:right="1152"/>
    </w:pPr>
    <w:rPr>
      <w:rFonts w:eastAsiaTheme="minorEastAsia"/>
      <w:i/>
      <w:iCs/>
      <w:color w:val="53548A" w:themeColor="accent1"/>
    </w:rPr>
  </w:style>
  <w:style w:type="character" w:styleId="nfasissutil">
    <w:name w:val="Subtle Emphasis"/>
    <w:basedOn w:val="Fuentedeprrafopredeter"/>
    <w:uiPriority w:val="19"/>
    <w:qFormat/>
    <w:rPr>
      <w:rFonts w:asciiTheme="minorHAnsi" w:hAnsiTheme="minorHAnsi"/>
      <w:i/>
      <w:color w:val="006666"/>
    </w:rPr>
  </w:style>
  <w:style w:type="character" w:styleId="Referenciaintensa">
    <w:name w:val="Intense Reference"/>
    <w:basedOn w:val="Fuentedeprrafopredeter"/>
    <w:uiPriority w:val="32"/>
    <w:qFormat/>
    <w:rPr>
      <w:rFonts w:asciiTheme="minorHAnsi" w:hAnsiTheme="minorHAnsi" w:cs="Times New Roman"/>
      <w:b/>
      <w:i/>
      <w:caps/>
      <w:color w:val="4E4F89"/>
      <w:spacing w:val="5"/>
    </w:rPr>
  </w:style>
  <w:style w:type="character" w:styleId="Referenciasutil">
    <w:name w:val="Subtle Reference"/>
    <w:basedOn w:val="Fuentedeprrafopredeter"/>
    <w:uiPriority w:val="31"/>
    <w:qFormat/>
    <w:rPr>
      <w:rFonts w:cs="Times New Roman"/>
      <w:i/>
      <w:color w:val="4E4F89"/>
    </w:rPr>
  </w:style>
  <w:style w:type="character" w:styleId="nfasis">
    <w:name w:val="Emphasis"/>
    <w:uiPriority w:val="20"/>
    <w:qFormat/>
    <w:rPr>
      <w:rFonts w:asciiTheme="minorHAnsi" w:hAnsiTheme="minorHAnsi"/>
      <w:b/>
      <w:color w:val="438086" w:themeColor="accent2"/>
      <w:spacing w:val="10"/>
    </w:rPr>
  </w:style>
  <w:style w:type="character" w:styleId="Ttulodellibro">
    <w:name w:val="Book Title"/>
    <w:basedOn w:val="Fuentedeprrafopredeter"/>
    <w:uiPriority w:val="33"/>
    <w:qFormat/>
    <w:rPr>
      <w:rFonts w:ascii="Cambria" w:hAnsi="Cambria" w:cs="Times New Roman"/>
      <w:i/>
      <w:color w:val="000000"/>
      <w:sz w:val="20"/>
      <w:szCs w:val="20"/>
    </w:rPr>
  </w:style>
  <w:style w:type="paragraph" w:styleId="Encabezado">
    <w:name w:val="header"/>
    <w:basedOn w:val="Normal"/>
    <w:link w:val="EncabezadoCar"/>
    <w:uiPriority w:val="99"/>
    <w:unhideWhenUsed/>
    <w:pPr>
      <w:tabs>
        <w:tab w:val="center" w:pos="4320"/>
        <w:tab w:val="right" w:pos="8640"/>
      </w:tabs>
    </w:pPr>
  </w:style>
  <w:style w:type="character" w:customStyle="1" w:styleId="EncabezadoCar">
    <w:name w:val="Encabezado Car"/>
    <w:basedOn w:val="Fuentedeprrafopredeter"/>
    <w:link w:val="Encabezado"/>
    <w:uiPriority w:val="99"/>
    <w:rPr>
      <w:sz w:val="20"/>
      <w:szCs w:val="20"/>
    </w:rPr>
  </w:style>
  <w:style w:type="paragraph" w:styleId="Piedepgina">
    <w:name w:val="footer"/>
    <w:basedOn w:val="Normal"/>
    <w:link w:val="PiedepginaCar"/>
    <w:uiPriority w:val="99"/>
    <w:unhideWhenUsed/>
    <w:pPr>
      <w:tabs>
        <w:tab w:val="center" w:pos="4320"/>
        <w:tab w:val="right" w:pos="8640"/>
      </w:tabs>
    </w:pPr>
  </w:style>
  <w:style w:type="character" w:customStyle="1" w:styleId="PiedepginaCar">
    <w:name w:val="Pie de página Car"/>
    <w:basedOn w:val="Fuentedeprrafopredeter"/>
    <w:link w:val="Piedepgina"/>
    <w:uiPriority w:val="99"/>
    <w:rPr>
      <w:sz w:val="20"/>
      <w:szCs w:val="20"/>
    </w:rPr>
  </w:style>
  <w:style w:type="paragraph" w:styleId="Sangranormal">
    <w:name w:val="Normal Indent"/>
    <w:basedOn w:val="Normal"/>
    <w:uiPriority w:val="99"/>
    <w:unhideWhenUsed/>
    <w:pPr>
      <w:ind w:left="720"/>
      <w:contextualSpacing/>
    </w:pPr>
  </w:style>
  <w:style w:type="paragraph" w:styleId="Citadestacada">
    <w:name w:val="Intense Quote"/>
    <w:basedOn w:val="Normal"/>
    <w:uiPriority w:val="30"/>
    <w:qFormat/>
    <w:pPr>
      <w:pBdr>
        <w:top w:val="threeDEngrave" w:sz="6" w:space="10" w:color="438086" w:themeColor="accent2"/>
        <w:bottom w:val="single" w:sz="4" w:space="10" w:color="438086" w:themeColor="accent2"/>
      </w:pBdr>
      <w:spacing w:before="360" w:after="360" w:line="324" w:lineRule="auto"/>
      <w:ind w:left="1080" w:right="1080"/>
    </w:pPr>
    <w:rPr>
      <w:i/>
      <w:color w:val="438086" w:themeColor="accent2"/>
      <w:szCs w:val="22"/>
    </w:rPr>
  </w:style>
  <w:style w:type="numbering" w:customStyle="1" w:styleId="Listaconvietasurbana">
    <w:name w:val="Lista con viñetas urbana"/>
    <w:uiPriority w:val="99"/>
    <w:pPr>
      <w:numPr>
        <w:numId w:val="17"/>
      </w:numPr>
    </w:pPr>
  </w:style>
  <w:style w:type="numbering" w:customStyle="1" w:styleId="Listanumeradaurbana">
    <w:name w:val="Lista numerada urbana"/>
    <w:uiPriority w:val="99"/>
    <w:pPr>
      <w:numPr>
        <w:numId w:val="22"/>
      </w:numPr>
    </w:pPr>
  </w:style>
  <w:style w:type="paragraph" w:styleId="Prrafodelista">
    <w:name w:val="List Paragraph"/>
    <w:basedOn w:val="Normal"/>
    <w:uiPriority w:val="34"/>
    <w:unhideWhenUsed/>
    <w:qFormat/>
    <w:pPr>
      <w:ind w:left="720"/>
      <w:contextualSpacing/>
    </w:pPr>
  </w:style>
  <w:style w:type="paragraph" w:styleId="Sinespaciado">
    <w:name w:val="No Spacing"/>
    <w:basedOn w:val="Normal"/>
    <w:uiPriority w:val="1"/>
    <w:qFormat/>
    <w:pPr>
      <w:spacing w:after="0" w:line="240" w:lineRule="auto"/>
    </w:pPr>
    <w:rPr>
      <w:szCs w:val="32"/>
    </w:rPr>
  </w:style>
  <w:style w:type="character" w:styleId="Textodelmarcadordeposicin">
    <w:name w:val="Placeholder Text"/>
    <w:basedOn w:val="Fuentedeprrafopredeter"/>
    <w:uiPriority w:val="99"/>
    <w:unhideWhenUsed/>
    <w:rPr>
      <w:color w:val="80808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customStyle="1" w:styleId="Vieta1">
    <w:name w:val="Viñeta 1"/>
    <w:basedOn w:val="Prrafodelista"/>
    <w:uiPriority w:val="38"/>
    <w:qFormat/>
    <w:pPr>
      <w:numPr>
        <w:numId w:val="38"/>
      </w:numPr>
      <w:spacing w:after="0"/>
    </w:pPr>
  </w:style>
  <w:style w:type="paragraph" w:customStyle="1" w:styleId="Vieta2">
    <w:name w:val="Viñeta 2"/>
    <w:basedOn w:val="Prrafodelista"/>
    <w:uiPriority w:val="38"/>
    <w:qFormat/>
    <w:pPr>
      <w:numPr>
        <w:ilvl w:val="1"/>
        <w:numId w:val="38"/>
      </w:numPr>
      <w:spacing w:after="0"/>
    </w:pPr>
  </w:style>
  <w:style w:type="paragraph" w:customStyle="1" w:styleId="Vieta3">
    <w:name w:val="Viñeta 3"/>
    <w:basedOn w:val="Prrafodelista"/>
    <w:uiPriority w:val="38"/>
    <w:qFormat/>
    <w:pPr>
      <w:numPr>
        <w:ilvl w:val="2"/>
        <w:numId w:val="38"/>
      </w:numPr>
      <w:spacing w:after="0"/>
    </w:pPr>
  </w:style>
  <w:style w:type="paragraph" w:customStyle="1" w:styleId="MarcadorDePosicinPredeterminadoAsunto10">
    <w:name w:val="MarcadorDePosiciónPredeterminado_Asunto10"/>
    <w:uiPriority w:val="39"/>
    <w:rPr>
      <w:i/>
      <w:color w:val="424456" w:themeColor="text2"/>
      <w:sz w:val="24"/>
      <w:szCs w:val="24"/>
    </w:rPr>
  </w:style>
  <w:style w:type="paragraph" w:customStyle="1" w:styleId="Encabezadopar">
    <w:name w:val="Encabezado par"/>
    <w:basedOn w:val="Encabezado"/>
    <w:uiPriority w:val="39"/>
    <w:pPr>
      <w:pBdr>
        <w:bottom w:val="single" w:sz="4" w:space="1" w:color="auto"/>
      </w:pBdr>
    </w:pPr>
  </w:style>
  <w:style w:type="paragraph" w:customStyle="1" w:styleId="Encabezadoimpar">
    <w:name w:val="Encabezado impar"/>
    <w:basedOn w:val="Encabezado"/>
    <w:uiPriority w:val="39"/>
    <w:pPr>
      <w:pBdr>
        <w:bottom w:val="single" w:sz="4" w:space="1" w:color="auto"/>
      </w:pBdr>
      <w:jc w:val="right"/>
    </w:pPr>
  </w:style>
  <w:style w:type="paragraph" w:customStyle="1" w:styleId="Categora">
    <w:name w:val="Categoría"/>
    <w:basedOn w:val="Normal"/>
    <w:uiPriority w:val="39"/>
    <w:qFormat/>
    <w:pPr>
      <w:framePr w:hSpace="187" w:wrap="around" w:hAnchor="margin" w:xAlign="center" w:y="721"/>
      <w:spacing w:after="0" w:line="240" w:lineRule="auto"/>
    </w:pPr>
    <w:rPr>
      <w:caps/>
      <w:szCs w:val="22"/>
    </w:rPr>
  </w:style>
  <w:style w:type="paragraph" w:customStyle="1" w:styleId="Comentarios">
    <w:name w:val="Comentarios"/>
    <w:basedOn w:val="Normal"/>
    <w:uiPriority w:val="39"/>
    <w:qFormat/>
    <w:pPr>
      <w:spacing w:after="120" w:line="240" w:lineRule="auto"/>
    </w:pPr>
    <w:rPr>
      <w:b/>
      <w:szCs w:val="22"/>
    </w:rPr>
  </w:style>
  <w:style w:type="paragraph" w:customStyle="1" w:styleId="Textodecomentarios">
    <w:name w:val="Texto de comentarios"/>
    <w:basedOn w:val="Normal"/>
    <w:uiPriority w:val="39"/>
    <w:qFormat/>
    <w:pPr>
      <w:spacing w:after="120" w:line="288" w:lineRule="auto"/>
    </w:pPr>
    <w:rPr>
      <w:szCs w:val="22"/>
    </w:rPr>
  </w:style>
  <w:style w:type="character" w:styleId="Hipervnculo">
    <w:name w:val="Hyperlink"/>
    <w:basedOn w:val="Fuentedeprrafopredeter"/>
    <w:uiPriority w:val="99"/>
    <w:unhideWhenUsed/>
    <w:rPr>
      <w:color w:val="67AFBD" w:themeColor="hyperlink"/>
      <w:u w:val="single"/>
    </w:rPr>
  </w:style>
  <w:style w:type="paragraph" w:styleId="TDC1">
    <w:name w:val="toc 1"/>
    <w:basedOn w:val="Normal"/>
    <w:next w:val="Normal"/>
    <w:autoRedefine/>
    <w:uiPriority w:val="39"/>
    <w:unhideWhenUsed/>
    <w:qFormat/>
    <w:rPr>
      <w:rFonts w:eastAsiaTheme="minorEastAsia"/>
      <w:szCs w:val="24"/>
    </w:rPr>
  </w:style>
  <w:style w:type="paragraph" w:styleId="TDC2">
    <w:name w:val="toc 2"/>
    <w:basedOn w:val="Normal"/>
    <w:next w:val="Normal"/>
    <w:autoRedefine/>
    <w:uiPriority w:val="39"/>
    <w:unhideWhenUsed/>
    <w:qFormat/>
    <w:pPr>
      <w:ind w:left="240"/>
    </w:pPr>
    <w:rPr>
      <w:rFonts w:eastAsiaTheme="minorEastAsia"/>
      <w:szCs w:val="24"/>
    </w:rPr>
  </w:style>
  <w:style w:type="paragraph" w:styleId="TDC3">
    <w:name w:val="toc 3"/>
    <w:basedOn w:val="Normal"/>
    <w:next w:val="Normal"/>
    <w:autoRedefine/>
    <w:uiPriority w:val="39"/>
    <w:unhideWhenUsed/>
    <w:qFormat/>
    <w:pPr>
      <w:spacing w:after="100"/>
      <w:ind w:left="400"/>
    </w:pPr>
  </w:style>
  <w:style w:type="paragraph" w:styleId="Epgrafe">
    <w:name w:val="caption"/>
    <w:basedOn w:val="Normal"/>
    <w:next w:val="Normal"/>
    <w:uiPriority w:val="35"/>
    <w:unhideWhenUsed/>
    <w:qFormat/>
    <w:pPr>
      <w:spacing w:line="240" w:lineRule="auto"/>
    </w:pPr>
    <w:rPr>
      <w:b/>
      <w:bCs/>
      <w:color w:val="53548A" w:themeColor="accent1"/>
      <w:sz w:val="18"/>
      <w:szCs w:val="18"/>
    </w:rPr>
  </w:style>
  <w:style w:type="paragraph" w:styleId="Textonotapie">
    <w:name w:val="footnote text"/>
    <w:basedOn w:val="Normal"/>
    <w:link w:val="TextonotapieCar"/>
    <w:uiPriority w:val="99"/>
    <w:semiHidden/>
    <w:unhideWhenUsed/>
    <w:rsid w:val="00E1322B"/>
    <w:pPr>
      <w:spacing w:after="0" w:line="240" w:lineRule="auto"/>
    </w:pPr>
    <w:rPr>
      <w:sz w:val="20"/>
    </w:rPr>
  </w:style>
  <w:style w:type="character" w:customStyle="1" w:styleId="TextonotapieCar">
    <w:name w:val="Texto nota pie Car"/>
    <w:basedOn w:val="Fuentedeprrafopredeter"/>
    <w:link w:val="Textonotapie"/>
    <w:uiPriority w:val="99"/>
    <w:semiHidden/>
    <w:rsid w:val="00E1322B"/>
    <w:rPr>
      <w:rFonts w:ascii="Century Gothic" w:hAnsi="Century Gothic"/>
      <w:sz w:val="20"/>
      <w:szCs w:val="20"/>
    </w:rPr>
  </w:style>
  <w:style w:type="character" w:styleId="Refdenotaalpie">
    <w:name w:val="footnote reference"/>
    <w:basedOn w:val="Fuentedeprrafopredeter"/>
    <w:uiPriority w:val="99"/>
    <w:semiHidden/>
    <w:unhideWhenUsed/>
    <w:rsid w:val="00E1322B"/>
    <w:rPr>
      <w:vertAlign w:val="superscript"/>
    </w:rPr>
  </w:style>
  <w:style w:type="paragraph" w:styleId="TtulodeTDC">
    <w:name w:val="TOC Heading"/>
    <w:basedOn w:val="Ttulo1"/>
    <w:next w:val="Normal"/>
    <w:uiPriority w:val="39"/>
    <w:semiHidden/>
    <w:unhideWhenUsed/>
    <w:qFormat/>
    <w:rsid w:val="00E924EF"/>
    <w:pPr>
      <w:keepNext/>
      <w:keepLines/>
      <w:pBdr>
        <w:bottom w:val="none" w:sz="0" w:space="0" w:color="auto"/>
      </w:pBdr>
      <w:spacing w:before="480" w:after="0"/>
      <w:jc w:val="left"/>
      <w:outlineLvl w:val="9"/>
    </w:pPr>
    <w:rPr>
      <w:rFonts w:eastAsiaTheme="majorEastAsia" w:cstheme="majorBidi"/>
      <w:bCs/>
      <w:color w:val="3E3E67" w:themeColor="accent1" w:themeShade="BF"/>
      <w:sz w:val="28"/>
      <w:szCs w:val="28"/>
    </w:rPr>
  </w:style>
  <w:style w:type="paragraph" w:styleId="Tabladeilustraciones">
    <w:name w:val="table of figures"/>
    <w:basedOn w:val="Normal"/>
    <w:next w:val="Normal"/>
    <w:uiPriority w:val="99"/>
    <w:unhideWhenUsed/>
    <w:rsid w:val="00E924EF"/>
    <w:pPr>
      <w:spacing w:after="0"/>
      <w:ind w:left="440" w:hanging="440"/>
      <w:jc w:val="left"/>
    </w:pPr>
    <w:rPr>
      <w:rFonts w:asciiTheme="minorHAnsi" w:hAnsiTheme="minorHAnsi"/>
      <w:b/>
      <w:bCs/>
      <w:sz w:val="20"/>
    </w:rPr>
  </w:style>
  <w:style w:type="table" w:styleId="Listavistosa-nfasis2">
    <w:name w:val="Colorful List Accent 2"/>
    <w:basedOn w:val="Tablanormal"/>
    <w:uiPriority w:val="42"/>
    <w:rsid w:val="0008061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AF4F5" w:themeFill="accent2" w:themeFillTint="19"/>
    </w:tcPr>
    <w:tblStylePr w:type="firstRow">
      <w:rPr>
        <w:b/>
        <w:bCs/>
        <w:color w:val="FFFFFF" w:themeColor="background1"/>
      </w:rPr>
      <w:tblPr/>
      <w:tcPr>
        <w:tcBorders>
          <w:bottom w:val="single" w:sz="12" w:space="0" w:color="FFFFFF" w:themeColor="background1"/>
        </w:tcBorders>
        <w:shd w:val="clear" w:color="auto" w:fill="35666B" w:themeFill="accent2" w:themeFillShade="CC"/>
      </w:tcPr>
    </w:tblStylePr>
    <w:tblStylePr w:type="lastRow">
      <w:rPr>
        <w:b/>
        <w:bCs/>
        <w:color w:val="3566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3E5" w:themeFill="accent2" w:themeFillTint="3F"/>
      </w:tcPr>
    </w:tblStylePr>
    <w:tblStylePr w:type="band1Horz">
      <w:tblPr/>
      <w:tcPr>
        <w:shd w:val="clear" w:color="auto" w:fill="D5E8EA" w:themeFill="accent2" w:themeFillTint="33"/>
      </w:tcPr>
    </w:tblStylePr>
  </w:style>
  <w:style w:type="table" w:customStyle="1" w:styleId="Tablaconcuadrcula1">
    <w:name w:val="Tabla con cuadrícula1"/>
    <w:basedOn w:val="Tablanormal"/>
    <w:next w:val="Tablaconcuadrcula"/>
    <w:uiPriority w:val="59"/>
    <w:rsid w:val="00F931F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1D364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535CD6"/>
    <w:rPr>
      <w:sz w:val="16"/>
      <w:szCs w:val="16"/>
    </w:rPr>
  </w:style>
  <w:style w:type="paragraph" w:styleId="Textocomentario">
    <w:name w:val="annotation text"/>
    <w:basedOn w:val="Normal"/>
    <w:link w:val="TextocomentarioCar"/>
    <w:uiPriority w:val="99"/>
    <w:semiHidden/>
    <w:unhideWhenUsed/>
    <w:rsid w:val="00535CD6"/>
    <w:pPr>
      <w:spacing w:line="240" w:lineRule="auto"/>
    </w:pPr>
    <w:rPr>
      <w:sz w:val="20"/>
    </w:rPr>
  </w:style>
  <w:style w:type="character" w:customStyle="1" w:styleId="TextocomentarioCar">
    <w:name w:val="Texto comentario Car"/>
    <w:basedOn w:val="Fuentedeprrafopredeter"/>
    <w:link w:val="Textocomentario"/>
    <w:uiPriority w:val="99"/>
    <w:semiHidden/>
    <w:rsid w:val="00535CD6"/>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535CD6"/>
    <w:rPr>
      <w:b/>
      <w:bCs/>
    </w:rPr>
  </w:style>
  <w:style w:type="character" w:customStyle="1" w:styleId="AsuntodelcomentarioCar">
    <w:name w:val="Asunto del comentario Car"/>
    <w:basedOn w:val="TextocomentarioCar"/>
    <w:link w:val="Asuntodelcomentario"/>
    <w:uiPriority w:val="99"/>
    <w:semiHidden/>
    <w:rsid w:val="00535CD6"/>
    <w:rPr>
      <w:rFonts w:ascii="Century Gothic" w:hAnsi="Century Gothic"/>
      <w:b/>
      <w:bCs/>
      <w:sz w:val="20"/>
      <w:szCs w:val="20"/>
    </w:rPr>
  </w:style>
  <w:style w:type="paragraph" w:styleId="Listaconvietas">
    <w:name w:val="List Bullet"/>
    <w:basedOn w:val="Normal"/>
    <w:uiPriority w:val="99"/>
    <w:unhideWhenUsed/>
    <w:rsid w:val="00D74601"/>
    <w:pPr>
      <w:numPr>
        <w:numId w:val="1"/>
      </w:numPr>
      <w:contextualSpacing/>
    </w:pPr>
  </w:style>
  <w:style w:type="table" w:styleId="Listaclara-nfasis2">
    <w:name w:val="Light List Accent 2"/>
    <w:basedOn w:val="Tablanormal"/>
    <w:uiPriority w:val="42"/>
    <w:rsid w:val="00141DBA"/>
    <w:pPr>
      <w:spacing w:after="0" w:line="240" w:lineRule="auto"/>
    </w:pPr>
    <w:tblPr>
      <w:tblStyleRowBandSize w:val="1"/>
      <w:tblStyleColBandSize w:val="1"/>
      <w:tblInd w:w="0" w:type="dxa"/>
      <w:tblBorders>
        <w:top w:val="single" w:sz="8" w:space="0" w:color="438086" w:themeColor="accent2"/>
        <w:left w:val="single" w:sz="8" w:space="0" w:color="438086" w:themeColor="accent2"/>
        <w:bottom w:val="single" w:sz="8" w:space="0" w:color="438086" w:themeColor="accent2"/>
        <w:right w:val="single" w:sz="8" w:space="0" w:color="43808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38086" w:themeFill="accent2"/>
      </w:tcPr>
    </w:tblStylePr>
    <w:tblStylePr w:type="lastRow">
      <w:pPr>
        <w:spacing w:before="0" w:after="0" w:line="240" w:lineRule="auto"/>
      </w:pPr>
      <w:rPr>
        <w:b/>
        <w:bCs/>
      </w:rPr>
      <w:tblPr/>
      <w:tcPr>
        <w:tcBorders>
          <w:top w:val="double" w:sz="6" w:space="0" w:color="438086" w:themeColor="accent2"/>
          <w:left w:val="single" w:sz="8" w:space="0" w:color="438086" w:themeColor="accent2"/>
          <w:bottom w:val="single" w:sz="8" w:space="0" w:color="438086" w:themeColor="accent2"/>
          <w:right w:val="single" w:sz="8" w:space="0" w:color="438086" w:themeColor="accent2"/>
        </w:tcBorders>
      </w:tcPr>
    </w:tblStylePr>
    <w:tblStylePr w:type="firstCol">
      <w:rPr>
        <w:b/>
        <w:bCs/>
      </w:rPr>
    </w:tblStylePr>
    <w:tblStylePr w:type="lastCol">
      <w:rPr>
        <w:b/>
        <w:bCs/>
      </w:rPr>
    </w:tblStylePr>
    <w:tblStylePr w:type="band1Vert">
      <w:tblPr/>
      <w:tcPr>
        <w:tcBorders>
          <w:top w:val="single" w:sz="8" w:space="0" w:color="438086" w:themeColor="accent2"/>
          <w:left w:val="single" w:sz="8" w:space="0" w:color="438086" w:themeColor="accent2"/>
          <w:bottom w:val="single" w:sz="8" w:space="0" w:color="438086" w:themeColor="accent2"/>
          <w:right w:val="single" w:sz="8" w:space="0" w:color="438086" w:themeColor="accent2"/>
        </w:tcBorders>
      </w:tcPr>
    </w:tblStylePr>
    <w:tblStylePr w:type="band1Horz">
      <w:tblPr/>
      <w:tcPr>
        <w:tcBorders>
          <w:top w:val="single" w:sz="8" w:space="0" w:color="438086" w:themeColor="accent2"/>
          <w:left w:val="single" w:sz="8" w:space="0" w:color="438086" w:themeColor="accent2"/>
          <w:bottom w:val="single" w:sz="8" w:space="0" w:color="438086" w:themeColor="accent2"/>
          <w:right w:val="single" w:sz="8" w:space="0" w:color="438086" w:themeColor="accent2"/>
        </w:tcBorders>
      </w:tcPr>
    </w:tblStylePr>
  </w:style>
  <w:style w:type="table" w:styleId="Cuadrculamedia3-nfasis2">
    <w:name w:val="Medium Grid 3 Accent 2"/>
    <w:basedOn w:val="Tablanormal"/>
    <w:uiPriority w:val="42"/>
    <w:rsid w:val="00FC41D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BE3E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3808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3808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3808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3808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C7C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C7CB"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54533">
      <w:bodyDiv w:val="1"/>
      <w:marLeft w:val="0"/>
      <w:marRight w:val="0"/>
      <w:marTop w:val="0"/>
      <w:marBottom w:val="0"/>
      <w:divBdr>
        <w:top w:val="none" w:sz="0" w:space="0" w:color="auto"/>
        <w:left w:val="none" w:sz="0" w:space="0" w:color="auto"/>
        <w:bottom w:val="none" w:sz="0" w:space="0" w:color="auto"/>
        <w:right w:val="none" w:sz="0" w:space="0" w:color="auto"/>
      </w:divBdr>
    </w:div>
    <w:div w:id="296104513">
      <w:bodyDiv w:val="1"/>
      <w:marLeft w:val="0"/>
      <w:marRight w:val="0"/>
      <w:marTop w:val="0"/>
      <w:marBottom w:val="0"/>
      <w:divBdr>
        <w:top w:val="none" w:sz="0" w:space="0" w:color="auto"/>
        <w:left w:val="none" w:sz="0" w:space="0" w:color="auto"/>
        <w:bottom w:val="none" w:sz="0" w:space="0" w:color="auto"/>
        <w:right w:val="none" w:sz="0" w:space="0" w:color="auto"/>
      </w:divBdr>
    </w:div>
    <w:div w:id="412095217">
      <w:bodyDiv w:val="1"/>
      <w:marLeft w:val="0"/>
      <w:marRight w:val="0"/>
      <w:marTop w:val="0"/>
      <w:marBottom w:val="0"/>
      <w:divBdr>
        <w:top w:val="none" w:sz="0" w:space="0" w:color="auto"/>
        <w:left w:val="none" w:sz="0" w:space="0" w:color="auto"/>
        <w:bottom w:val="none" w:sz="0" w:space="0" w:color="auto"/>
        <w:right w:val="none" w:sz="0" w:space="0" w:color="auto"/>
      </w:divBdr>
    </w:div>
    <w:div w:id="446237854">
      <w:bodyDiv w:val="1"/>
      <w:marLeft w:val="0"/>
      <w:marRight w:val="0"/>
      <w:marTop w:val="0"/>
      <w:marBottom w:val="0"/>
      <w:divBdr>
        <w:top w:val="none" w:sz="0" w:space="0" w:color="auto"/>
        <w:left w:val="none" w:sz="0" w:space="0" w:color="auto"/>
        <w:bottom w:val="none" w:sz="0" w:space="0" w:color="auto"/>
        <w:right w:val="none" w:sz="0" w:space="0" w:color="auto"/>
      </w:divBdr>
    </w:div>
    <w:div w:id="500042847">
      <w:bodyDiv w:val="1"/>
      <w:marLeft w:val="0"/>
      <w:marRight w:val="0"/>
      <w:marTop w:val="0"/>
      <w:marBottom w:val="0"/>
      <w:divBdr>
        <w:top w:val="none" w:sz="0" w:space="0" w:color="auto"/>
        <w:left w:val="none" w:sz="0" w:space="0" w:color="auto"/>
        <w:bottom w:val="none" w:sz="0" w:space="0" w:color="auto"/>
        <w:right w:val="none" w:sz="0" w:space="0" w:color="auto"/>
      </w:divBdr>
    </w:div>
    <w:div w:id="688065234">
      <w:bodyDiv w:val="1"/>
      <w:marLeft w:val="0"/>
      <w:marRight w:val="0"/>
      <w:marTop w:val="0"/>
      <w:marBottom w:val="0"/>
      <w:divBdr>
        <w:top w:val="none" w:sz="0" w:space="0" w:color="auto"/>
        <w:left w:val="none" w:sz="0" w:space="0" w:color="auto"/>
        <w:bottom w:val="none" w:sz="0" w:space="0" w:color="auto"/>
        <w:right w:val="none" w:sz="0" w:space="0" w:color="auto"/>
      </w:divBdr>
    </w:div>
    <w:div w:id="1011882995">
      <w:bodyDiv w:val="1"/>
      <w:marLeft w:val="0"/>
      <w:marRight w:val="0"/>
      <w:marTop w:val="0"/>
      <w:marBottom w:val="0"/>
      <w:divBdr>
        <w:top w:val="none" w:sz="0" w:space="0" w:color="auto"/>
        <w:left w:val="none" w:sz="0" w:space="0" w:color="auto"/>
        <w:bottom w:val="none" w:sz="0" w:space="0" w:color="auto"/>
        <w:right w:val="none" w:sz="0" w:space="0" w:color="auto"/>
      </w:divBdr>
    </w:div>
    <w:div w:id="1240094311">
      <w:bodyDiv w:val="1"/>
      <w:marLeft w:val="0"/>
      <w:marRight w:val="0"/>
      <w:marTop w:val="0"/>
      <w:marBottom w:val="0"/>
      <w:divBdr>
        <w:top w:val="none" w:sz="0" w:space="0" w:color="auto"/>
        <w:left w:val="none" w:sz="0" w:space="0" w:color="auto"/>
        <w:bottom w:val="none" w:sz="0" w:space="0" w:color="auto"/>
        <w:right w:val="none" w:sz="0" w:space="0" w:color="auto"/>
      </w:divBdr>
    </w:div>
    <w:div w:id="1629160165">
      <w:bodyDiv w:val="1"/>
      <w:marLeft w:val="0"/>
      <w:marRight w:val="0"/>
      <w:marTop w:val="0"/>
      <w:marBottom w:val="0"/>
      <w:divBdr>
        <w:top w:val="none" w:sz="0" w:space="0" w:color="auto"/>
        <w:left w:val="none" w:sz="0" w:space="0" w:color="auto"/>
        <w:bottom w:val="none" w:sz="0" w:space="0" w:color="auto"/>
        <w:right w:val="none" w:sz="0" w:space="0" w:color="auto"/>
      </w:divBdr>
    </w:div>
    <w:div w:id="1934894441">
      <w:bodyDiv w:val="1"/>
      <w:marLeft w:val="0"/>
      <w:marRight w:val="0"/>
      <w:marTop w:val="0"/>
      <w:marBottom w:val="0"/>
      <w:divBdr>
        <w:top w:val="none" w:sz="0" w:space="0" w:color="auto"/>
        <w:left w:val="none" w:sz="0" w:space="0" w:color="auto"/>
        <w:bottom w:val="none" w:sz="0" w:space="0" w:color="auto"/>
        <w:right w:val="none" w:sz="0" w:space="0" w:color="auto"/>
      </w:divBdr>
    </w:div>
    <w:div w:id="2095083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chart" Target="charts/chart10.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chart" Target="charts/chart4.xm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8.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UrbanRepor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SIC.ES\sscc\550Grupos\ctbg-sgtbg\14%20MEMORIA\MEMORIA%202022\SUJETOS%20PRIVADOS\Cumplimiento%20recomendaciones.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9.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0"/>
          <c:spPr>
            <a:solidFill>
              <a:schemeClr val="accent2"/>
            </a:solidFill>
          </c:spPr>
          <c:invertIfNegative val="0"/>
          <c:dLbls>
            <c:showLegendKey val="0"/>
            <c:showVal val="1"/>
            <c:showCatName val="0"/>
            <c:showSerName val="0"/>
            <c:showPercent val="0"/>
            <c:showBubbleSize val="0"/>
            <c:showLeaderLines val="0"/>
          </c:dLbls>
          <c:cat>
            <c:strRef>
              <c:f>Hoja1!$J$3:$J$9</c:f>
              <c:strCache>
                <c:ptCount val="7"/>
                <c:pt idx="0">
                  <c:v>100%</c:v>
                </c:pt>
                <c:pt idx="1">
                  <c:v>80-99,9%</c:v>
                </c:pt>
                <c:pt idx="2">
                  <c:v>60-79,9%</c:v>
                </c:pt>
                <c:pt idx="3">
                  <c:v>40-59,9%</c:v>
                </c:pt>
                <c:pt idx="4">
                  <c:v>20-39,9%</c:v>
                </c:pt>
                <c:pt idx="5">
                  <c:v>1-19,9%</c:v>
                </c:pt>
                <c:pt idx="6">
                  <c:v>0%</c:v>
                </c:pt>
              </c:strCache>
            </c:strRef>
          </c:cat>
          <c:val>
            <c:numRef>
              <c:f>Hoja1!$L$3:$L$9</c:f>
              <c:numCache>
                <c:formatCode>0.0%</c:formatCode>
                <c:ptCount val="7"/>
                <c:pt idx="0">
                  <c:v>1.9607843137254902E-2</c:v>
                </c:pt>
                <c:pt idx="1">
                  <c:v>1.9607843137254902E-2</c:v>
                </c:pt>
                <c:pt idx="2">
                  <c:v>1.9607843137254902E-2</c:v>
                </c:pt>
                <c:pt idx="3">
                  <c:v>5.8823529411764705E-2</c:v>
                </c:pt>
                <c:pt idx="4">
                  <c:v>7.8431372549019607E-2</c:v>
                </c:pt>
                <c:pt idx="5">
                  <c:v>0.11764705882352941</c:v>
                </c:pt>
                <c:pt idx="6">
                  <c:v>0.68627450980392157</c:v>
                </c:pt>
              </c:numCache>
            </c:numRef>
          </c:val>
        </c:ser>
        <c:dLbls>
          <c:showLegendKey val="0"/>
          <c:showVal val="0"/>
          <c:showCatName val="0"/>
          <c:showSerName val="0"/>
          <c:showPercent val="0"/>
          <c:showBubbleSize val="0"/>
        </c:dLbls>
        <c:gapWidth val="150"/>
        <c:axId val="197497984"/>
        <c:axId val="197499904"/>
      </c:barChart>
      <c:catAx>
        <c:axId val="197497984"/>
        <c:scaling>
          <c:orientation val="minMax"/>
        </c:scaling>
        <c:delete val="0"/>
        <c:axPos val="b"/>
        <c:title>
          <c:tx>
            <c:rich>
              <a:bodyPr/>
              <a:lstStyle/>
              <a:p>
                <a:pPr>
                  <a:defRPr/>
                </a:pPr>
                <a:r>
                  <a:rPr lang="es-ES"/>
                  <a:t>% de recomendaciones aplicadas</a:t>
                </a:r>
              </a:p>
            </c:rich>
          </c:tx>
          <c:layout/>
          <c:overlay val="0"/>
        </c:title>
        <c:majorTickMark val="out"/>
        <c:minorTickMark val="none"/>
        <c:tickLblPos val="nextTo"/>
        <c:crossAx val="197499904"/>
        <c:crosses val="autoZero"/>
        <c:auto val="1"/>
        <c:lblAlgn val="ctr"/>
        <c:lblOffset val="100"/>
        <c:noMultiLvlLbl val="0"/>
      </c:catAx>
      <c:valAx>
        <c:axId val="197499904"/>
        <c:scaling>
          <c:orientation val="minMax"/>
        </c:scaling>
        <c:delete val="1"/>
        <c:axPos val="l"/>
        <c:title>
          <c:tx>
            <c:rich>
              <a:bodyPr rot="-5400000" vert="horz"/>
              <a:lstStyle/>
              <a:p>
                <a:pPr>
                  <a:defRPr/>
                </a:pPr>
                <a:r>
                  <a:rPr lang="es-ES"/>
                  <a:t>% de entidades</a:t>
                </a:r>
              </a:p>
            </c:rich>
          </c:tx>
          <c:layout>
            <c:manualLayout>
              <c:xMode val="edge"/>
              <c:yMode val="edge"/>
              <c:x val="3.6111111111111108E-2"/>
              <c:y val="0.26545895304753575"/>
            </c:manualLayout>
          </c:layout>
          <c:overlay val="0"/>
        </c:title>
        <c:numFmt formatCode="#,##0" sourceLinked="0"/>
        <c:majorTickMark val="out"/>
        <c:minorTickMark val="none"/>
        <c:tickLblPos val="nextTo"/>
        <c:crossAx val="197497984"/>
        <c:crosses val="autoZero"/>
        <c:crossBetween val="between"/>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pattFill prst="wdDnDiag">
              <a:fgClr>
                <a:srgbClr val="438086"/>
              </a:fgClr>
              <a:bgClr>
                <a:sysClr val="window" lastClr="FFFFFF"/>
              </a:bgClr>
            </a:pattFill>
          </c:spPr>
          <c:invertIfNegative val="0"/>
          <c:dLbls>
            <c:showLegendKey val="0"/>
            <c:showVal val="1"/>
            <c:showCatName val="0"/>
            <c:showSerName val="0"/>
            <c:showPercent val="0"/>
            <c:showBubbleSize val="0"/>
            <c:showLeaderLines val="0"/>
          </c:dLbls>
          <c:cat>
            <c:strRef>
              <c:f>total!$B$21:$I$21</c:f>
              <c:strCache>
                <c:ptCount val="8"/>
                <c:pt idx="0">
                  <c:v>CONTENIDO </c:v>
                </c:pt>
                <c:pt idx="1">
                  <c:v>FORMA </c:v>
                </c:pt>
                <c:pt idx="2">
                  <c:v>ESTRUCTURACIÓN </c:v>
                </c:pt>
                <c:pt idx="3">
                  <c:v>ACCESIBILIDAD </c:v>
                </c:pt>
                <c:pt idx="4">
                  <c:v>CLARIDAD </c:v>
                </c:pt>
                <c:pt idx="5">
                  <c:v>REUTILIZACIÓN </c:v>
                </c:pt>
                <c:pt idx="6">
                  <c:v>ACTUALIZACIÓN </c:v>
                </c:pt>
                <c:pt idx="7">
                  <c:v>TOTAL</c:v>
                </c:pt>
              </c:strCache>
            </c:strRef>
          </c:cat>
          <c:val>
            <c:numRef>
              <c:f>total!$B$22:$I$22</c:f>
              <c:numCache>
                <c:formatCode>0.0%</c:formatCode>
                <c:ptCount val="8"/>
                <c:pt idx="0">
                  <c:v>0.34771539206195551</c:v>
                </c:pt>
                <c:pt idx="1">
                  <c:v>0.36269796708615681</c:v>
                </c:pt>
                <c:pt idx="2">
                  <c:v>0.36689254598257504</c:v>
                </c:pt>
                <c:pt idx="3">
                  <c:v>0.36302032913843174</c:v>
                </c:pt>
                <c:pt idx="4">
                  <c:v>0.36592449177153918</c:v>
                </c:pt>
                <c:pt idx="5">
                  <c:v>0.31655372700871248</c:v>
                </c:pt>
                <c:pt idx="6">
                  <c:v>0.17715392061955471</c:v>
                </c:pt>
                <c:pt idx="7">
                  <c:v>0.32856548195270363</c:v>
                </c:pt>
              </c:numCache>
            </c:numRef>
          </c:val>
        </c:ser>
        <c:dLbls>
          <c:showLegendKey val="0"/>
          <c:showVal val="0"/>
          <c:showCatName val="0"/>
          <c:showSerName val="0"/>
          <c:showPercent val="0"/>
          <c:showBubbleSize val="0"/>
        </c:dLbls>
        <c:gapWidth val="150"/>
        <c:axId val="206565376"/>
        <c:axId val="206566912"/>
      </c:barChart>
      <c:catAx>
        <c:axId val="206565376"/>
        <c:scaling>
          <c:orientation val="minMax"/>
        </c:scaling>
        <c:delete val="0"/>
        <c:axPos val="b"/>
        <c:majorTickMark val="out"/>
        <c:minorTickMark val="none"/>
        <c:tickLblPos val="nextTo"/>
        <c:crossAx val="206566912"/>
        <c:crosses val="autoZero"/>
        <c:auto val="1"/>
        <c:lblAlgn val="ctr"/>
        <c:lblOffset val="100"/>
        <c:noMultiLvlLbl val="0"/>
      </c:catAx>
      <c:valAx>
        <c:axId val="206566912"/>
        <c:scaling>
          <c:orientation val="minMax"/>
          <c:max val="1"/>
        </c:scaling>
        <c:delete val="0"/>
        <c:axPos val="l"/>
        <c:numFmt formatCode="0%" sourceLinked="0"/>
        <c:majorTickMark val="out"/>
        <c:minorTickMark val="none"/>
        <c:tickLblPos val="nextTo"/>
        <c:crossAx val="206565376"/>
        <c:crosses val="autoZero"/>
        <c:crossBetween val="between"/>
        <c:majorUnit val="0.2"/>
      </c:valAx>
    </c:plotArea>
    <c:plotVisOnly val="1"/>
    <c:dispBlanksAs val="gap"/>
    <c:showDLblsOverMax val="0"/>
  </c:chart>
  <c:txPr>
    <a:bodyPr/>
    <a:lstStyle/>
    <a:p>
      <a:pPr>
        <a:defRPr>
          <a:latin typeface="Century Gothic" pitchFamily="34" charset="0"/>
        </a:defRPr>
      </a:pPr>
      <a:endParaRPr lang="es-E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438086"/>
            </a:solidFill>
          </c:spPr>
          <c:invertIfNegative val="0"/>
          <c:dPt>
            <c:idx val="2"/>
            <c:invertIfNegative val="0"/>
            <c:bubble3D val="0"/>
            <c:spPr>
              <a:solidFill>
                <a:schemeClr val="accent2">
                  <a:lumMod val="60000"/>
                  <a:lumOff val="40000"/>
                </a:schemeClr>
              </a:solidFill>
            </c:spPr>
          </c:dPt>
          <c:dPt>
            <c:idx val="3"/>
            <c:invertIfNegative val="0"/>
            <c:bubble3D val="0"/>
            <c:spPr>
              <a:solidFill>
                <a:schemeClr val="accent2">
                  <a:lumMod val="60000"/>
                  <a:lumOff val="40000"/>
                </a:schemeClr>
              </a:solidFill>
            </c:spPr>
          </c:dPt>
          <c:dPt>
            <c:idx val="4"/>
            <c:invertIfNegative val="0"/>
            <c:bubble3D val="0"/>
            <c:spPr>
              <a:pattFill prst="wdDnDiag">
                <a:fgClr>
                  <a:srgbClr val="438086"/>
                </a:fgClr>
                <a:bgClr>
                  <a:schemeClr val="bg1"/>
                </a:bgClr>
              </a:pattFill>
            </c:spPr>
          </c:dPt>
          <c:dPt>
            <c:idx val="5"/>
            <c:invertIfNegative val="0"/>
            <c:bubble3D val="0"/>
            <c:spPr>
              <a:solidFill>
                <a:schemeClr val="accent2">
                  <a:lumMod val="20000"/>
                  <a:lumOff val="80000"/>
                </a:schemeClr>
              </a:solidFill>
            </c:spPr>
          </c:dPt>
          <c:dPt>
            <c:idx val="6"/>
            <c:invertIfNegative val="0"/>
            <c:bubble3D val="0"/>
            <c:spPr>
              <a:solidFill>
                <a:schemeClr val="accent2">
                  <a:lumMod val="20000"/>
                  <a:lumOff val="80000"/>
                </a:schemeClr>
              </a:solidFill>
            </c:spPr>
          </c:dPt>
          <c:dLbls>
            <c:showLegendKey val="0"/>
            <c:showVal val="1"/>
            <c:showCatName val="0"/>
            <c:showSerName val="0"/>
            <c:showPercent val="0"/>
            <c:showBubbleSize val="0"/>
            <c:showLeaderLines val="0"/>
          </c:dLbls>
          <c:cat>
            <c:strRef>
              <c:f>Hoja2!$B$98:$B$104</c:f>
              <c:strCache>
                <c:ptCount val="7"/>
                <c:pt idx="0">
                  <c:v>Federación Deportiva</c:v>
                </c:pt>
                <c:pt idx="1">
                  <c:v>ONG</c:v>
                </c:pt>
                <c:pt idx="2">
                  <c:v>Fundación Privada</c:v>
                </c:pt>
                <c:pt idx="3">
                  <c:v>Asociación</c:v>
                </c:pt>
                <c:pt idx="4">
                  <c:v>Total Sujetos Privados</c:v>
                </c:pt>
                <c:pt idx="5">
                  <c:v>Empresa</c:v>
                </c:pt>
                <c:pt idx="6">
                  <c:v>Cooperativa</c:v>
                </c:pt>
              </c:strCache>
            </c:strRef>
          </c:cat>
          <c:val>
            <c:numRef>
              <c:f>Hoja2!$C$98:$C$104</c:f>
              <c:numCache>
                <c:formatCode>0.0%</c:formatCode>
                <c:ptCount val="7"/>
                <c:pt idx="0">
                  <c:v>0.7073283858998145</c:v>
                </c:pt>
                <c:pt idx="1">
                  <c:v>0.5206074306645736</c:v>
                </c:pt>
                <c:pt idx="2">
                  <c:v>0.45332473648800176</c:v>
                </c:pt>
                <c:pt idx="3">
                  <c:v>0.38355850498707644</c:v>
                </c:pt>
                <c:pt idx="4">
                  <c:v>0.33359530619756184</c:v>
                </c:pt>
                <c:pt idx="5">
                  <c:v>0.16711076706544686</c:v>
                </c:pt>
                <c:pt idx="6">
                  <c:v>0.14965986394557823</c:v>
                </c:pt>
              </c:numCache>
            </c:numRef>
          </c:val>
        </c:ser>
        <c:dLbls>
          <c:showLegendKey val="0"/>
          <c:showVal val="0"/>
          <c:showCatName val="0"/>
          <c:showSerName val="0"/>
          <c:showPercent val="0"/>
          <c:showBubbleSize val="0"/>
        </c:dLbls>
        <c:gapWidth val="150"/>
        <c:axId val="206806400"/>
        <c:axId val="206816384"/>
      </c:barChart>
      <c:catAx>
        <c:axId val="206806400"/>
        <c:scaling>
          <c:orientation val="minMax"/>
        </c:scaling>
        <c:delete val="0"/>
        <c:axPos val="b"/>
        <c:majorTickMark val="out"/>
        <c:minorTickMark val="none"/>
        <c:tickLblPos val="nextTo"/>
        <c:txPr>
          <a:bodyPr/>
          <a:lstStyle/>
          <a:p>
            <a:pPr>
              <a:defRPr sz="900"/>
            </a:pPr>
            <a:endParaRPr lang="es-ES"/>
          </a:p>
        </c:txPr>
        <c:crossAx val="206816384"/>
        <c:crosses val="autoZero"/>
        <c:auto val="1"/>
        <c:lblAlgn val="ctr"/>
        <c:lblOffset val="100"/>
        <c:noMultiLvlLbl val="0"/>
      </c:catAx>
      <c:valAx>
        <c:axId val="206816384"/>
        <c:scaling>
          <c:orientation val="minMax"/>
          <c:max val="1"/>
        </c:scaling>
        <c:delete val="0"/>
        <c:axPos val="l"/>
        <c:numFmt formatCode="0%" sourceLinked="0"/>
        <c:majorTickMark val="out"/>
        <c:minorTickMark val="none"/>
        <c:tickLblPos val="nextTo"/>
        <c:crossAx val="206806400"/>
        <c:crosses val="autoZero"/>
        <c:crossBetween val="between"/>
        <c:majorUnit val="0.2"/>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chemeClr val="accent2"/>
              </a:solidFill>
            </c:spPr>
          </c:dPt>
          <c:dPt>
            <c:idx val="1"/>
            <c:invertIfNegative val="0"/>
            <c:bubble3D val="0"/>
            <c:spPr>
              <a:solidFill>
                <a:schemeClr val="accent2">
                  <a:lumMod val="60000"/>
                  <a:lumOff val="40000"/>
                </a:schemeClr>
              </a:solidFill>
            </c:spPr>
          </c:dPt>
          <c:dPt>
            <c:idx val="2"/>
            <c:invertIfNegative val="0"/>
            <c:bubble3D val="0"/>
            <c:spPr>
              <a:pattFill prst="wdDnDiag">
                <a:fgClr>
                  <a:schemeClr val="accent2"/>
                </a:fgClr>
                <a:bgClr>
                  <a:schemeClr val="bg1"/>
                </a:bgClr>
              </a:pattFill>
            </c:spPr>
          </c:dPt>
          <c:dLbls>
            <c:showLegendKey val="0"/>
            <c:showVal val="1"/>
            <c:showCatName val="0"/>
            <c:showSerName val="0"/>
            <c:showPercent val="0"/>
            <c:showBubbleSize val="0"/>
            <c:showLeaderLines val="0"/>
          </c:dLbls>
          <c:cat>
            <c:strRef>
              <c:f>Hoja2!$B$4:$B$6</c:f>
              <c:strCache>
                <c:ptCount val="3"/>
                <c:pt idx="0">
                  <c:v>Evaluadas en 2021</c:v>
                </c:pt>
                <c:pt idx="1">
                  <c:v>Evaluadas en 2022</c:v>
                </c:pt>
                <c:pt idx="2">
                  <c:v>Total</c:v>
                </c:pt>
              </c:strCache>
            </c:strRef>
          </c:cat>
          <c:val>
            <c:numRef>
              <c:f>Hoja2!$C$4:$C$6</c:f>
              <c:numCache>
                <c:formatCode>###0.00</c:formatCode>
                <c:ptCount val="3"/>
                <c:pt idx="0">
                  <c:v>48</c:v>
                </c:pt>
                <c:pt idx="1">
                  <c:v>58</c:v>
                </c:pt>
                <c:pt idx="2">
                  <c:v>51.3</c:v>
                </c:pt>
              </c:numCache>
            </c:numRef>
          </c:val>
        </c:ser>
        <c:dLbls>
          <c:showLegendKey val="0"/>
          <c:showVal val="0"/>
          <c:showCatName val="0"/>
          <c:showSerName val="0"/>
          <c:showPercent val="0"/>
          <c:showBubbleSize val="0"/>
        </c:dLbls>
        <c:gapWidth val="150"/>
        <c:axId val="157226112"/>
        <c:axId val="157227648"/>
      </c:barChart>
      <c:catAx>
        <c:axId val="157226112"/>
        <c:scaling>
          <c:orientation val="minMax"/>
        </c:scaling>
        <c:delete val="0"/>
        <c:axPos val="b"/>
        <c:majorTickMark val="out"/>
        <c:minorTickMark val="none"/>
        <c:tickLblPos val="nextTo"/>
        <c:crossAx val="157227648"/>
        <c:crosses val="autoZero"/>
        <c:auto val="1"/>
        <c:lblAlgn val="ctr"/>
        <c:lblOffset val="100"/>
        <c:noMultiLvlLbl val="0"/>
      </c:catAx>
      <c:valAx>
        <c:axId val="157227648"/>
        <c:scaling>
          <c:orientation val="minMax"/>
        </c:scaling>
        <c:delete val="0"/>
        <c:axPos val="l"/>
        <c:numFmt formatCode="###0.00" sourceLinked="1"/>
        <c:majorTickMark val="out"/>
        <c:minorTickMark val="none"/>
        <c:tickLblPos val="nextTo"/>
        <c:crossAx val="157226112"/>
        <c:crosses val="autoZero"/>
        <c:crossBetween val="between"/>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2"/>
            </a:solidFill>
          </c:spPr>
          <c:invertIfNegative val="0"/>
          <c:dPt>
            <c:idx val="3"/>
            <c:invertIfNegative val="0"/>
            <c:bubble3D val="0"/>
            <c:spPr>
              <a:solidFill>
                <a:schemeClr val="accent2">
                  <a:lumMod val="60000"/>
                  <a:lumOff val="40000"/>
                </a:schemeClr>
              </a:solidFill>
            </c:spPr>
          </c:dPt>
          <c:dPt>
            <c:idx val="4"/>
            <c:invertIfNegative val="0"/>
            <c:bubble3D val="0"/>
            <c:spPr>
              <a:pattFill prst="wdDnDiag">
                <a:fgClr>
                  <a:schemeClr val="accent2"/>
                </a:fgClr>
                <a:bgClr>
                  <a:schemeClr val="bg1"/>
                </a:bgClr>
              </a:pattFill>
            </c:spPr>
          </c:dPt>
          <c:dPt>
            <c:idx val="5"/>
            <c:invertIfNegative val="0"/>
            <c:bubble3D val="0"/>
            <c:spPr>
              <a:solidFill>
                <a:schemeClr val="accent2">
                  <a:lumMod val="20000"/>
                  <a:lumOff val="80000"/>
                </a:schemeClr>
              </a:solidFill>
            </c:spPr>
          </c:dPt>
          <c:dPt>
            <c:idx val="6"/>
            <c:invertIfNegative val="0"/>
            <c:bubble3D val="0"/>
            <c:spPr>
              <a:solidFill>
                <a:schemeClr val="accent2">
                  <a:lumMod val="20000"/>
                  <a:lumOff val="80000"/>
                </a:schemeClr>
              </a:solidFill>
            </c:spPr>
          </c:dPt>
          <c:dLbls>
            <c:showLegendKey val="0"/>
            <c:showVal val="1"/>
            <c:showCatName val="0"/>
            <c:showSerName val="0"/>
            <c:showPercent val="0"/>
            <c:showBubbleSize val="0"/>
            <c:showLeaderLines val="0"/>
          </c:dLbls>
          <c:cat>
            <c:strRef>
              <c:f>Hoja2!$B$20:$B$26</c:f>
              <c:strCache>
                <c:ptCount val="7"/>
                <c:pt idx="0">
                  <c:v>Federación Deportiva</c:v>
                </c:pt>
                <c:pt idx="1">
                  <c:v>ONG</c:v>
                </c:pt>
                <c:pt idx="2">
                  <c:v>Fundación Privada</c:v>
                </c:pt>
                <c:pt idx="3">
                  <c:v>Asociación</c:v>
                </c:pt>
                <c:pt idx="4">
                  <c:v>Total sujetos privados</c:v>
                </c:pt>
                <c:pt idx="5">
                  <c:v>Cooperativa</c:v>
                </c:pt>
                <c:pt idx="6">
                  <c:v>Empresa</c:v>
                </c:pt>
              </c:strCache>
            </c:strRef>
          </c:cat>
          <c:val>
            <c:numRef>
              <c:f>Hoja2!$C$20:$C$26</c:f>
              <c:numCache>
                <c:formatCode>0.0%</c:formatCode>
                <c:ptCount val="7"/>
                <c:pt idx="0">
                  <c:v>0.78</c:v>
                </c:pt>
                <c:pt idx="1">
                  <c:v>0.75</c:v>
                </c:pt>
                <c:pt idx="2">
                  <c:v>0.7</c:v>
                </c:pt>
                <c:pt idx="3">
                  <c:v>0.56999999999999995</c:v>
                </c:pt>
                <c:pt idx="4">
                  <c:v>0.51300000000000001</c:v>
                </c:pt>
                <c:pt idx="5">
                  <c:v>0.33</c:v>
                </c:pt>
                <c:pt idx="6">
                  <c:v>0.31</c:v>
                </c:pt>
              </c:numCache>
            </c:numRef>
          </c:val>
        </c:ser>
        <c:dLbls>
          <c:showLegendKey val="0"/>
          <c:showVal val="0"/>
          <c:showCatName val="0"/>
          <c:showSerName val="0"/>
          <c:showPercent val="0"/>
          <c:showBubbleSize val="0"/>
        </c:dLbls>
        <c:gapWidth val="150"/>
        <c:axId val="204398592"/>
        <c:axId val="204400128"/>
      </c:barChart>
      <c:catAx>
        <c:axId val="204398592"/>
        <c:scaling>
          <c:orientation val="minMax"/>
        </c:scaling>
        <c:delete val="0"/>
        <c:axPos val="b"/>
        <c:majorTickMark val="out"/>
        <c:minorTickMark val="none"/>
        <c:tickLblPos val="nextTo"/>
        <c:txPr>
          <a:bodyPr/>
          <a:lstStyle/>
          <a:p>
            <a:pPr>
              <a:defRPr sz="900"/>
            </a:pPr>
            <a:endParaRPr lang="es-ES"/>
          </a:p>
        </c:txPr>
        <c:crossAx val="204400128"/>
        <c:crosses val="autoZero"/>
        <c:auto val="1"/>
        <c:lblAlgn val="ctr"/>
        <c:lblOffset val="100"/>
        <c:noMultiLvlLbl val="0"/>
      </c:catAx>
      <c:valAx>
        <c:axId val="204400128"/>
        <c:scaling>
          <c:orientation val="minMax"/>
          <c:max val="1"/>
        </c:scaling>
        <c:delete val="0"/>
        <c:axPos val="l"/>
        <c:numFmt formatCode="0%" sourceLinked="0"/>
        <c:majorTickMark val="out"/>
        <c:minorTickMark val="none"/>
        <c:tickLblPos val="nextTo"/>
        <c:crossAx val="204398592"/>
        <c:crosses val="autoZero"/>
        <c:crossBetween val="between"/>
        <c:majorUnit val="0.2"/>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pattFill prst="wdDnDiag">
              <a:fgClr>
                <a:srgbClr val="438086"/>
              </a:fgClr>
              <a:bgClr>
                <a:sysClr val="window" lastClr="FFFFFF"/>
              </a:bgClr>
            </a:pattFill>
          </c:spPr>
          <c:invertIfNegative val="0"/>
          <c:dLbls>
            <c:showLegendKey val="0"/>
            <c:showVal val="1"/>
            <c:showCatName val="0"/>
            <c:showSerName val="0"/>
            <c:showPercent val="0"/>
            <c:showBubbleSize val="0"/>
            <c:showLeaderLines val="0"/>
          </c:dLbls>
          <c:cat>
            <c:strRef>
              <c:f>total!$M$14:$T$14</c:f>
              <c:strCache>
                <c:ptCount val="8"/>
                <c:pt idx="0">
                  <c:v>CONTENIDO </c:v>
                </c:pt>
                <c:pt idx="1">
                  <c:v>FORMA </c:v>
                </c:pt>
                <c:pt idx="2">
                  <c:v>ESTRUCTURACIÓN </c:v>
                </c:pt>
                <c:pt idx="3">
                  <c:v>ACCESIBILIDAD </c:v>
                </c:pt>
                <c:pt idx="4">
                  <c:v>CLARIDAD </c:v>
                </c:pt>
                <c:pt idx="5">
                  <c:v>REUTILIZACIÓN </c:v>
                </c:pt>
                <c:pt idx="6">
                  <c:v>ACTUALIZACIÓN </c:v>
                </c:pt>
                <c:pt idx="7">
                  <c:v>TOTAL</c:v>
                </c:pt>
              </c:strCache>
            </c:strRef>
          </c:cat>
          <c:val>
            <c:numRef>
              <c:f>total!$M$15:$T$15</c:f>
              <c:numCache>
                <c:formatCode>0.0%</c:formatCode>
                <c:ptCount val="8"/>
                <c:pt idx="0">
                  <c:v>0.51315789473684215</c:v>
                </c:pt>
                <c:pt idx="1">
                  <c:v>0.53728070175438591</c:v>
                </c:pt>
                <c:pt idx="2">
                  <c:v>0.53728070175438591</c:v>
                </c:pt>
                <c:pt idx="3">
                  <c:v>0.53728070175438591</c:v>
                </c:pt>
                <c:pt idx="4">
                  <c:v>0.53508771929824561</c:v>
                </c:pt>
                <c:pt idx="5">
                  <c:v>0.48903508771929827</c:v>
                </c:pt>
                <c:pt idx="6">
                  <c:v>0.15241228070175439</c:v>
                </c:pt>
                <c:pt idx="7">
                  <c:v>0.47164786967418548</c:v>
                </c:pt>
              </c:numCache>
            </c:numRef>
          </c:val>
        </c:ser>
        <c:dLbls>
          <c:showLegendKey val="0"/>
          <c:showVal val="0"/>
          <c:showCatName val="0"/>
          <c:showSerName val="0"/>
          <c:showPercent val="0"/>
          <c:showBubbleSize val="0"/>
        </c:dLbls>
        <c:gapWidth val="150"/>
        <c:axId val="204571776"/>
        <c:axId val="204573312"/>
      </c:barChart>
      <c:catAx>
        <c:axId val="204571776"/>
        <c:scaling>
          <c:orientation val="minMax"/>
        </c:scaling>
        <c:delete val="0"/>
        <c:axPos val="b"/>
        <c:majorTickMark val="out"/>
        <c:minorTickMark val="none"/>
        <c:tickLblPos val="nextTo"/>
        <c:crossAx val="204573312"/>
        <c:crosses val="autoZero"/>
        <c:auto val="1"/>
        <c:lblAlgn val="ctr"/>
        <c:lblOffset val="100"/>
        <c:noMultiLvlLbl val="0"/>
      </c:catAx>
      <c:valAx>
        <c:axId val="204573312"/>
        <c:scaling>
          <c:orientation val="minMax"/>
          <c:max val="1"/>
        </c:scaling>
        <c:delete val="0"/>
        <c:axPos val="l"/>
        <c:numFmt formatCode="0.0%" sourceLinked="1"/>
        <c:majorTickMark val="out"/>
        <c:minorTickMark val="none"/>
        <c:tickLblPos val="nextTo"/>
        <c:crossAx val="204571776"/>
        <c:crosses val="autoZero"/>
        <c:crossBetween val="between"/>
        <c:majorUnit val="0.2"/>
      </c:valAx>
    </c:plotArea>
    <c:plotVisOnly val="1"/>
    <c:dispBlanksAs val="gap"/>
    <c:showDLblsOverMax val="0"/>
  </c:chart>
  <c:txPr>
    <a:bodyPr/>
    <a:lstStyle/>
    <a:p>
      <a:pPr>
        <a:defRPr>
          <a:latin typeface="Century Gothic" pitchFamily="34" charset="0"/>
        </a:defRPr>
      </a:pPr>
      <a:endParaRPr lang="es-E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438086"/>
            </a:solidFill>
          </c:spPr>
          <c:invertIfNegative val="0"/>
          <c:dPt>
            <c:idx val="3"/>
            <c:invertIfNegative val="0"/>
            <c:bubble3D val="0"/>
            <c:spPr>
              <a:solidFill>
                <a:schemeClr val="accent2">
                  <a:lumMod val="60000"/>
                  <a:lumOff val="40000"/>
                </a:schemeClr>
              </a:solidFill>
            </c:spPr>
          </c:dPt>
          <c:dPt>
            <c:idx val="4"/>
            <c:invertIfNegative val="0"/>
            <c:bubble3D val="0"/>
            <c:spPr>
              <a:pattFill prst="wdDnDiag">
                <a:fgClr>
                  <a:schemeClr val="accent2"/>
                </a:fgClr>
                <a:bgClr>
                  <a:schemeClr val="bg1"/>
                </a:bgClr>
              </a:pattFill>
            </c:spPr>
          </c:dPt>
          <c:dPt>
            <c:idx val="5"/>
            <c:invertIfNegative val="0"/>
            <c:bubble3D val="0"/>
            <c:spPr>
              <a:solidFill>
                <a:schemeClr val="accent2">
                  <a:lumMod val="20000"/>
                  <a:lumOff val="80000"/>
                </a:schemeClr>
              </a:solidFill>
            </c:spPr>
          </c:dPt>
          <c:dPt>
            <c:idx val="6"/>
            <c:invertIfNegative val="0"/>
            <c:bubble3D val="0"/>
            <c:spPr>
              <a:solidFill>
                <a:schemeClr val="accent2">
                  <a:lumMod val="20000"/>
                  <a:lumOff val="80000"/>
                </a:schemeClr>
              </a:solidFill>
            </c:spPr>
          </c:dPt>
          <c:dLbls>
            <c:showLegendKey val="0"/>
            <c:showVal val="1"/>
            <c:showCatName val="0"/>
            <c:showSerName val="0"/>
            <c:showPercent val="0"/>
            <c:showBubbleSize val="0"/>
            <c:showLeaderLines val="0"/>
          </c:dLbls>
          <c:cat>
            <c:strRef>
              <c:f>Hoja2!$B$67:$B$73</c:f>
              <c:strCache>
                <c:ptCount val="7"/>
                <c:pt idx="0">
                  <c:v>ONG</c:v>
                </c:pt>
                <c:pt idx="1">
                  <c:v>Federación Deportiva</c:v>
                </c:pt>
                <c:pt idx="2">
                  <c:v>Fundación Privada</c:v>
                </c:pt>
                <c:pt idx="3">
                  <c:v>Asociación</c:v>
                </c:pt>
                <c:pt idx="4">
                  <c:v>Total sujetos privados</c:v>
                </c:pt>
                <c:pt idx="5">
                  <c:v>Cooperativa</c:v>
                </c:pt>
                <c:pt idx="6">
                  <c:v>Empresa</c:v>
                </c:pt>
              </c:strCache>
            </c:strRef>
          </c:cat>
          <c:val>
            <c:numRef>
              <c:f>Hoja2!$C$67:$C$73</c:f>
              <c:numCache>
                <c:formatCode>0.0%</c:formatCode>
                <c:ptCount val="7"/>
                <c:pt idx="0">
                  <c:v>0.69179894179894186</c:v>
                </c:pt>
                <c:pt idx="1">
                  <c:v>0.67063492063492058</c:v>
                </c:pt>
                <c:pt idx="2">
                  <c:v>0.64710884353741494</c:v>
                </c:pt>
                <c:pt idx="3">
                  <c:v>0.53835978835978837</c:v>
                </c:pt>
                <c:pt idx="4">
                  <c:v>0.47199999999999998</c:v>
                </c:pt>
                <c:pt idx="5">
                  <c:v>0.29365079365079366</c:v>
                </c:pt>
                <c:pt idx="6">
                  <c:v>0.27504105090311981</c:v>
                </c:pt>
              </c:numCache>
            </c:numRef>
          </c:val>
        </c:ser>
        <c:dLbls>
          <c:showLegendKey val="0"/>
          <c:showVal val="0"/>
          <c:showCatName val="0"/>
          <c:showSerName val="0"/>
          <c:showPercent val="0"/>
          <c:showBubbleSize val="0"/>
        </c:dLbls>
        <c:gapWidth val="150"/>
        <c:axId val="205791232"/>
        <c:axId val="205792768"/>
      </c:barChart>
      <c:catAx>
        <c:axId val="205791232"/>
        <c:scaling>
          <c:orientation val="minMax"/>
        </c:scaling>
        <c:delete val="0"/>
        <c:axPos val="b"/>
        <c:majorTickMark val="out"/>
        <c:minorTickMark val="none"/>
        <c:tickLblPos val="nextTo"/>
        <c:txPr>
          <a:bodyPr/>
          <a:lstStyle/>
          <a:p>
            <a:pPr>
              <a:defRPr sz="900"/>
            </a:pPr>
            <a:endParaRPr lang="es-ES"/>
          </a:p>
        </c:txPr>
        <c:crossAx val="205792768"/>
        <c:crosses val="autoZero"/>
        <c:auto val="1"/>
        <c:lblAlgn val="ctr"/>
        <c:lblOffset val="100"/>
        <c:noMultiLvlLbl val="0"/>
      </c:catAx>
      <c:valAx>
        <c:axId val="205792768"/>
        <c:scaling>
          <c:orientation val="minMax"/>
        </c:scaling>
        <c:delete val="0"/>
        <c:axPos val="l"/>
        <c:numFmt formatCode="0.0%" sourceLinked="1"/>
        <c:majorTickMark val="out"/>
        <c:minorTickMark val="none"/>
        <c:tickLblPos val="nextTo"/>
        <c:crossAx val="205791232"/>
        <c:crosses val="autoZero"/>
        <c:crossBetween val="between"/>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099518810148737E-2"/>
          <c:y val="5.1400554097404488E-2"/>
          <c:w val="0.89745603674540686"/>
          <c:h val="0.8326195683872849"/>
        </c:manualLayout>
      </c:layout>
      <c:barChart>
        <c:barDir val="col"/>
        <c:grouping val="clustered"/>
        <c:varyColors val="0"/>
        <c:ser>
          <c:idx val="0"/>
          <c:order val="0"/>
          <c:invertIfNegative val="0"/>
          <c:dPt>
            <c:idx val="0"/>
            <c:invertIfNegative val="0"/>
            <c:bubble3D val="0"/>
            <c:spPr>
              <a:solidFill>
                <a:srgbClr val="438086"/>
              </a:solidFill>
            </c:spPr>
          </c:dPt>
          <c:dPt>
            <c:idx val="1"/>
            <c:invertIfNegative val="0"/>
            <c:bubble3D val="0"/>
            <c:spPr>
              <a:pattFill prst="wdDnDiag">
                <a:fgClr>
                  <a:srgbClr val="438086"/>
                </a:fgClr>
                <a:bgClr>
                  <a:sysClr val="window" lastClr="FFFFFF"/>
                </a:bgClr>
              </a:pattFill>
            </c:spPr>
          </c:dPt>
          <c:dPt>
            <c:idx val="2"/>
            <c:invertIfNegative val="0"/>
            <c:bubble3D val="0"/>
            <c:spPr>
              <a:solidFill>
                <a:srgbClr val="438086">
                  <a:lumMod val="40000"/>
                  <a:lumOff val="60000"/>
                </a:srgbClr>
              </a:solidFill>
            </c:spPr>
          </c:dPt>
          <c:dLbls>
            <c:showLegendKey val="0"/>
            <c:showVal val="1"/>
            <c:showCatName val="0"/>
            <c:showSerName val="0"/>
            <c:showPercent val="0"/>
            <c:showBubbleSize val="0"/>
            <c:showLeaderLines val="0"/>
          </c:dLbls>
          <c:cat>
            <c:strRef>
              <c:f>Hoja2!$B$52:$B$54</c:f>
              <c:strCache>
                <c:ptCount val="3"/>
                <c:pt idx="0">
                  <c:v>Evaluadas en 2022</c:v>
                </c:pt>
                <c:pt idx="1">
                  <c:v>Total sujetos privados</c:v>
                </c:pt>
                <c:pt idx="2">
                  <c:v>Evaluadas en 2021</c:v>
                </c:pt>
              </c:strCache>
            </c:strRef>
          </c:cat>
          <c:val>
            <c:numRef>
              <c:f>Hoja2!$C$52:$C$54</c:f>
              <c:numCache>
                <c:formatCode>0.0%</c:formatCode>
                <c:ptCount val="3"/>
                <c:pt idx="0">
                  <c:v>0.252</c:v>
                </c:pt>
                <c:pt idx="1">
                  <c:v>0.217</c:v>
                </c:pt>
                <c:pt idx="2">
                  <c:v>0.19900000000000001</c:v>
                </c:pt>
              </c:numCache>
            </c:numRef>
          </c:val>
        </c:ser>
        <c:dLbls>
          <c:showLegendKey val="0"/>
          <c:showVal val="0"/>
          <c:showCatName val="0"/>
          <c:showSerName val="0"/>
          <c:showPercent val="0"/>
          <c:showBubbleSize val="0"/>
        </c:dLbls>
        <c:gapWidth val="150"/>
        <c:axId val="206068352"/>
        <c:axId val="206074240"/>
      </c:barChart>
      <c:catAx>
        <c:axId val="206068352"/>
        <c:scaling>
          <c:orientation val="minMax"/>
        </c:scaling>
        <c:delete val="0"/>
        <c:axPos val="b"/>
        <c:majorTickMark val="out"/>
        <c:minorTickMark val="none"/>
        <c:tickLblPos val="nextTo"/>
        <c:crossAx val="206074240"/>
        <c:crosses val="autoZero"/>
        <c:auto val="1"/>
        <c:lblAlgn val="ctr"/>
        <c:lblOffset val="100"/>
        <c:noMultiLvlLbl val="0"/>
      </c:catAx>
      <c:valAx>
        <c:axId val="206074240"/>
        <c:scaling>
          <c:orientation val="minMax"/>
          <c:max val="1"/>
        </c:scaling>
        <c:delete val="0"/>
        <c:axPos val="l"/>
        <c:numFmt formatCode="0%" sourceLinked="0"/>
        <c:majorTickMark val="out"/>
        <c:minorTickMark val="none"/>
        <c:tickLblPos val="nextTo"/>
        <c:crossAx val="206068352"/>
        <c:crosses val="autoZero"/>
        <c:crossBetween val="between"/>
        <c:majorUnit val="0.2"/>
      </c:valAx>
    </c:plotArea>
    <c:plotVisOnly val="1"/>
    <c:dispBlanksAs val="gap"/>
    <c:showDLblsOverMax val="0"/>
  </c:chart>
  <c:txPr>
    <a:bodyPr/>
    <a:lstStyle/>
    <a:p>
      <a:pPr>
        <a:defRPr>
          <a:latin typeface="Century Gothic" pitchFamily="34" charset="0"/>
        </a:defRPr>
      </a:pPr>
      <a:endParaRPr lang="es-E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2"/>
            </a:solidFill>
          </c:spPr>
          <c:invertIfNegative val="0"/>
          <c:dPt>
            <c:idx val="1"/>
            <c:invertIfNegative val="0"/>
            <c:bubble3D val="0"/>
            <c:spPr>
              <a:solidFill>
                <a:schemeClr val="accent2">
                  <a:lumMod val="60000"/>
                  <a:lumOff val="40000"/>
                </a:schemeClr>
              </a:solidFill>
            </c:spPr>
          </c:dPt>
          <c:dPt>
            <c:idx val="2"/>
            <c:invertIfNegative val="0"/>
            <c:bubble3D val="0"/>
            <c:spPr>
              <a:solidFill>
                <a:schemeClr val="accent2">
                  <a:lumMod val="60000"/>
                  <a:lumOff val="40000"/>
                </a:schemeClr>
              </a:solidFill>
            </c:spPr>
          </c:dPt>
          <c:dPt>
            <c:idx val="3"/>
            <c:invertIfNegative val="0"/>
            <c:bubble3D val="0"/>
            <c:spPr>
              <a:solidFill>
                <a:schemeClr val="accent2">
                  <a:lumMod val="60000"/>
                  <a:lumOff val="40000"/>
                </a:schemeClr>
              </a:solidFill>
            </c:spPr>
          </c:dPt>
          <c:dPt>
            <c:idx val="4"/>
            <c:invertIfNegative val="0"/>
            <c:bubble3D val="0"/>
            <c:spPr>
              <a:pattFill prst="wdDnDiag">
                <a:fgClr>
                  <a:schemeClr val="accent2"/>
                </a:fgClr>
                <a:bgClr>
                  <a:schemeClr val="bg1"/>
                </a:bgClr>
              </a:pattFill>
            </c:spPr>
          </c:dPt>
          <c:dPt>
            <c:idx val="5"/>
            <c:invertIfNegative val="0"/>
            <c:bubble3D val="0"/>
            <c:spPr>
              <a:solidFill>
                <a:schemeClr val="accent2">
                  <a:lumMod val="20000"/>
                  <a:lumOff val="80000"/>
                </a:schemeClr>
              </a:solidFill>
            </c:spPr>
          </c:dPt>
          <c:dPt>
            <c:idx val="6"/>
            <c:invertIfNegative val="0"/>
            <c:bubble3D val="0"/>
            <c:spPr>
              <a:solidFill>
                <a:schemeClr val="accent2">
                  <a:lumMod val="20000"/>
                  <a:lumOff val="80000"/>
                </a:schemeClr>
              </a:solidFill>
            </c:spPr>
          </c:dPt>
          <c:dLbls>
            <c:showLegendKey val="0"/>
            <c:showVal val="1"/>
            <c:showCatName val="0"/>
            <c:showSerName val="0"/>
            <c:showPercent val="0"/>
            <c:showBubbleSize val="0"/>
            <c:showLeaderLines val="0"/>
          </c:dLbls>
          <c:cat>
            <c:strRef>
              <c:f>Hoja2!$A$43:$A$49</c:f>
              <c:strCache>
                <c:ptCount val="7"/>
                <c:pt idx="0">
                  <c:v>Federación Deportiva</c:v>
                </c:pt>
                <c:pt idx="1">
                  <c:v>ONG</c:v>
                </c:pt>
                <c:pt idx="2">
                  <c:v>Fundación Privada</c:v>
                </c:pt>
                <c:pt idx="3">
                  <c:v>Asociación</c:v>
                </c:pt>
                <c:pt idx="4">
                  <c:v>Total sujetos privados</c:v>
                </c:pt>
                <c:pt idx="5">
                  <c:v>Empresa</c:v>
                </c:pt>
                <c:pt idx="6">
                  <c:v>Cooperativa</c:v>
                </c:pt>
              </c:strCache>
            </c:strRef>
          </c:cat>
          <c:val>
            <c:numRef>
              <c:f>Hoja2!$B$43:$B$49</c:f>
              <c:numCache>
                <c:formatCode>0.0%</c:formatCode>
                <c:ptCount val="7"/>
                <c:pt idx="0">
                  <c:v>0.76666666666666672</c:v>
                </c:pt>
                <c:pt idx="1">
                  <c:v>0.3903051587301587</c:v>
                </c:pt>
                <c:pt idx="2">
                  <c:v>0.33864795918367341</c:v>
                </c:pt>
                <c:pt idx="3">
                  <c:v>0.24742063492063493</c:v>
                </c:pt>
                <c:pt idx="4">
                  <c:v>0.217</c:v>
                </c:pt>
                <c:pt idx="5">
                  <c:v>7.2250431034482782E-2</c:v>
                </c:pt>
                <c:pt idx="6">
                  <c:v>4.1666666666666671E-2</c:v>
                </c:pt>
              </c:numCache>
            </c:numRef>
          </c:val>
        </c:ser>
        <c:dLbls>
          <c:showLegendKey val="0"/>
          <c:showVal val="0"/>
          <c:showCatName val="0"/>
          <c:showSerName val="0"/>
          <c:showPercent val="0"/>
          <c:showBubbleSize val="0"/>
        </c:dLbls>
        <c:gapWidth val="150"/>
        <c:axId val="206178560"/>
        <c:axId val="206184448"/>
      </c:barChart>
      <c:catAx>
        <c:axId val="206178560"/>
        <c:scaling>
          <c:orientation val="minMax"/>
        </c:scaling>
        <c:delete val="0"/>
        <c:axPos val="b"/>
        <c:numFmt formatCode="0.0%" sourceLinked="1"/>
        <c:majorTickMark val="out"/>
        <c:minorTickMark val="none"/>
        <c:tickLblPos val="nextTo"/>
        <c:txPr>
          <a:bodyPr/>
          <a:lstStyle/>
          <a:p>
            <a:pPr>
              <a:defRPr sz="900"/>
            </a:pPr>
            <a:endParaRPr lang="es-ES"/>
          </a:p>
        </c:txPr>
        <c:crossAx val="206184448"/>
        <c:crosses val="autoZero"/>
        <c:auto val="1"/>
        <c:lblAlgn val="ctr"/>
        <c:lblOffset val="100"/>
        <c:noMultiLvlLbl val="0"/>
      </c:catAx>
      <c:valAx>
        <c:axId val="206184448"/>
        <c:scaling>
          <c:orientation val="minMax"/>
        </c:scaling>
        <c:delete val="0"/>
        <c:axPos val="l"/>
        <c:numFmt formatCode="0%" sourceLinked="0"/>
        <c:majorTickMark val="out"/>
        <c:minorTickMark val="none"/>
        <c:tickLblPos val="nextTo"/>
        <c:crossAx val="206178560"/>
        <c:crosses val="autoZero"/>
        <c:crossBetween val="between"/>
        <c:majorUnit val="0.2"/>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pattFill prst="wdDnDiag">
              <a:fgClr>
                <a:srgbClr val="438086"/>
              </a:fgClr>
              <a:bgClr>
                <a:sysClr val="window" lastClr="FFFFFF"/>
              </a:bgClr>
            </a:pattFill>
          </c:spPr>
          <c:invertIfNegative val="0"/>
          <c:dLbls>
            <c:showLegendKey val="0"/>
            <c:showVal val="1"/>
            <c:showCatName val="0"/>
            <c:showSerName val="0"/>
            <c:showPercent val="0"/>
            <c:showBubbleSize val="0"/>
            <c:showLeaderLines val="0"/>
          </c:dLbls>
          <c:cat>
            <c:strRef>
              <c:f>total!$M$34:$T$34</c:f>
              <c:strCache>
                <c:ptCount val="8"/>
                <c:pt idx="0">
                  <c:v>CONTENIDO </c:v>
                </c:pt>
                <c:pt idx="1">
                  <c:v>FORMA </c:v>
                </c:pt>
                <c:pt idx="2">
                  <c:v>ESTRUCTURACIÓN </c:v>
                </c:pt>
                <c:pt idx="3">
                  <c:v>ACCESIBILIDAD </c:v>
                </c:pt>
                <c:pt idx="4">
                  <c:v>CLARIDAD </c:v>
                </c:pt>
                <c:pt idx="5">
                  <c:v>REUTILIZACIÓN </c:v>
                </c:pt>
                <c:pt idx="6">
                  <c:v>ACTUALIZACIÓN </c:v>
                </c:pt>
                <c:pt idx="7">
                  <c:v>TOTAL</c:v>
                </c:pt>
              </c:strCache>
            </c:strRef>
          </c:cat>
          <c:val>
            <c:numRef>
              <c:f>total!$M$35:$T$35</c:f>
              <c:numCache>
                <c:formatCode>0.0%</c:formatCode>
                <c:ptCount val="8"/>
                <c:pt idx="0">
                  <c:v>0.2169670710571924</c:v>
                </c:pt>
                <c:pt idx="1">
                  <c:v>0.2247261698440208</c:v>
                </c:pt>
                <c:pt idx="2">
                  <c:v>0.23223570190641249</c:v>
                </c:pt>
                <c:pt idx="3">
                  <c:v>0.22530329289428075</c:v>
                </c:pt>
                <c:pt idx="4">
                  <c:v>0.23223570190641249</c:v>
                </c:pt>
                <c:pt idx="5">
                  <c:v>0.18024263431542462</c:v>
                </c:pt>
                <c:pt idx="6">
                  <c:v>0.19670710571923744</c:v>
                </c:pt>
                <c:pt idx="7">
                  <c:v>0.21548823966328298</c:v>
                </c:pt>
              </c:numCache>
            </c:numRef>
          </c:val>
        </c:ser>
        <c:dLbls>
          <c:showLegendKey val="0"/>
          <c:showVal val="0"/>
          <c:showCatName val="0"/>
          <c:showSerName val="0"/>
          <c:showPercent val="0"/>
          <c:showBubbleSize val="0"/>
        </c:dLbls>
        <c:gapWidth val="150"/>
        <c:axId val="206196096"/>
        <c:axId val="206312576"/>
      </c:barChart>
      <c:catAx>
        <c:axId val="206196096"/>
        <c:scaling>
          <c:orientation val="minMax"/>
        </c:scaling>
        <c:delete val="0"/>
        <c:axPos val="b"/>
        <c:majorTickMark val="out"/>
        <c:minorTickMark val="none"/>
        <c:tickLblPos val="nextTo"/>
        <c:crossAx val="206312576"/>
        <c:crosses val="autoZero"/>
        <c:auto val="1"/>
        <c:lblAlgn val="ctr"/>
        <c:lblOffset val="100"/>
        <c:noMultiLvlLbl val="0"/>
      </c:catAx>
      <c:valAx>
        <c:axId val="206312576"/>
        <c:scaling>
          <c:orientation val="minMax"/>
          <c:max val="1"/>
          <c:min val="0"/>
        </c:scaling>
        <c:delete val="0"/>
        <c:axPos val="l"/>
        <c:numFmt formatCode="0.0%" sourceLinked="1"/>
        <c:majorTickMark val="out"/>
        <c:minorTickMark val="none"/>
        <c:tickLblPos val="nextTo"/>
        <c:crossAx val="206196096"/>
        <c:crosses val="autoZero"/>
        <c:crossBetween val="between"/>
        <c:majorUnit val="0.2"/>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2"/>
            </a:solidFill>
          </c:spPr>
          <c:invertIfNegative val="0"/>
          <c:dPt>
            <c:idx val="2"/>
            <c:invertIfNegative val="0"/>
            <c:bubble3D val="0"/>
            <c:spPr>
              <a:solidFill>
                <a:schemeClr val="accent2">
                  <a:lumMod val="60000"/>
                  <a:lumOff val="40000"/>
                </a:schemeClr>
              </a:solidFill>
            </c:spPr>
          </c:dPt>
          <c:dPt>
            <c:idx val="3"/>
            <c:invertIfNegative val="0"/>
            <c:bubble3D val="0"/>
            <c:spPr>
              <a:solidFill>
                <a:schemeClr val="accent2">
                  <a:lumMod val="60000"/>
                  <a:lumOff val="40000"/>
                </a:schemeClr>
              </a:solidFill>
            </c:spPr>
          </c:dPt>
          <c:dPt>
            <c:idx val="4"/>
            <c:invertIfNegative val="0"/>
            <c:bubble3D val="0"/>
            <c:spPr>
              <a:pattFill prst="wdDnDiag">
                <a:fgClr>
                  <a:schemeClr val="accent2"/>
                </a:fgClr>
                <a:bgClr>
                  <a:schemeClr val="bg1"/>
                </a:bgClr>
              </a:pattFill>
            </c:spPr>
          </c:dPt>
          <c:dPt>
            <c:idx val="5"/>
            <c:invertIfNegative val="0"/>
            <c:bubble3D val="0"/>
            <c:spPr>
              <a:solidFill>
                <a:schemeClr val="accent2">
                  <a:lumMod val="20000"/>
                  <a:lumOff val="80000"/>
                </a:schemeClr>
              </a:solidFill>
            </c:spPr>
          </c:dPt>
          <c:dPt>
            <c:idx val="6"/>
            <c:invertIfNegative val="0"/>
            <c:bubble3D val="0"/>
            <c:spPr>
              <a:solidFill>
                <a:schemeClr val="accent6">
                  <a:lumMod val="20000"/>
                  <a:lumOff val="80000"/>
                </a:schemeClr>
              </a:solidFill>
            </c:spPr>
          </c:dPt>
          <c:dLbls>
            <c:numFmt formatCode="0.0%" sourceLinked="0"/>
            <c:showLegendKey val="0"/>
            <c:showVal val="1"/>
            <c:showCatName val="0"/>
            <c:showSerName val="0"/>
            <c:showPercent val="0"/>
            <c:showBubbleSize val="0"/>
            <c:showLeaderLines val="0"/>
          </c:dLbls>
          <c:cat>
            <c:strRef>
              <c:f>Hoja2!$B$83:$B$89</c:f>
              <c:strCache>
                <c:ptCount val="7"/>
                <c:pt idx="0">
                  <c:v>Federación Deportiva</c:v>
                </c:pt>
                <c:pt idx="1">
                  <c:v>ONG</c:v>
                </c:pt>
                <c:pt idx="2">
                  <c:v>Fundación Privada</c:v>
                </c:pt>
                <c:pt idx="3">
                  <c:v>Asociación</c:v>
                </c:pt>
                <c:pt idx="4">
                  <c:v>Total Sujetos Privados</c:v>
                </c:pt>
                <c:pt idx="5">
                  <c:v>Empresa</c:v>
                </c:pt>
                <c:pt idx="6">
                  <c:v>Cooperativa</c:v>
                </c:pt>
              </c:strCache>
            </c:strRef>
          </c:cat>
          <c:val>
            <c:numRef>
              <c:f>Hoja2!$C$83:$C$89</c:f>
              <c:numCache>
                <c:formatCode>0.0%</c:formatCode>
                <c:ptCount val="7"/>
                <c:pt idx="0">
                  <c:v>0.76190476190476186</c:v>
                </c:pt>
                <c:pt idx="1">
                  <c:v>0.38965810657596378</c:v>
                </c:pt>
                <c:pt idx="2">
                  <c:v>0.30676020408163263</c:v>
                </c:pt>
                <c:pt idx="3">
                  <c:v>0.24179421768707485</c:v>
                </c:pt>
                <c:pt idx="4">
                  <c:v>0.22451716568206231</c:v>
                </c:pt>
                <c:pt idx="5">
                  <c:v>8.6163054187192112E-2</c:v>
                </c:pt>
                <c:pt idx="6">
                  <c:v>4.1666666666666671E-2</c:v>
                </c:pt>
              </c:numCache>
            </c:numRef>
          </c:val>
        </c:ser>
        <c:dLbls>
          <c:showLegendKey val="0"/>
          <c:showVal val="0"/>
          <c:showCatName val="0"/>
          <c:showSerName val="0"/>
          <c:showPercent val="0"/>
          <c:showBubbleSize val="0"/>
        </c:dLbls>
        <c:gapWidth val="150"/>
        <c:axId val="206936704"/>
        <c:axId val="206938496"/>
      </c:barChart>
      <c:catAx>
        <c:axId val="206936704"/>
        <c:scaling>
          <c:orientation val="minMax"/>
        </c:scaling>
        <c:delete val="0"/>
        <c:axPos val="b"/>
        <c:numFmt formatCode="General" sourceLinked="1"/>
        <c:majorTickMark val="out"/>
        <c:minorTickMark val="none"/>
        <c:tickLblPos val="nextTo"/>
        <c:txPr>
          <a:bodyPr/>
          <a:lstStyle/>
          <a:p>
            <a:pPr>
              <a:defRPr sz="900"/>
            </a:pPr>
            <a:endParaRPr lang="es-ES"/>
          </a:p>
        </c:txPr>
        <c:crossAx val="206938496"/>
        <c:crosses val="autoZero"/>
        <c:auto val="1"/>
        <c:lblAlgn val="ctr"/>
        <c:lblOffset val="100"/>
        <c:noMultiLvlLbl val="0"/>
      </c:catAx>
      <c:valAx>
        <c:axId val="206938496"/>
        <c:scaling>
          <c:orientation val="minMax"/>
          <c:max val="1"/>
        </c:scaling>
        <c:delete val="0"/>
        <c:axPos val="l"/>
        <c:numFmt formatCode="0%" sourceLinked="0"/>
        <c:majorTickMark val="out"/>
        <c:minorTickMark val="none"/>
        <c:tickLblPos val="nextTo"/>
        <c:crossAx val="206936704"/>
        <c:crosses val="autoZero"/>
        <c:crossBetween val="between"/>
        <c:majorUnit val="0.2"/>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Urban">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100000" r="280000" b="28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100000" r="280000" b="28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7A615-CB6E-4AEB-A69D-52C1FBCA7A33}">
  <ds:schemaRefs>
    <ds:schemaRef ds:uri="http://schemas.microsoft.com/sharepoint/v3/contenttype/forms"/>
  </ds:schemaRefs>
</ds:datastoreItem>
</file>

<file path=customXml/itemProps2.xml><?xml version="1.0" encoding="utf-8"?>
<ds:datastoreItem xmlns:ds="http://schemas.openxmlformats.org/officeDocument/2006/customXml" ds:itemID="{BB12CF13-A6E2-4B52-A065-C287D308AFEB}">
  <ds:schemaRefs>
    <ds:schemaRef ds:uri="http://schemas.microsoft.com/office/2009/outspace/metadata"/>
  </ds:schemaRefs>
</ds:datastoreItem>
</file>

<file path=customXml/itemProps3.xml><?xml version="1.0" encoding="utf-8"?>
<ds:datastoreItem xmlns:ds="http://schemas.openxmlformats.org/officeDocument/2006/customXml" ds:itemID="{42B08850-DCB0-4109-9BB0-9083F4030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UrbanReport.dotx</Template>
  <TotalTime>83</TotalTime>
  <Pages>25</Pages>
  <Words>5394</Words>
  <Characters>29667</Characters>
  <Application>Microsoft Office Word</Application>
  <DocSecurity>0</DocSecurity>
  <Lines>247</Lines>
  <Paragraphs>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de evaluación sobre el cumplimiento de la LTAIBG por parte de las entidades integrantes de las entidades perceptoras de subvenciones y ayudas públicas en 2021.</vt:lpstr>
      <vt:lpstr/>
    </vt:vector>
  </TitlesOfParts>
  <Company>SGAD</Company>
  <LinksUpToDate>false</LinksUpToDate>
  <CharactersWithSpaces>34992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evaluación sobre el cumplimiento de la LTAIBG por parte de las entidades integrantes de las entidades perceptoras de subvenciones y ayudas públicas en 2021.</dc:title>
  <dc:subject>Evaluaciones 2022.CTBG</dc:subject>
  <dc:creator>CONSEJO DE TRANSPARENCIA Y BUEN GOBIERNO. SGTBG.</dc:creator>
  <cp:lastModifiedBy>anam.ruiz</cp:lastModifiedBy>
  <cp:revision>10</cp:revision>
  <dcterms:created xsi:type="dcterms:W3CDTF">2022-11-25T10:13:00Z</dcterms:created>
  <dcterms:modified xsi:type="dcterms:W3CDTF">2022-11-28T09:35:00Z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TC017730899991</vt:lpwstr>
  </property>
</Properties>
</file>