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7D4471BE" wp14:editId="45CC7BF6">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B21F1" w:rsidRDefault="001B21F1" w:rsidP="00B40246">
                            <w:pPr>
                              <w:pStyle w:val="Ttulo2"/>
                              <w:tabs>
                                <w:tab w:val="left" w:pos="142"/>
                              </w:tabs>
                              <w:ind w:left="567"/>
                            </w:pPr>
                            <w:r>
                              <w:rPr>
                                <w:noProof/>
                              </w:rPr>
                              <w:drawing>
                                <wp:inline distT="0" distB="0" distL="0" distR="0" wp14:anchorId="145BB007" wp14:editId="1C7CAF4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22183" w:rsidRDefault="0062218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7223CD"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2E068623" wp14:editId="4B54C7E7">
                <wp:simplePos x="0" y="0"/>
                <wp:positionH relativeFrom="column">
                  <wp:posOffset>295275</wp:posOffset>
                </wp:positionH>
                <wp:positionV relativeFrom="paragraph">
                  <wp:posOffset>29845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B21F1" w:rsidRPr="00006957" w:rsidRDefault="001B21F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7" type="#_x0000_t202" style="position:absolute;margin-left:23.25pt;margin-top:2.3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685817" w:rsidRPr="00006957" w:rsidRDefault="0068581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7223CD" w:rsidRPr="00CB5511" w:rsidTr="001B21F1">
        <w:tc>
          <w:tcPr>
            <w:tcW w:w="3652" w:type="dxa"/>
          </w:tcPr>
          <w:p w:rsidR="007223CD" w:rsidRPr="00E34195" w:rsidRDefault="007223CD" w:rsidP="001B21F1">
            <w:pPr>
              <w:rPr>
                <w:b/>
                <w:color w:val="00642D"/>
                <w:sz w:val="24"/>
                <w:szCs w:val="24"/>
              </w:rPr>
            </w:pPr>
            <w:r w:rsidRPr="00E34195">
              <w:rPr>
                <w:b/>
                <w:color w:val="00642D"/>
                <w:sz w:val="24"/>
                <w:szCs w:val="24"/>
              </w:rPr>
              <w:t>Entidad evaluada</w:t>
            </w:r>
          </w:p>
        </w:tc>
        <w:tc>
          <w:tcPr>
            <w:tcW w:w="6954" w:type="dxa"/>
          </w:tcPr>
          <w:p w:rsidR="007223CD" w:rsidRPr="00CB5511" w:rsidRDefault="007223CD" w:rsidP="001B21F1">
            <w:pPr>
              <w:rPr>
                <w:sz w:val="24"/>
                <w:szCs w:val="24"/>
              </w:rPr>
            </w:pPr>
            <w:r>
              <w:rPr>
                <w:sz w:val="24"/>
                <w:szCs w:val="24"/>
              </w:rPr>
              <w:t>Dirección General de Tráfico</w:t>
            </w:r>
          </w:p>
        </w:tc>
      </w:tr>
      <w:tr w:rsidR="007223CD" w:rsidRPr="00CB5511" w:rsidTr="001B21F1">
        <w:tc>
          <w:tcPr>
            <w:tcW w:w="3652" w:type="dxa"/>
          </w:tcPr>
          <w:p w:rsidR="007223CD" w:rsidRPr="00E34195" w:rsidRDefault="007223CD" w:rsidP="001B21F1">
            <w:pPr>
              <w:rPr>
                <w:b/>
                <w:color w:val="00642D"/>
                <w:sz w:val="24"/>
                <w:szCs w:val="24"/>
              </w:rPr>
            </w:pPr>
            <w:r w:rsidRPr="00E34195">
              <w:rPr>
                <w:b/>
                <w:color w:val="00642D"/>
                <w:sz w:val="24"/>
                <w:szCs w:val="24"/>
              </w:rPr>
              <w:t>Fecha de la evaluación</w:t>
            </w:r>
          </w:p>
        </w:tc>
        <w:tc>
          <w:tcPr>
            <w:tcW w:w="6954" w:type="dxa"/>
          </w:tcPr>
          <w:p w:rsidR="007223CD" w:rsidRPr="00CB5511" w:rsidRDefault="007223CD" w:rsidP="001B21F1">
            <w:pPr>
              <w:rPr>
                <w:sz w:val="24"/>
                <w:szCs w:val="24"/>
              </w:rPr>
            </w:pPr>
            <w:r>
              <w:rPr>
                <w:sz w:val="24"/>
                <w:szCs w:val="24"/>
              </w:rPr>
              <w:t>16/04/2021</w:t>
            </w:r>
          </w:p>
        </w:tc>
      </w:tr>
      <w:tr w:rsidR="007223CD" w:rsidRPr="00CB5511" w:rsidTr="001B21F1">
        <w:tc>
          <w:tcPr>
            <w:tcW w:w="3652" w:type="dxa"/>
          </w:tcPr>
          <w:p w:rsidR="007223CD" w:rsidRPr="00E34195" w:rsidRDefault="007223CD" w:rsidP="001B21F1">
            <w:pPr>
              <w:rPr>
                <w:b/>
                <w:color w:val="00642D"/>
                <w:sz w:val="24"/>
                <w:szCs w:val="24"/>
              </w:rPr>
            </w:pPr>
            <w:r w:rsidRPr="00E34195">
              <w:rPr>
                <w:b/>
                <w:color w:val="00642D"/>
                <w:sz w:val="24"/>
                <w:szCs w:val="24"/>
              </w:rPr>
              <w:t>URL de la entidad</w:t>
            </w:r>
          </w:p>
        </w:tc>
        <w:tc>
          <w:tcPr>
            <w:tcW w:w="6954" w:type="dxa"/>
          </w:tcPr>
          <w:p w:rsidR="007223CD" w:rsidRPr="00CB5511" w:rsidRDefault="007223CD" w:rsidP="001B21F1">
            <w:pPr>
              <w:rPr>
                <w:sz w:val="24"/>
                <w:szCs w:val="24"/>
              </w:rPr>
            </w:pPr>
            <w:r w:rsidRPr="00CA724C">
              <w:rPr>
                <w:sz w:val="24"/>
                <w:szCs w:val="24"/>
              </w:rPr>
              <w:t>http://www.dgt.es/es/</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F4008">
            <w:pPr>
              <w:rPr>
                <w:sz w:val="20"/>
                <w:szCs w:val="20"/>
              </w:rPr>
            </w:pPr>
            <w:r>
              <w:rPr>
                <w:sz w:val="20"/>
                <w:szCs w:val="20"/>
              </w:rPr>
              <w:t xml:space="preserve">Sociedades Mercantiles </w:t>
            </w:r>
            <w:r w:rsidR="006F4008">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F4008" w:rsidRPr="00F14DA4" w:rsidTr="00AE0920">
        <w:tc>
          <w:tcPr>
            <w:tcW w:w="1760" w:type="dxa"/>
          </w:tcPr>
          <w:p w:rsidR="006F4008" w:rsidRDefault="006F4008" w:rsidP="00AE0920">
            <w:pPr>
              <w:rPr>
                <w:sz w:val="20"/>
                <w:szCs w:val="20"/>
              </w:rPr>
            </w:pPr>
            <w:r>
              <w:rPr>
                <w:sz w:val="20"/>
                <w:szCs w:val="20"/>
              </w:rPr>
              <w:t>2.1.h</w:t>
            </w:r>
          </w:p>
        </w:tc>
        <w:tc>
          <w:tcPr>
            <w:tcW w:w="8129" w:type="dxa"/>
          </w:tcPr>
          <w:p w:rsidR="006F4008" w:rsidRDefault="006F4008" w:rsidP="006F4008">
            <w:pPr>
              <w:rPr>
                <w:sz w:val="20"/>
                <w:szCs w:val="20"/>
              </w:rPr>
            </w:pPr>
            <w:r>
              <w:rPr>
                <w:sz w:val="20"/>
                <w:szCs w:val="20"/>
              </w:rPr>
              <w:t>Fundaciones del sector público</w:t>
            </w:r>
          </w:p>
        </w:tc>
        <w:tc>
          <w:tcPr>
            <w:tcW w:w="709" w:type="dxa"/>
            <w:vAlign w:val="center"/>
          </w:tcPr>
          <w:p w:rsidR="006F4008" w:rsidRPr="004A123A" w:rsidRDefault="006F4008" w:rsidP="00AE0920">
            <w:pPr>
              <w:jc w:val="center"/>
              <w:rPr>
                <w:b/>
                <w:sz w:val="20"/>
                <w:szCs w:val="20"/>
              </w:rPr>
            </w:pPr>
          </w:p>
        </w:tc>
      </w:tr>
      <w:tr w:rsidR="005B19E4" w:rsidRPr="00F14DA4" w:rsidTr="00AE0920">
        <w:tc>
          <w:tcPr>
            <w:tcW w:w="1760" w:type="dxa"/>
          </w:tcPr>
          <w:p w:rsidR="005B19E4" w:rsidRPr="00F14DA4" w:rsidRDefault="005B19E4" w:rsidP="006F4008">
            <w:pPr>
              <w:rPr>
                <w:sz w:val="20"/>
                <w:szCs w:val="20"/>
              </w:rPr>
            </w:pPr>
            <w:r>
              <w:rPr>
                <w:sz w:val="20"/>
                <w:szCs w:val="20"/>
              </w:rPr>
              <w:t>2.1.</w:t>
            </w:r>
            <w:r w:rsidR="006F4008">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64717F" w:rsidRDefault="0064717F">
      <w:r>
        <w:br w:type="page"/>
      </w:r>
    </w:p>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FD551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944C7D">
            <w:pPr>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D373C4"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0E23CC" w:rsidRPr="00932008" w:rsidRDefault="001426F9" w:rsidP="00234AED">
            <w:pPr>
              <w:jc w:val="both"/>
              <w:rPr>
                <w:sz w:val="20"/>
                <w:szCs w:val="20"/>
              </w:rPr>
            </w:pPr>
            <w:r>
              <w:rPr>
                <w:sz w:val="20"/>
                <w:szCs w:val="20"/>
              </w:rPr>
              <w:t xml:space="preserve">La información </w:t>
            </w:r>
            <w:r w:rsidR="00D373C4">
              <w:rPr>
                <w:sz w:val="20"/>
                <w:szCs w:val="20"/>
              </w:rPr>
              <w:t xml:space="preserve">se encuentra </w:t>
            </w:r>
            <w:r w:rsidR="00CA724C">
              <w:rPr>
                <w:sz w:val="20"/>
                <w:szCs w:val="20"/>
              </w:rPr>
              <w:t>localizada fundamentalmente en el acceso</w:t>
            </w:r>
            <w:r w:rsidR="00234AED">
              <w:rPr>
                <w:sz w:val="20"/>
                <w:szCs w:val="20"/>
              </w:rPr>
              <w:t xml:space="preserve"> denominado “</w:t>
            </w:r>
            <w:r w:rsidR="00CA724C">
              <w:rPr>
                <w:sz w:val="20"/>
                <w:szCs w:val="20"/>
              </w:rPr>
              <w:t xml:space="preserve"> la DGT</w:t>
            </w:r>
            <w:r w:rsidR="00234AED">
              <w:rPr>
                <w:sz w:val="20"/>
                <w:szCs w:val="20"/>
              </w:rPr>
              <w:t>”</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D373C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FC0385" w:rsidRDefault="00E34195" w:rsidP="003D53D6">
            <w:pPr>
              <w:pStyle w:val="Cuerpodelboletn"/>
              <w:spacing w:before="120" w:after="120" w:line="312" w:lineRule="auto"/>
              <w:jc w:val="center"/>
              <w:rPr>
                <w:rStyle w:val="Ttulo2Car"/>
                <w:color w:val="auto"/>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647379" w:rsidP="00234AED">
            <w:pPr>
              <w:pStyle w:val="Cuerpodelboletn"/>
              <w:spacing w:before="120" w:after="120" w:line="312" w:lineRule="auto"/>
              <w:rPr>
                <w:rStyle w:val="Ttulo2Car"/>
                <w:b w:val="0"/>
                <w:color w:val="auto"/>
                <w:sz w:val="20"/>
                <w:szCs w:val="20"/>
                <w:highlight w:val="yellow"/>
                <w:lang w:bidi="es-ES"/>
              </w:rPr>
            </w:pPr>
            <w:r w:rsidRPr="001426F9">
              <w:rPr>
                <w:rStyle w:val="Ttulo2Car"/>
                <w:b w:val="0"/>
                <w:color w:val="auto"/>
                <w:sz w:val="20"/>
                <w:szCs w:val="20"/>
                <w:lang w:bidi="es-ES"/>
              </w:rPr>
              <w:t xml:space="preserve">La información se localiza </w:t>
            </w:r>
            <w:r w:rsidR="00D373C4">
              <w:rPr>
                <w:rStyle w:val="Ttulo2Car"/>
                <w:b w:val="0"/>
                <w:color w:val="auto"/>
                <w:sz w:val="20"/>
                <w:szCs w:val="20"/>
                <w:lang w:bidi="es-ES"/>
              </w:rPr>
              <w:t xml:space="preserve">en el </w:t>
            </w:r>
            <w:r w:rsidR="006B005B">
              <w:rPr>
                <w:rStyle w:val="Ttulo2Car"/>
                <w:b w:val="0"/>
                <w:color w:val="auto"/>
                <w:sz w:val="20"/>
                <w:szCs w:val="20"/>
                <w:lang w:bidi="es-ES"/>
              </w:rPr>
              <w:t xml:space="preserve">apartado quienes somos del acceso </w:t>
            </w:r>
            <w:r w:rsidR="00CA724C">
              <w:rPr>
                <w:rStyle w:val="Ttulo2Car"/>
                <w:b w:val="0"/>
                <w:color w:val="auto"/>
                <w:sz w:val="20"/>
                <w:szCs w:val="20"/>
                <w:lang w:bidi="es-ES"/>
              </w:rPr>
              <w:t>la DGT</w:t>
            </w:r>
            <w:r w:rsidR="006B005B">
              <w:rPr>
                <w:rStyle w:val="Ttulo2Car"/>
                <w:b w:val="0"/>
                <w:color w:val="auto"/>
                <w:sz w:val="20"/>
                <w:szCs w:val="20"/>
                <w:lang w:bidi="es-ES"/>
              </w:rPr>
              <w:t>.</w:t>
            </w:r>
            <w:r w:rsidR="00D373C4">
              <w:rPr>
                <w:rStyle w:val="Ttulo2Car"/>
                <w:b w:val="0"/>
                <w:color w:val="auto"/>
                <w:sz w:val="20"/>
                <w:szCs w:val="20"/>
                <w:lang w:bidi="es-ES"/>
              </w:rPr>
              <w:t xml:space="preserve"> </w:t>
            </w:r>
            <w:r w:rsidR="00CA724C">
              <w:rPr>
                <w:rStyle w:val="Ttulo2Car"/>
                <w:b w:val="0"/>
                <w:color w:val="auto"/>
                <w:sz w:val="20"/>
                <w:szCs w:val="20"/>
                <w:lang w:bidi="es-ES"/>
              </w:rPr>
              <w:t>Se hace referencia al Texto refundido de la Ley de Tráfico pero no se da acceso al documento</w:t>
            </w:r>
            <w:r w:rsidR="009D573C">
              <w:rPr>
                <w:rStyle w:val="Ttulo2Car"/>
                <w:b w:val="0"/>
                <w:color w:val="auto"/>
                <w:sz w:val="20"/>
                <w:szCs w:val="20"/>
                <w:lang w:bidi="es-ES"/>
              </w:rPr>
              <w:t>.</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FC0385" w:rsidRDefault="00891DC0" w:rsidP="003D53D6">
            <w:pPr>
              <w:pStyle w:val="Cuerpodelboletn"/>
              <w:spacing w:before="120" w:after="120" w:line="312" w:lineRule="auto"/>
              <w:jc w:val="center"/>
              <w:rPr>
                <w:rStyle w:val="Ttulo2Car"/>
                <w:color w:val="auto"/>
                <w:sz w:val="22"/>
                <w:szCs w:val="22"/>
                <w:lang w:bidi="es-ES"/>
              </w:rPr>
            </w:pPr>
            <w:r w:rsidRPr="00FC0385">
              <w:rPr>
                <w:rStyle w:val="Ttulo2Car"/>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CA724C" w:rsidP="00CA724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indica en la web que el </w:t>
            </w:r>
            <w:r w:rsidRPr="00CA724C">
              <w:rPr>
                <w:rStyle w:val="Ttulo2Car"/>
                <w:b w:val="0"/>
                <w:color w:val="auto"/>
                <w:sz w:val="20"/>
                <w:szCs w:val="20"/>
                <w:lang w:bidi="es-ES"/>
              </w:rPr>
              <w:t>Real Decreto 952/2018, de 27 de julio, por el que se desarrolla la estructura orgánica básica del Ministerio del Interior, detalla las funciones de la Dirección General de Tráfico</w:t>
            </w:r>
            <w:r>
              <w:rPr>
                <w:rStyle w:val="Ttulo2Car"/>
                <w:b w:val="0"/>
                <w:color w:val="auto"/>
                <w:sz w:val="20"/>
                <w:szCs w:val="20"/>
                <w:lang w:bidi="es-ES"/>
              </w:rPr>
              <w:t>, pero no se da acceso a este RD.</w:t>
            </w:r>
            <w:r w:rsidR="00891DC0">
              <w:rPr>
                <w:rStyle w:val="Ttulo2Car"/>
                <w:b w:val="0"/>
                <w:color w:val="auto"/>
                <w:sz w:val="20"/>
                <w:szCs w:val="20"/>
                <w:lang w:bidi="es-ES"/>
              </w:rPr>
              <w:t xml:space="preserve"> La obligación se ha dado por cumplida ya que se detallan las funciones de las distintas unidades que integran su estructura organizativa</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891DC0"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891DC0" w:rsidP="00891DC0">
            <w:pPr>
              <w:pStyle w:val="Cuerpodelboletn"/>
              <w:spacing w:before="120" w:after="120" w:line="312" w:lineRule="auto"/>
              <w:rPr>
                <w:rStyle w:val="Ttulo2Car"/>
                <w:b w:val="0"/>
                <w:color w:val="auto"/>
                <w:sz w:val="20"/>
                <w:szCs w:val="20"/>
                <w:highlight w:val="yellow"/>
                <w:lang w:bidi="es-ES"/>
              </w:rPr>
            </w:pPr>
            <w:r w:rsidRPr="00891DC0">
              <w:rPr>
                <w:rStyle w:val="Ttulo2Car"/>
                <w:b w:val="0"/>
                <w:color w:val="auto"/>
                <w:sz w:val="20"/>
                <w:szCs w:val="20"/>
                <w:lang w:bidi="es-ES"/>
              </w:rPr>
              <w:t xml:space="preserve">La información que se localiza a través </w:t>
            </w:r>
            <w:r>
              <w:rPr>
                <w:rStyle w:val="Ttulo2Car"/>
                <w:b w:val="0"/>
                <w:color w:val="auto"/>
                <w:sz w:val="20"/>
                <w:szCs w:val="20"/>
                <w:lang w:bidi="es-ES"/>
              </w:rPr>
              <w:t>del enlace Protección de datos, está integrada con la información correspondiente al Ministerio del Interior.</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891DC0"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891DC0" w:rsidP="00891DC0">
            <w:pPr>
              <w:pStyle w:val="Cuerpodelboletn"/>
              <w:spacing w:before="120" w:after="120" w:line="312" w:lineRule="auto"/>
              <w:rPr>
                <w:rStyle w:val="Ttulo2Car"/>
                <w:b w:val="0"/>
                <w:color w:val="auto"/>
                <w:sz w:val="20"/>
                <w:szCs w:val="20"/>
                <w:highlight w:val="yellow"/>
                <w:lang w:bidi="es-ES"/>
              </w:rPr>
            </w:pPr>
            <w:r w:rsidRPr="00891DC0">
              <w:rPr>
                <w:rStyle w:val="Ttulo2Car"/>
                <w:b w:val="0"/>
                <w:color w:val="auto"/>
                <w:sz w:val="20"/>
                <w:szCs w:val="20"/>
                <w:lang w:bidi="es-ES"/>
              </w:rPr>
              <w:t xml:space="preserve">No existen </w:t>
            </w:r>
            <w:r>
              <w:rPr>
                <w:rStyle w:val="Ttulo2Car"/>
                <w:b w:val="0"/>
                <w:color w:val="auto"/>
                <w:sz w:val="20"/>
                <w:szCs w:val="20"/>
                <w:lang w:bidi="es-ES"/>
              </w:rPr>
              <w:t>referencias a la última fecha en la que se revisó o actualizó la información.</w:t>
            </w:r>
          </w:p>
        </w:tc>
      </w:tr>
      <w:tr w:rsidR="00E34195" w:rsidRPr="00891DC0"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91DC0" w:rsidRDefault="00891DC0" w:rsidP="00BE4F4A">
            <w:pPr>
              <w:pStyle w:val="Cuerpodelboletn"/>
              <w:spacing w:before="120" w:after="120" w:line="312" w:lineRule="auto"/>
              <w:rPr>
                <w:rStyle w:val="Ttulo2Car"/>
                <w:b w:val="0"/>
                <w:color w:val="auto"/>
                <w:sz w:val="20"/>
                <w:szCs w:val="20"/>
                <w:lang w:bidi="es-ES"/>
              </w:rPr>
            </w:pPr>
            <w:r w:rsidRPr="00891DC0">
              <w:rPr>
                <w:rStyle w:val="Ttulo2Car"/>
                <w:b w:val="0"/>
                <w:color w:val="auto"/>
                <w:sz w:val="20"/>
                <w:szCs w:val="20"/>
                <w:lang w:bidi="es-ES"/>
              </w:rPr>
              <w:t xml:space="preserve">Se publican dos enlaces </w:t>
            </w:r>
            <w:r>
              <w:rPr>
                <w:rStyle w:val="Ttulo2Car"/>
                <w:b w:val="0"/>
                <w:color w:val="auto"/>
                <w:sz w:val="20"/>
                <w:szCs w:val="20"/>
                <w:lang w:bidi="es-ES"/>
              </w:rPr>
              <w:t>al Organigrama del Gobierno y al organigrama del Ministerio del Interior, pero no se publica el correspondiente a la DGT</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891DC0" w:rsidRDefault="00891DC0" w:rsidP="004E1ADE">
            <w:pPr>
              <w:jc w:val="both"/>
              <w:rPr>
                <w:sz w:val="20"/>
                <w:szCs w:val="20"/>
              </w:rPr>
            </w:pPr>
            <w:r w:rsidRPr="00891DC0">
              <w:rPr>
                <w:sz w:val="20"/>
                <w:szCs w:val="20"/>
              </w:rPr>
              <w:t>No se ha localizado información</w:t>
            </w: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891DC0" w:rsidRDefault="00891DC0">
            <w:pPr>
              <w:rPr>
                <w:sz w:val="20"/>
                <w:szCs w:val="20"/>
              </w:rPr>
            </w:pPr>
            <w:r w:rsidRPr="00891DC0">
              <w:rPr>
                <w:sz w:val="20"/>
                <w:szCs w:val="20"/>
              </w:rPr>
              <w:t>No se ha localizado información</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4E1ADE" w:rsidRDefault="0088153E" w:rsidP="004E1AD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acceso Seguridad Vial de la página home se localiza un enlace a los planes estratégicos de seguridad vial. También se publican planes sectoriales.</w:t>
            </w:r>
          </w:p>
          <w:p w:rsidR="0088153E" w:rsidRPr="00891DC0" w:rsidRDefault="0088153E" w:rsidP="004E1AD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 planes no incluyen información sobre los medios previstos para la consecución de los objetivos.</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Grado de </w:t>
            </w:r>
            <w:r>
              <w:rPr>
                <w:rStyle w:val="Ttulo2Car"/>
                <w:b w:val="0"/>
                <w:color w:val="auto"/>
                <w:sz w:val="20"/>
                <w:szCs w:val="20"/>
                <w:lang w:bidi="es-ES"/>
              </w:rPr>
              <w:lastRenderedPageBreak/>
              <w:t>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246043" w:rsidRDefault="00246043" w:rsidP="003D53D6">
            <w:pPr>
              <w:pStyle w:val="Cuerpodelboletn"/>
              <w:spacing w:before="120" w:after="120" w:line="312" w:lineRule="auto"/>
              <w:jc w:val="center"/>
              <w:rPr>
                <w:rStyle w:val="Ttulo2Car"/>
                <w:b w:val="0"/>
                <w:color w:val="auto"/>
                <w:sz w:val="20"/>
                <w:szCs w:val="20"/>
                <w:lang w:bidi="es-ES"/>
              </w:rPr>
            </w:pPr>
            <w:r w:rsidRPr="00246043">
              <w:rPr>
                <w:rStyle w:val="Ttulo2Car"/>
                <w:b w:val="0"/>
                <w:color w:val="auto"/>
                <w:sz w:val="20"/>
                <w:szCs w:val="20"/>
                <w:lang w:bidi="es-ES"/>
              </w:rPr>
              <w:lastRenderedPageBreak/>
              <w:t>x</w:t>
            </w:r>
          </w:p>
        </w:tc>
        <w:tc>
          <w:tcPr>
            <w:tcW w:w="6037" w:type="dxa"/>
            <w:tcBorders>
              <w:top w:val="single" w:sz="4" w:space="0" w:color="00642D"/>
              <w:left w:val="single" w:sz="4" w:space="0" w:color="00642D"/>
              <w:bottom w:val="single" w:sz="4" w:space="0" w:color="00642D"/>
              <w:right w:val="single" w:sz="4" w:space="0" w:color="00642D"/>
            </w:tcBorders>
          </w:tcPr>
          <w:p w:rsidR="001561A4" w:rsidRPr="00891DC0" w:rsidRDefault="00246043" w:rsidP="0024604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plan estratégico 2011-2020 destina un capítulo a la </w:t>
            </w:r>
            <w:r>
              <w:rPr>
                <w:rStyle w:val="Ttulo2Car"/>
                <w:b w:val="0"/>
                <w:color w:val="auto"/>
                <w:sz w:val="20"/>
                <w:szCs w:val="20"/>
                <w:lang w:bidi="es-ES"/>
              </w:rPr>
              <w:lastRenderedPageBreak/>
              <w:t xml:space="preserve">evaluación del PESV 05-08.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246043" w:rsidRDefault="00246043" w:rsidP="003D53D6">
            <w:pPr>
              <w:pStyle w:val="Cuerpodelboletn"/>
              <w:spacing w:before="120" w:after="120" w:line="312" w:lineRule="auto"/>
              <w:jc w:val="center"/>
              <w:rPr>
                <w:rStyle w:val="Ttulo2Car"/>
                <w:b w:val="0"/>
                <w:color w:val="auto"/>
                <w:sz w:val="24"/>
                <w:szCs w:val="24"/>
                <w:lang w:bidi="es-ES"/>
              </w:rPr>
            </w:pPr>
            <w:r w:rsidRPr="00246043">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1561A4" w:rsidP="008C1EDC">
            <w:pPr>
              <w:pStyle w:val="Cuerpodelboletn"/>
              <w:spacing w:before="120" w:after="120" w:line="312" w:lineRule="auto"/>
              <w:rPr>
                <w:rStyle w:val="Ttulo2Car"/>
                <w:b w:val="0"/>
                <w:color w:val="auto"/>
                <w:sz w:val="20"/>
                <w:szCs w:val="20"/>
                <w:lang w:bidi="es-ES"/>
              </w:rPr>
            </w:pPr>
          </w:p>
        </w:tc>
      </w:tr>
    </w:tbl>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720D727" wp14:editId="41EAF58B">
                <wp:simplePos x="0" y="0"/>
                <wp:positionH relativeFrom="column">
                  <wp:align>center</wp:align>
                </wp:positionH>
                <wp:positionV relativeFrom="paragraph">
                  <wp:posOffset>0</wp:posOffset>
                </wp:positionV>
                <wp:extent cx="5509523" cy="48101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810125"/>
                        </a:xfrm>
                        <a:prstGeom prst="rect">
                          <a:avLst/>
                        </a:prstGeom>
                        <a:solidFill>
                          <a:srgbClr val="FFFFFF"/>
                        </a:solidFill>
                        <a:ln w="9525">
                          <a:solidFill>
                            <a:srgbClr val="000000"/>
                          </a:solidFill>
                          <a:miter lim="800000"/>
                          <a:headEnd/>
                          <a:tailEnd/>
                        </a:ln>
                      </wps:spPr>
                      <wps:txbx>
                        <w:txbxContent>
                          <w:p w:rsidR="001B21F1" w:rsidRDefault="001B21F1">
                            <w:pPr>
                              <w:rPr>
                                <w:b/>
                                <w:color w:val="00642D"/>
                              </w:rPr>
                            </w:pPr>
                            <w:r w:rsidRPr="00BD4582">
                              <w:rPr>
                                <w:b/>
                                <w:color w:val="00642D"/>
                              </w:rPr>
                              <w:t>Contenidos</w:t>
                            </w:r>
                          </w:p>
                          <w:p w:rsidR="001B21F1" w:rsidRPr="006273F9" w:rsidRDefault="001B21F1" w:rsidP="00FC0385">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1B21F1" w:rsidRDefault="001B21F1" w:rsidP="00FC0385">
                            <w:pPr>
                              <w:pStyle w:val="Prrafodelista"/>
                              <w:numPr>
                                <w:ilvl w:val="0"/>
                                <w:numId w:val="19"/>
                              </w:numPr>
                              <w:jc w:val="both"/>
                              <w:rPr>
                                <w:sz w:val="20"/>
                                <w:szCs w:val="20"/>
                              </w:rPr>
                            </w:pPr>
                            <w:r>
                              <w:rPr>
                                <w:sz w:val="20"/>
                                <w:szCs w:val="20"/>
                              </w:rPr>
                              <w:t xml:space="preserve">No se publica  la normativa aplicable a la organización </w:t>
                            </w:r>
                          </w:p>
                          <w:p w:rsidR="001B21F1" w:rsidRDefault="001B21F1" w:rsidP="00FC0385">
                            <w:pPr>
                              <w:pStyle w:val="Prrafodelista"/>
                              <w:numPr>
                                <w:ilvl w:val="0"/>
                                <w:numId w:val="19"/>
                              </w:numPr>
                              <w:jc w:val="both"/>
                              <w:rPr>
                                <w:sz w:val="20"/>
                                <w:szCs w:val="20"/>
                              </w:rPr>
                            </w:pPr>
                            <w:r>
                              <w:rPr>
                                <w:sz w:val="20"/>
                                <w:szCs w:val="20"/>
                              </w:rPr>
                              <w:t>No se publica el organigrama</w:t>
                            </w:r>
                          </w:p>
                          <w:p w:rsidR="001B21F1" w:rsidRDefault="001B21F1" w:rsidP="00FC0385">
                            <w:pPr>
                              <w:pStyle w:val="Prrafodelista"/>
                              <w:numPr>
                                <w:ilvl w:val="0"/>
                                <w:numId w:val="19"/>
                              </w:numPr>
                              <w:jc w:val="both"/>
                              <w:rPr>
                                <w:sz w:val="20"/>
                                <w:szCs w:val="20"/>
                              </w:rPr>
                            </w:pPr>
                            <w:r>
                              <w:rPr>
                                <w:sz w:val="20"/>
                                <w:szCs w:val="20"/>
                              </w:rPr>
                              <w:t xml:space="preserve">Aunque se ha dado por cumplida la obligación al informarse de las funciones de las distintas unidades que integran la estructura organizativa de la DGT no se describen las funciones de la DGT. </w:t>
                            </w:r>
                          </w:p>
                          <w:p w:rsidR="001B21F1" w:rsidRDefault="001B21F1" w:rsidP="00FC0385">
                            <w:pPr>
                              <w:pStyle w:val="Prrafodelista"/>
                              <w:numPr>
                                <w:ilvl w:val="0"/>
                                <w:numId w:val="19"/>
                              </w:numPr>
                              <w:jc w:val="both"/>
                              <w:rPr>
                                <w:sz w:val="20"/>
                                <w:szCs w:val="20"/>
                              </w:rPr>
                            </w:pPr>
                            <w:r>
                              <w:rPr>
                                <w:sz w:val="20"/>
                                <w:szCs w:val="20"/>
                              </w:rPr>
                              <w:t xml:space="preserve">No se ha localizado la identificación de los responsables de la organización. </w:t>
                            </w:r>
                          </w:p>
                          <w:p w:rsidR="001B21F1" w:rsidRDefault="001B21F1" w:rsidP="00FC0385">
                            <w:pPr>
                              <w:pStyle w:val="Prrafodelista"/>
                              <w:numPr>
                                <w:ilvl w:val="0"/>
                                <w:numId w:val="19"/>
                              </w:numPr>
                              <w:jc w:val="both"/>
                              <w:rPr>
                                <w:sz w:val="20"/>
                                <w:szCs w:val="20"/>
                              </w:rPr>
                            </w:pPr>
                            <w:r>
                              <w:rPr>
                                <w:sz w:val="20"/>
                                <w:szCs w:val="20"/>
                              </w:rPr>
                              <w:t>No se ha localizado información sobre los perfiles y trayectorias profesionales de sus responsables.</w:t>
                            </w:r>
                          </w:p>
                          <w:p w:rsidR="001B21F1" w:rsidRPr="00FC0385" w:rsidRDefault="001B21F1" w:rsidP="00FC0385">
                            <w:pPr>
                              <w:ind w:left="360"/>
                              <w:rPr>
                                <w:b/>
                                <w:color w:val="00642D"/>
                              </w:rPr>
                            </w:pPr>
                            <w:r w:rsidRPr="00FC0385">
                              <w:rPr>
                                <w:b/>
                                <w:color w:val="00642D"/>
                              </w:rPr>
                              <w:t>Calidad de la Información</w:t>
                            </w:r>
                          </w:p>
                          <w:p w:rsidR="001B21F1" w:rsidRDefault="001B21F1" w:rsidP="00FC0385">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1B21F1" w:rsidRDefault="001B21F1" w:rsidP="00FC0385">
                            <w:pPr>
                              <w:pStyle w:val="Prrafodelista"/>
                              <w:numPr>
                                <w:ilvl w:val="0"/>
                                <w:numId w:val="5"/>
                              </w:numPr>
                              <w:jc w:val="both"/>
                              <w:rPr>
                                <w:sz w:val="20"/>
                                <w:szCs w:val="20"/>
                              </w:rPr>
                            </w:pPr>
                            <w:r>
                              <w:rPr>
                                <w:sz w:val="20"/>
                                <w:szCs w:val="20"/>
                              </w:rPr>
                              <w:t>La publicación del Registro de Actividades de Tratamiento de la DGT conjuntamente con el de los restantes órganos y organismos dependientes del Mº del Interior dificulta la localización y accesibilidad a la información.</w:t>
                            </w:r>
                          </w:p>
                          <w:p w:rsidR="001B21F1" w:rsidRPr="007641F8" w:rsidRDefault="001B21F1" w:rsidP="007641F8">
                            <w:pPr>
                              <w:pStyle w:val="Prrafodelista"/>
                              <w:rPr>
                                <w:sz w:val="20"/>
                                <w:szCs w:val="20"/>
                              </w:rPr>
                            </w:pPr>
                          </w:p>
                          <w:p w:rsidR="001B21F1" w:rsidRPr="007641F8" w:rsidRDefault="001B21F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378.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">
                <v:textbox>
                  <w:txbxContent>
                    <w:p w:rsidR="00685817" w:rsidRDefault="00685817">
                      <w:pPr>
                        <w:rPr>
                          <w:b/>
                          <w:color w:val="00642D"/>
                        </w:rPr>
                      </w:pPr>
                      <w:r w:rsidRPr="00BD4582">
                        <w:rPr>
                          <w:b/>
                          <w:color w:val="00642D"/>
                        </w:rPr>
                        <w:t>Contenidos</w:t>
                      </w:r>
                    </w:p>
                    <w:p w:rsidR="00685817" w:rsidRPr="006273F9" w:rsidRDefault="00685817" w:rsidP="00FC0385">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685817" w:rsidRDefault="00685817" w:rsidP="00FC0385">
                      <w:pPr>
                        <w:pStyle w:val="Prrafodelista"/>
                        <w:numPr>
                          <w:ilvl w:val="0"/>
                          <w:numId w:val="19"/>
                        </w:numPr>
                        <w:jc w:val="both"/>
                        <w:rPr>
                          <w:sz w:val="20"/>
                          <w:szCs w:val="20"/>
                        </w:rPr>
                      </w:pPr>
                      <w:r>
                        <w:rPr>
                          <w:sz w:val="20"/>
                          <w:szCs w:val="20"/>
                        </w:rPr>
                        <w:t xml:space="preserve">No se publica  la normativa aplicable a la organización </w:t>
                      </w:r>
                    </w:p>
                    <w:p w:rsidR="00685817" w:rsidRDefault="00685817" w:rsidP="00FC0385">
                      <w:pPr>
                        <w:pStyle w:val="Prrafodelista"/>
                        <w:numPr>
                          <w:ilvl w:val="0"/>
                          <w:numId w:val="19"/>
                        </w:numPr>
                        <w:jc w:val="both"/>
                        <w:rPr>
                          <w:sz w:val="20"/>
                          <w:szCs w:val="20"/>
                        </w:rPr>
                      </w:pPr>
                      <w:r>
                        <w:rPr>
                          <w:sz w:val="20"/>
                          <w:szCs w:val="20"/>
                        </w:rPr>
                        <w:t>No se publica el organigrama</w:t>
                      </w:r>
                    </w:p>
                    <w:p w:rsidR="00685817" w:rsidRDefault="00685817" w:rsidP="00FC0385">
                      <w:pPr>
                        <w:pStyle w:val="Prrafodelista"/>
                        <w:numPr>
                          <w:ilvl w:val="0"/>
                          <w:numId w:val="19"/>
                        </w:numPr>
                        <w:jc w:val="both"/>
                        <w:rPr>
                          <w:sz w:val="20"/>
                          <w:szCs w:val="20"/>
                        </w:rPr>
                      </w:pPr>
                      <w:r>
                        <w:rPr>
                          <w:sz w:val="20"/>
                          <w:szCs w:val="20"/>
                        </w:rPr>
                        <w:t xml:space="preserve">Aunque se ha dado por cumplida la obligación al informarse de las funciones de las distintas unidades que integran la estructura organizativa de la DGT no se describen las funciones de la DGT. </w:t>
                      </w:r>
                    </w:p>
                    <w:p w:rsidR="00685817" w:rsidRDefault="00685817" w:rsidP="00FC0385">
                      <w:pPr>
                        <w:pStyle w:val="Prrafodelista"/>
                        <w:numPr>
                          <w:ilvl w:val="0"/>
                          <w:numId w:val="19"/>
                        </w:numPr>
                        <w:jc w:val="both"/>
                        <w:rPr>
                          <w:sz w:val="20"/>
                          <w:szCs w:val="20"/>
                        </w:rPr>
                      </w:pPr>
                      <w:r>
                        <w:rPr>
                          <w:sz w:val="20"/>
                          <w:szCs w:val="20"/>
                        </w:rPr>
                        <w:t xml:space="preserve">No se ha localizado la identificación de los responsables de la organización. </w:t>
                      </w:r>
                    </w:p>
                    <w:p w:rsidR="00685817" w:rsidRDefault="00685817" w:rsidP="00FC0385">
                      <w:pPr>
                        <w:pStyle w:val="Prrafodelista"/>
                        <w:numPr>
                          <w:ilvl w:val="0"/>
                          <w:numId w:val="19"/>
                        </w:numPr>
                        <w:jc w:val="both"/>
                        <w:rPr>
                          <w:sz w:val="20"/>
                          <w:szCs w:val="20"/>
                        </w:rPr>
                      </w:pPr>
                      <w:r>
                        <w:rPr>
                          <w:sz w:val="20"/>
                          <w:szCs w:val="20"/>
                        </w:rPr>
                        <w:t>No se ha localizado información sobre los perfiles y trayectorias profesionales de sus responsables.</w:t>
                      </w:r>
                    </w:p>
                    <w:p w:rsidR="00685817" w:rsidRPr="00FC0385" w:rsidRDefault="00685817" w:rsidP="00FC0385">
                      <w:pPr>
                        <w:ind w:left="360"/>
                        <w:rPr>
                          <w:b/>
                          <w:color w:val="00642D"/>
                        </w:rPr>
                      </w:pPr>
                      <w:r w:rsidRPr="00FC0385">
                        <w:rPr>
                          <w:b/>
                          <w:color w:val="00642D"/>
                        </w:rPr>
                        <w:t>Calidad de la Información</w:t>
                      </w:r>
                    </w:p>
                    <w:p w:rsidR="00685817" w:rsidRDefault="00685817" w:rsidP="00FC0385">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685817" w:rsidRDefault="00685817" w:rsidP="00FC0385">
                      <w:pPr>
                        <w:pStyle w:val="Prrafodelista"/>
                        <w:numPr>
                          <w:ilvl w:val="0"/>
                          <w:numId w:val="5"/>
                        </w:numPr>
                        <w:jc w:val="both"/>
                        <w:rPr>
                          <w:sz w:val="20"/>
                          <w:szCs w:val="20"/>
                        </w:rPr>
                      </w:pPr>
                      <w:r>
                        <w:rPr>
                          <w:sz w:val="20"/>
                          <w:szCs w:val="20"/>
                        </w:rPr>
                        <w:t>La publicación del Registro de Actividades de Tratamiento de la DGT conjuntamente con el de los restantes órganos y organismos dependientes del Mº del Interior dificulta la localización y accesibilidad a la información.</w:t>
                      </w:r>
                    </w:p>
                    <w:p w:rsidR="00685817" w:rsidRPr="007641F8" w:rsidRDefault="00685817" w:rsidP="007641F8">
                      <w:pPr>
                        <w:pStyle w:val="Prrafodelista"/>
                        <w:rPr>
                          <w:sz w:val="20"/>
                          <w:szCs w:val="20"/>
                        </w:rPr>
                      </w:pPr>
                    </w:p>
                    <w:p w:rsidR="00685817" w:rsidRPr="007641F8" w:rsidRDefault="00685817">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AA6EEC">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Pr="00D04CAF" w:rsidRDefault="00D52F6F" w:rsidP="00C46E4B">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C46E4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6DDAB16E" wp14:editId="79D5C44A">
                <wp:simplePos x="0" y="0"/>
                <wp:positionH relativeFrom="column">
                  <wp:align>center</wp:align>
                </wp:positionH>
                <wp:positionV relativeFrom="paragraph">
                  <wp:posOffset>0</wp:posOffset>
                </wp:positionV>
                <wp:extent cx="5509523" cy="154305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543050"/>
                        </a:xfrm>
                        <a:prstGeom prst="rect">
                          <a:avLst/>
                        </a:prstGeom>
                        <a:solidFill>
                          <a:srgbClr val="FFFFFF"/>
                        </a:solidFill>
                        <a:ln w="9525">
                          <a:solidFill>
                            <a:srgbClr val="000000"/>
                          </a:solidFill>
                          <a:miter lim="800000"/>
                          <a:headEnd/>
                          <a:tailEnd/>
                        </a:ln>
                      </wps:spPr>
                      <wps:txbx>
                        <w:txbxContent>
                          <w:p w:rsidR="001B21F1" w:rsidRDefault="001B21F1" w:rsidP="00BD4582">
                            <w:pPr>
                              <w:rPr>
                                <w:b/>
                                <w:color w:val="00642D"/>
                              </w:rPr>
                            </w:pPr>
                            <w:r w:rsidRPr="00BD4582">
                              <w:rPr>
                                <w:b/>
                                <w:color w:val="00642D"/>
                              </w:rPr>
                              <w:t>Contenidos</w:t>
                            </w:r>
                          </w:p>
                          <w:p w:rsidR="001B21F1" w:rsidRDefault="001B21F1"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1B21F1" w:rsidRPr="00D52F6F" w:rsidRDefault="001B21F1" w:rsidP="00D52F6F">
                            <w:pPr>
                              <w:pStyle w:val="Prrafodelista"/>
                              <w:numPr>
                                <w:ilvl w:val="0"/>
                                <w:numId w:val="21"/>
                              </w:numPr>
                              <w:rPr>
                                <w:sz w:val="20"/>
                                <w:szCs w:val="20"/>
                              </w:rPr>
                            </w:pPr>
                            <w:r>
                              <w:rPr>
                                <w:sz w:val="20"/>
                                <w:szCs w:val="20"/>
                              </w:rPr>
                              <w:t>No se han localizado directrices, instrucciones, circulares ni respuestas a consultas de los particulares que tengan efectos jurídicos sobre terceros.</w:t>
                            </w:r>
                          </w:p>
                          <w:p w:rsidR="001B21F1" w:rsidRDefault="001B21F1"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121.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">
                <v:textbox>
                  <w:txbxContent>
                    <w:p w:rsidR="00622183" w:rsidRDefault="00622183" w:rsidP="00BD4582">
                      <w:pPr>
                        <w:rPr>
                          <w:b/>
                          <w:color w:val="00642D"/>
                        </w:rPr>
                      </w:pPr>
                      <w:r w:rsidRPr="00BD4582">
                        <w:rPr>
                          <w:b/>
                          <w:color w:val="00642D"/>
                        </w:rPr>
                        <w:t>Contenidos</w:t>
                      </w:r>
                    </w:p>
                    <w:p w:rsidR="00622183" w:rsidRDefault="00622183"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622183" w:rsidRPr="00D52F6F" w:rsidRDefault="00622183" w:rsidP="00D52F6F">
                      <w:pPr>
                        <w:pStyle w:val="Prrafodelista"/>
                        <w:numPr>
                          <w:ilvl w:val="0"/>
                          <w:numId w:val="21"/>
                        </w:numPr>
                        <w:rPr>
                          <w:sz w:val="20"/>
                          <w:szCs w:val="20"/>
                        </w:rPr>
                      </w:pPr>
                      <w:r>
                        <w:rPr>
                          <w:sz w:val="20"/>
                          <w:szCs w:val="20"/>
                        </w:rPr>
                        <w:t>No se han localizado directrices, instrucciones, circulares ni respuestas a consultas de los particulares que tengan efectos jurídicos sobre terceros.</w:t>
                      </w:r>
                    </w:p>
                    <w:p w:rsidR="00622183" w:rsidRDefault="00622183"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64717F" w:rsidRDefault="0064717F">
      <w:pPr>
        <w:rPr>
          <w:rStyle w:val="Ttulo2Car"/>
          <w:lang w:bidi="es-ES"/>
        </w:rPr>
      </w:pPr>
      <w:r>
        <w:rPr>
          <w:rStyle w:val="Ttulo2Car"/>
          <w:lang w:bidi="es-ES"/>
        </w:rPr>
        <w:br w:type="page"/>
      </w: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A0798" w:rsidRPr="00F96321" w:rsidRDefault="00D52F6F" w:rsidP="0024604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el acceso </w:t>
            </w:r>
            <w:r w:rsidR="005131C3">
              <w:rPr>
                <w:rStyle w:val="Ttulo2Car"/>
                <w:b w:val="0"/>
                <w:color w:val="auto"/>
                <w:sz w:val="20"/>
                <w:szCs w:val="20"/>
                <w:lang w:bidi="es-ES"/>
              </w:rPr>
              <w:t xml:space="preserve">Factura  electrónica y perfil del contratante se localiza el acceso a la información sobre contratación.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246043">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55224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552246" w:rsidP="00246043">
            <w:pPr>
              <w:spacing w:line="276" w:lineRule="auto"/>
              <w:jc w:val="both"/>
              <w:rPr>
                <w:highlight w:val="yellow"/>
              </w:rPr>
            </w:pPr>
            <w:r>
              <w:rPr>
                <w:rStyle w:val="Ttulo2Car"/>
                <w:b w:val="0"/>
                <w:color w:val="auto"/>
                <w:sz w:val="20"/>
                <w:szCs w:val="20"/>
                <w:lang w:bidi="es-ES"/>
              </w:rPr>
              <w:t>No aplicable. En el Perfil del contratante no se ha localizado ningún contrato desistido</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246043">
            <w:pPr>
              <w:jc w:val="both"/>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246043">
            <w:pPr>
              <w:spacing w:line="276" w:lineRule="auto"/>
              <w:jc w:val="both"/>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873B6D" w:rsidP="0024604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w:t>
            </w:r>
            <w:r w:rsidR="00EA0798">
              <w:rPr>
                <w:rStyle w:val="Ttulo2Car"/>
                <w:b w:val="0"/>
                <w:color w:val="auto"/>
                <w:sz w:val="20"/>
                <w:szCs w:val="20"/>
                <w:lang w:bidi="es-ES"/>
              </w:rPr>
              <w:t xml:space="preserve">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E701E8" w:rsidRDefault="00E701E8" w:rsidP="00E701E8">
            <w:pPr>
              <w:pStyle w:val="Cuerpodelboletn"/>
              <w:spacing w:before="120" w:after="120" w:line="312" w:lineRule="auto"/>
              <w:jc w:val="center"/>
              <w:rPr>
                <w:rStyle w:val="Ttulo2Car"/>
                <w:sz w:val="20"/>
                <w:szCs w:val="20"/>
                <w:lang w:bidi="es-ES"/>
              </w:rPr>
            </w:pPr>
            <w:r w:rsidRPr="00E701E8">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D2B50" w:rsidRDefault="00FD2B50" w:rsidP="005131C3">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 xml:space="preserve">o se ha localizado información sobre encomiendas de gestión. </w:t>
            </w:r>
          </w:p>
          <w:p w:rsidR="0070627B" w:rsidRPr="000E7916" w:rsidRDefault="00FD2B50" w:rsidP="0070627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w:t>
            </w:r>
            <w:r w:rsidRPr="00C24AD0">
              <w:rPr>
                <w:rStyle w:val="Ttulo2Car"/>
                <w:b w:val="0"/>
                <w:color w:val="auto"/>
                <w:sz w:val="20"/>
                <w:szCs w:val="20"/>
                <w:lang w:bidi="es-ES"/>
              </w:rPr>
              <w:t xml:space="preserve">n su perfil del contratante </w:t>
            </w:r>
            <w:r w:rsidR="00E701E8">
              <w:rPr>
                <w:rStyle w:val="Ttulo2Car"/>
                <w:b w:val="0"/>
                <w:color w:val="auto"/>
                <w:sz w:val="20"/>
                <w:szCs w:val="20"/>
                <w:lang w:bidi="es-ES"/>
              </w:rPr>
              <w:t xml:space="preserve">se localiza </w:t>
            </w:r>
            <w:r>
              <w:rPr>
                <w:rStyle w:val="Ttulo2Car"/>
                <w:b w:val="0"/>
                <w:color w:val="auto"/>
                <w:sz w:val="20"/>
                <w:szCs w:val="20"/>
                <w:lang w:bidi="es-ES"/>
              </w:rPr>
              <w:t>información sobre encargos a medios propios</w:t>
            </w:r>
            <w:r w:rsidR="00EA0798">
              <w:rPr>
                <w:rStyle w:val="Ttulo2Car"/>
                <w:b w:val="0"/>
                <w:color w:val="auto"/>
                <w:sz w:val="20"/>
                <w:szCs w:val="20"/>
                <w:lang w:bidi="es-ES"/>
              </w:rPr>
              <w:t xml:space="preserve">. </w:t>
            </w:r>
            <w:r w:rsidR="005131C3">
              <w:rPr>
                <w:rStyle w:val="Ttulo2Car"/>
                <w:b w:val="0"/>
                <w:color w:val="auto"/>
                <w:sz w:val="20"/>
                <w:szCs w:val="20"/>
                <w:lang w:bidi="es-ES"/>
              </w:rPr>
              <w:t xml:space="preserve">La última información publicada corresponde a 2019, se ignora si ha habido encargos posteriores a esta fecha. </w:t>
            </w:r>
            <w:r w:rsidR="00E701E8">
              <w:rPr>
                <w:rStyle w:val="Ttulo2Car"/>
                <w:b w:val="0"/>
                <w:color w:val="auto"/>
                <w:sz w:val="20"/>
                <w:szCs w:val="20"/>
                <w:lang w:bidi="es-ES"/>
              </w:rPr>
              <w:t>Para comprobar que se publican todos los contenidos establecidos por la LTAIBG es preciso abrir cada uno de los documentos por los que se formaliza la encomienda o encargo.</w:t>
            </w:r>
            <w:r w:rsidR="0070627B">
              <w:rPr>
                <w:rStyle w:val="Ttulo2Car"/>
                <w:b w:val="0"/>
                <w:color w:val="auto"/>
                <w:sz w:val="20"/>
                <w:szCs w:val="20"/>
                <w:lang w:bidi="es-ES"/>
              </w:rPr>
              <w:t xml:space="preserve"> Parte de esta información se ofrece en </w:t>
            </w:r>
            <w:proofErr w:type="spellStart"/>
            <w:r w:rsidR="0070627B">
              <w:rPr>
                <w:rStyle w:val="Ttulo2Car"/>
                <w:b w:val="0"/>
                <w:color w:val="auto"/>
                <w:sz w:val="20"/>
                <w:szCs w:val="20"/>
                <w:lang w:bidi="es-ES"/>
              </w:rPr>
              <w:t>pdf</w:t>
            </w:r>
            <w:proofErr w:type="spellEnd"/>
            <w:r w:rsidR="0070627B">
              <w:rPr>
                <w:rStyle w:val="Ttulo2Car"/>
                <w:b w:val="0"/>
                <w:color w:val="auto"/>
                <w:sz w:val="20"/>
                <w:szCs w:val="20"/>
                <w:lang w:bidi="es-ES"/>
              </w:rPr>
              <w:t xml:space="preserve"> de imagen.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5131C3"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la sede electrónica se publican las convocatorias de ayudas y subvenciones públicas pero no se publican las resoluciones de concesión y en consecuencia no se identifica a los beneficiarios ni la cuantía de las ayudas o subvenciones </w:t>
            </w:r>
            <w:r>
              <w:rPr>
                <w:rStyle w:val="Ttulo2Car"/>
                <w:b w:val="0"/>
                <w:color w:val="auto"/>
                <w:sz w:val="20"/>
                <w:szCs w:val="20"/>
                <w:lang w:bidi="es-ES"/>
              </w:rPr>
              <w:lastRenderedPageBreak/>
              <w:t xml:space="preserve">concedidas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1781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17816">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609E9">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0E791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5131C3" w:rsidRDefault="005131C3" w:rsidP="005131C3">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F47C3B" w:rsidRPr="00C6047F" w:rsidRDefault="00F47C3B" w:rsidP="00F94907">
            <w:pPr>
              <w:pStyle w:val="Cuerpodelboletn"/>
              <w:spacing w:before="120" w:after="120" w:line="312" w:lineRule="auto"/>
              <w:rPr>
                <w:rStyle w:val="Ttulo2Car"/>
                <w:b w:val="0"/>
                <w:color w:val="auto"/>
                <w:sz w:val="20"/>
                <w:szCs w:val="20"/>
                <w:highlight w:val="yellow"/>
                <w:lang w:bidi="es-ES"/>
              </w:rPr>
            </w:pP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CC1E38">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CC1E38" w:rsidP="00917816">
            <w:pPr>
              <w:pStyle w:val="Cuerpodelboletn"/>
              <w:spacing w:before="120" w:after="120" w:line="312" w:lineRule="auto"/>
              <w:rPr>
                <w:rStyle w:val="Ttulo2Car"/>
                <w:b w:val="0"/>
                <w:color w:val="auto"/>
                <w:sz w:val="20"/>
                <w:szCs w:val="20"/>
                <w:highlight w:val="yellow"/>
                <w:lang w:bidi="es-ES"/>
              </w:rPr>
            </w:pPr>
            <w:r w:rsidRPr="00CC1E38">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94907" w:rsidRDefault="005131C3" w:rsidP="00F9490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 través </w:t>
            </w:r>
            <w:proofErr w:type="gramStart"/>
            <w:r>
              <w:rPr>
                <w:rStyle w:val="Ttulo2Car"/>
                <w:b w:val="0"/>
                <w:color w:val="auto"/>
                <w:sz w:val="20"/>
                <w:szCs w:val="20"/>
                <w:lang w:bidi="es-ES"/>
              </w:rPr>
              <w:t>del enlace estadísticas e indicadores</w:t>
            </w:r>
            <w:proofErr w:type="gramEnd"/>
            <w:r>
              <w:rPr>
                <w:rStyle w:val="Ttulo2Car"/>
                <w:b w:val="0"/>
                <w:color w:val="auto"/>
                <w:sz w:val="20"/>
                <w:szCs w:val="20"/>
                <w:lang w:bidi="es-ES"/>
              </w:rPr>
              <w:t xml:space="preserve"> se accede a información estadística relativa al cumplimiento de los servicios que se prestan.</w:t>
            </w:r>
          </w:p>
          <w:p w:rsidR="005131C3" w:rsidRPr="00F96321" w:rsidRDefault="00443FC3" w:rsidP="00F9490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se publica la Carta de Servicios no se publican los informes de evaluación del cumplimiento de los compromisos que sería lo relevante desde el punto de vista del cumplimiento de esta obligación.</w:t>
            </w:r>
          </w:p>
          <w:p w:rsidR="00CC1E38" w:rsidRPr="00F96321" w:rsidRDefault="00CC1E38" w:rsidP="00CC1E38">
            <w:pPr>
              <w:pStyle w:val="Cuerpodelboletn"/>
              <w:spacing w:before="120" w:after="120" w:line="312" w:lineRule="auto"/>
              <w:rPr>
                <w:rStyle w:val="Ttulo2Car"/>
                <w:b w:val="0"/>
                <w:color w:val="auto"/>
                <w:sz w:val="20"/>
                <w:szCs w:val="20"/>
                <w:highlight w:val="yellow"/>
                <w:lang w:bidi="es-ES"/>
              </w:rPr>
            </w:pPr>
          </w:p>
        </w:tc>
      </w:tr>
    </w:tbl>
    <w:p w:rsidR="00DF5F2A" w:rsidRDefault="00DF5F2A" w:rsidP="00C33A23">
      <w:pPr>
        <w:pStyle w:val="Cuerpodelboletn"/>
        <w:spacing w:before="120" w:after="120" w:line="312" w:lineRule="auto"/>
        <w:ind w:left="360"/>
        <w:rPr>
          <w:rStyle w:val="Ttulo2Car"/>
          <w:color w:val="00642D"/>
          <w:lang w:bidi="es-ES"/>
        </w:rPr>
      </w:pPr>
    </w:p>
    <w:p w:rsidR="00C33A23" w:rsidRDefault="00443FC3"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C33A23">
        <w:rPr>
          <w:rStyle w:val="Ttulo2Car"/>
          <w:color w:val="00642D"/>
          <w:lang w:bidi="es-ES"/>
        </w:rPr>
        <w:t xml:space="preserve">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535309" w:rsidRPr="00C33A23" w:rsidRDefault="00535309" w:rsidP="00C33A23">
      <w:pPr>
        <w:pStyle w:val="Cuerpodelboletn"/>
        <w:spacing w:before="120" w:after="120" w:line="312" w:lineRule="auto"/>
        <w:ind w:left="360"/>
        <w:rPr>
          <w:rStyle w:val="Ttulo2Car"/>
          <w:color w:val="00642D"/>
          <w:lang w:bidi="es-ES"/>
        </w:rPr>
      </w:pP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1710222" wp14:editId="376B93B1">
                <wp:simplePos x="0" y="0"/>
                <wp:positionH relativeFrom="column">
                  <wp:align>center</wp:align>
                </wp:positionH>
                <wp:positionV relativeFrom="paragraph">
                  <wp:posOffset>0</wp:posOffset>
                </wp:positionV>
                <wp:extent cx="5509523" cy="81153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8115300"/>
                        </a:xfrm>
                        <a:prstGeom prst="rect">
                          <a:avLst/>
                        </a:prstGeom>
                        <a:solidFill>
                          <a:srgbClr val="FFFFFF"/>
                        </a:solidFill>
                        <a:ln w="9525">
                          <a:solidFill>
                            <a:srgbClr val="000000"/>
                          </a:solidFill>
                          <a:miter lim="800000"/>
                          <a:headEnd/>
                          <a:tailEnd/>
                        </a:ln>
                      </wps:spPr>
                      <wps:txbx>
                        <w:txbxContent>
                          <w:p w:rsidR="001B21F1" w:rsidRDefault="001B21F1" w:rsidP="00BD4582">
                            <w:pPr>
                              <w:rPr>
                                <w:b/>
                                <w:color w:val="00642D"/>
                              </w:rPr>
                            </w:pPr>
                            <w:r w:rsidRPr="00BD4582">
                              <w:rPr>
                                <w:b/>
                                <w:color w:val="00642D"/>
                              </w:rPr>
                              <w:t>Contenidos</w:t>
                            </w:r>
                          </w:p>
                          <w:p w:rsidR="001B21F1" w:rsidRPr="00352F8C" w:rsidRDefault="001B21F1" w:rsidP="006273F9">
                            <w:pPr>
                              <w:jc w:val="both"/>
                              <w:rPr>
                                <w:sz w:val="20"/>
                                <w:szCs w:val="20"/>
                              </w:rPr>
                            </w:pPr>
                            <w:r w:rsidRPr="00352F8C">
                              <w:rPr>
                                <w:sz w:val="20"/>
                                <w:szCs w:val="20"/>
                              </w:rPr>
                              <w:t>La información publicada no contempla la totalidad de los contenidos obligatorios establecidos en el artículo 8 de la LTAIBG.</w:t>
                            </w:r>
                          </w:p>
                          <w:p w:rsidR="001B21F1" w:rsidRDefault="001B21F1" w:rsidP="00FC0385">
                            <w:pPr>
                              <w:pStyle w:val="Prrafodelista"/>
                              <w:numPr>
                                <w:ilvl w:val="0"/>
                                <w:numId w:val="7"/>
                              </w:numPr>
                              <w:jc w:val="both"/>
                              <w:rPr>
                                <w:sz w:val="20"/>
                                <w:szCs w:val="20"/>
                              </w:rPr>
                            </w:pPr>
                            <w:r>
                              <w:rPr>
                                <w:sz w:val="20"/>
                                <w:szCs w:val="20"/>
                              </w:rPr>
                              <w:t>No se ha localizado información sobre modificaciones de contratos adjudicados</w:t>
                            </w:r>
                          </w:p>
                          <w:p w:rsidR="001B21F1" w:rsidRDefault="001B21F1" w:rsidP="00FC0385">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1B21F1" w:rsidRDefault="001B21F1" w:rsidP="00FC0385">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1B21F1" w:rsidRPr="00506A51" w:rsidRDefault="001B21F1" w:rsidP="00FC0385">
                            <w:pPr>
                              <w:pStyle w:val="Prrafodelista"/>
                              <w:numPr>
                                <w:ilvl w:val="0"/>
                                <w:numId w:val="7"/>
                              </w:numPr>
                              <w:jc w:val="both"/>
                              <w:rPr>
                                <w:sz w:val="20"/>
                                <w:szCs w:val="20"/>
                              </w:rPr>
                            </w:pPr>
                            <w:r>
                              <w:rPr>
                                <w:sz w:val="20"/>
                                <w:szCs w:val="20"/>
                              </w:rPr>
                              <w:t xml:space="preserve">No se ha localizado información sobre las encomiendas de gestión, ni subcontrataciones derivadas de encomiendas o encargos a medios propios. </w:t>
                            </w:r>
                          </w:p>
                          <w:p w:rsidR="001B21F1" w:rsidRDefault="001B21F1" w:rsidP="00FC0385">
                            <w:pPr>
                              <w:pStyle w:val="Prrafodelista"/>
                              <w:numPr>
                                <w:ilvl w:val="0"/>
                                <w:numId w:val="7"/>
                              </w:numPr>
                              <w:jc w:val="both"/>
                              <w:rPr>
                                <w:sz w:val="20"/>
                                <w:szCs w:val="20"/>
                              </w:rPr>
                            </w:pPr>
                            <w:r>
                              <w:rPr>
                                <w:sz w:val="20"/>
                                <w:szCs w:val="20"/>
                              </w:rPr>
                              <w:t>No se ha localizado información sobre presupuestos</w:t>
                            </w:r>
                          </w:p>
                          <w:p w:rsidR="001B21F1" w:rsidRDefault="001B21F1" w:rsidP="00FC0385">
                            <w:pPr>
                              <w:pStyle w:val="Prrafodelista"/>
                              <w:numPr>
                                <w:ilvl w:val="0"/>
                                <w:numId w:val="7"/>
                              </w:numPr>
                              <w:jc w:val="both"/>
                              <w:rPr>
                                <w:sz w:val="20"/>
                                <w:szCs w:val="20"/>
                              </w:rPr>
                            </w:pPr>
                            <w:r>
                              <w:rPr>
                                <w:sz w:val="20"/>
                                <w:szCs w:val="20"/>
                              </w:rPr>
                              <w:t>No se ha localizado información sobre ejecución presupuestaria.</w:t>
                            </w:r>
                          </w:p>
                          <w:p w:rsidR="001B21F1" w:rsidRDefault="001B21F1" w:rsidP="00FC0385">
                            <w:pPr>
                              <w:pStyle w:val="Prrafodelista"/>
                              <w:numPr>
                                <w:ilvl w:val="0"/>
                                <w:numId w:val="7"/>
                              </w:numPr>
                              <w:jc w:val="both"/>
                              <w:rPr>
                                <w:sz w:val="20"/>
                                <w:szCs w:val="20"/>
                              </w:rPr>
                            </w:pPr>
                            <w:r>
                              <w:rPr>
                                <w:sz w:val="20"/>
                                <w:szCs w:val="20"/>
                              </w:rPr>
                              <w:t>No se ha localizado información sobre las cuentas anuales</w:t>
                            </w:r>
                          </w:p>
                          <w:p w:rsidR="001B21F1" w:rsidRDefault="001B21F1" w:rsidP="00FC0385">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1B21F1" w:rsidRDefault="001B21F1" w:rsidP="00FC0385">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1B21F1" w:rsidRDefault="001B21F1" w:rsidP="00FC0385">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1B21F1" w:rsidRDefault="001B21F1" w:rsidP="00FC0385">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1B21F1" w:rsidRDefault="001B21F1" w:rsidP="00FC0385">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1B21F1" w:rsidRDefault="001B21F1" w:rsidP="00FC0385">
                            <w:pPr>
                              <w:pStyle w:val="Prrafodelista"/>
                              <w:numPr>
                                <w:ilvl w:val="0"/>
                                <w:numId w:val="7"/>
                              </w:numPr>
                              <w:jc w:val="both"/>
                              <w:rPr>
                                <w:sz w:val="20"/>
                                <w:szCs w:val="20"/>
                              </w:rPr>
                            </w:pPr>
                            <w:r>
                              <w:rPr>
                                <w:sz w:val="20"/>
                                <w:szCs w:val="20"/>
                              </w:rPr>
                              <w:t>Aunque la obligación de proporcionar información estadística sobre la calidad de los servicios que presta se ha considerado cumplida, no se ha localizado información sobre el grado de cumplimiento de los compromisos de su carta de servicios.</w:t>
                            </w:r>
                          </w:p>
                          <w:p w:rsidR="001B21F1" w:rsidRPr="00622183" w:rsidRDefault="001B21F1" w:rsidP="00622183">
                            <w:pPr>
                              <w:ind w:left="360"/>
                              <w:jc w:val="both"/>
                              <w:rPr>
                                <w:sz w:val="20"/>
                                <w:szCs w:val="20"/>
                              </w:rPr>
                            </w:pPr>
                          </w:p>
                          <w:p w:rsidR="001B21F1" w:rsidRDefault="001B21F1" w:rsidP="00443FC3">
                            <w:pPr>
                              <w:rPr>
                                <w:b/>
                                <w:color w:val="00642D"/>
                              </w:rPr>
                            </w:pPr>
                            <w:r>
                              <w:rPr>
                                <w:b/>
                                <w:color w:val="00642D"/>
                              </w:rPr>
                              <w:t>Calidad de la Información</w:t>
                            </w:r>
                          </w:p>
                          <w:p w:rsidR="001B21F1" w:rsidRDefault="001B21F1" w:rsidP="00FC0385">
                            <w:pPr>
                              <w:pStyle w:val="Prrafodelista"/>
                              <w:numPr>
                                <w:ilvl w:val="0"/>
                                <w:numId w:val="8"/>
                              </w:numPr>
                              <w:jc w:val="both"/>
                              <w:rPr>
                                <w:sz w:val="20"/>
                                <w:szCs w:val="20"/>
                              </w:rPr>
                            </w:pPr>
                            <w:r w:rsidRPr="00085262">
                              <w:rPr>
                                <w:sz w:val="20"/>
                                <w:szCs w:val="20"/>
                              </w:rPr>
                              <w:t xml:space="preserve">No existen referencias a la </w:t>
                            </w:r>
                            <w:r>
                              <w:rPr>
                                <w:sz w:val="20"/>
                                <w:szCs w:val="20"/>
                              </w:rPr>
                              <w:t xml:space="preserve">fecha en que se revisó o actualizó la información por última vez, por lo que no se puede afirmar que la información publicada cumpla el requisito de actualización. </w:t>
                            </w:r>
                          </w:p>
                          <w:p w:rsidR="001B21F1" w:rsidRDefault="001B21F1" w:rsidP="00FC0385">
                            <w:pPr>
                              <w:pStyle w:val="Prrafodelista"/>
                              <w:numPr>
                                <w:ilvl w:val="0"/>
                                <w:numId w:val="8"/>
                              </w:numPr>
                              <w:jc w:val="both"/>
                              <w:rPr>
                                <w:sz w:val="20"/>
                                <w:szCs w:val="20"/>
                              </w:rPr>
                            </w:pPr>
                            <w:r>
                              <w:rPr>
                                <w:sz w:val="20"/>
                                <w:szCs w:val="20"/>
                              </w:rPr>
                              <w:t>Aunque algunas de las informaciones que no se publican directamente en la web de la DGT puedan estar disponibles en el Portal de Transparencia de la AGE, este hecho no suple la obligación de que se publiquen en la web de la DGT.</w:t>
                            </w:r>
                          </w:p>
                          <w:p w:rsidR="001B21F1" w:rsidRPr="0070627B" w:rsidRDefault="001B21F1" w:rsidP="00443FC3">
                            <w:pPr>
                              <w:pStyle w:val="Prrafodelista"/>
                              <w:numPr>
                                <w:ilvl w:val="0"/>
                                <w:numId w:val="8"/>
                              </w:numPr>
                              <w:rPr>
                                <w:sz w:val="20"/>
                                <w:szCs w:val="20"/>
                              </w:rPr>
                            </w:pPr>
                            <w:r w:rsidRPr="0070627B">
                              <w:rPr>
                                <w:sz w:val="20"/>
                                <w:szCs w:val="20"/>
                              </w:rPr>
                              <w:t xml:space="preserve">Parte de la información sobre encargos a medios propios se ofrece en </w:t>
                            </w:r>
                            <w:proofErr w:type="spellStart"/>
                            <w:r w:rsidRPr="0070627B">
                              <w:rPr>
                                <w:sz w:val="20"/>
                                <w:szCs w:val="20"/>
                              </w:rPr>
                              <w:t>pdf</w:t>
                            </w:r>
                            <w:proofErr w:type="spellEnd"/>
                            <w:r w:rsidRPr="0070627B">
                              <w:rPr>
                                <w:sz w:val="20"/>
                                <w:szCs w:val="20"/>
                              </w:rPr>
                              <w:t xml:space="preserve"> de imagen</w:t>
                            </w:r>
                            <w:r>
                              <w:rPr>
                                <w:sz w:val="20"/>
                                <w:szCs w:val="20"/>
                              </w:rPr>
                              <w:t xml:space="preserve"> (no reutilizable)</w:t>
                            </w:r>
                            <w:r w:rsidRPr="0070627B">
                              <w:rPr>
                                <w:sz w:val="20"/>
                                <w:szCs w:val="20"/>
                              </w:rPr>
                              <w:t xml:space="preserve">. </w:t>
                            </w:r>
                          </w:p>
                          <w:p w:rsidR="001B21F1" w:rsidRDefault="001B21F1" w:rsidP="00443FC3">
                            <w:pPr>
                              <w:rPr>
                                <w:sz w:val="20"/>
                                <w:szCs w:val="20"/>
                              </w:rPr>
                            </w:pPr>
                          </w:p>
                          <w:p w:rsidR="001B21F1" w:rsidRDefault="001B21F1" w:rsidP="00443FC3">
                            <w:pPr>
                              <w:rPr>
                                <w:sz w:val="20"/>
                                <w:szCs w:val="20"/>
                              </w:rPr>
                            </w:pPr>
                          </w:p>
                          <w:p w:rsidR="001B21F1" w:rsidRDefault="001B21F1" w:rsidP="00443FC3">
                            <w:pPr>
                              <w:rPr>
                                <w:sz w:val="20"/>
                                <w:szCs w:val="20"/>
                              </w:rPr>
                            </w:pPr>
                          </w:p>
                          <w:p w:rsidR="001B21F1" w:rsidRDefault="001B21F1" w:rsidP="00443FC3">
                            <w:pPr>
                              <w:rPr>
                                <w:sz w:val="20"/>
                                <w:szCs w:val="20"/>
                              </w:rPr>
                            </w:pPr>
                          </w:p>
                          <w:p w:rsidR="001B21F1" w:rsidRDefault="001B21F1" w:rsidP="00443FC3">
                            <w:pPr>
                              <w:rPr>
                                <w:sz w:val="20"/>
                                <w:szCs w:val="20"/>
                              </w:rPr>
                            </w:pPr>
                          </w:p>
                          <w:p w:rsidR="001B21F1" w:rsidRDefault="001B21F1" w:rsidP="00443FC3">
                            <w:pPr>
                              <w:rPr>
                                <w:sz w:val="20"/>
                                <w:szCs w:val="20"/>
                              </w:rPr>
                            </w:pPr>
                          </w:p>
                          <w:p w:rsidR="001B21F1" w:rsidRPr="00443FC3" w:rsidRDefault="001B21F1" w:rsidP="00443FC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639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">
                <v:textbox>
                  <w:txbxContent>
                    <w:p w:rsidR="00685817" w:rsidRDefault="00685817" w:rsidP="00BD4582">
                      <w:pPr>
                        <w:rPr>
                          <w:b/>
                          <w:color w:val="00642D"/>
                        </w:rPr>
                      </w:pPr>
                      <w:r w:rsidRPr="00BD4582">
                        <w:rPr>
                          <w:b/>
                          <w:color w:val="00642D"/>
                        </w:rPr>
                        <w:t>Contenidos</w:t>
                      </w:r>
                    </w:p>
                    <w:p w:rsidR="00685817" w:rsidRPr="00352F8C" w:rsidRDefault="00685817" w:rsidP="006273F9">
                      <w:pPr>
                        <w:jc w:val="both"/>
                        <w:rPr>
                          <w:sz w:val="20"/>
                          <w:szCs w:val="20"/>
                        </w:rPr>
                      </w:pPr>
                      <w:r w:rsidRPr="00352F8C">
                        <w:rPr>
                          <w:sz w:val="20"/>
                          <w:szCs w:val="20"/>
                        </w:rPr>
                        <w:t>La información publicada no contempla la totalidad de los contenidos obligatorios establecidos en el artículo 8 de la LTAIBG.</w:t>
                      </w:r>
                    </w:p>
                    <w:p w:rsidR="00685817" w:rsidRDefault="00685817" w:rsidP="00FC0385">
                      <w:pPr>
                        <w:pStyle w:val="Prrafodelista"/>
                        <w:numPr>
                          <w:ilvl w:val="0"/>
                          <w:numId w:val="7"/>
                        </w:numPr>
                        <w:jc w:val="both"/>
                        <w:rPr>
                          <w:sz w:val="20"/>
                          <w:szCs w:val="20"/>
                        </w:rPr>
                      </w:pPr>
                      <w:r>
                        <w:rPr>
                          <w:sz w:val="20"/>
                          <w:szCs w:val="20"/>
                        </w:rPr>
                        <w:t>No se ha localizado información sobre modificaciones de contratos adjudicados</w:t>
                      </w:r>
                    </w:p>
                    <w:p w:rsidR="00685817" w:rsidRDefault="00685817" w:rsidP="00FC0385">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685817" w:rsidRDefault="00685817" w:rsidP="00FC0385">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685817" w:rsidRPr="00506A51" w:rsidRDefault="00685817" w:rsidP="00FC0385">
                      <w:pPr>
                        <w:pStyle w:val="Prrafodelista"/>
                        <w:numPr>
                          <w:ilvl w:val="0"/>
                          <w:numId w:val="7"/>
                        </w:numPr>
                        <w:jc w:val="both"/>
                        <w:rPr>
                          <w:sz w:val="20"/>
                          <w:szCs w:val="20"/>
                        </w:rPr>
                      </w:pPr>
                      <w:r>
                        <w:rPr>
                          <w:sz w:val="20"/>
                          <w:szCs w:val="20"/>
                        </w:rPr>
                        <w:t xml:space="preserve">No se ha localizado información sobre las encomiendas de gestión, ni subcontrataciones derivadas de encomiendas o encargos a medios propios. </w:t>
                      </w:r>
                    </w:p>
                    <w:p w:rsidR="00685817" w:rsidRDefault="00685817" w:rsidP="00FC0385">
                      <w:pPr>
                        <w:pStyle w:val="Prrafodelista"/>
                        <w:numPr>
                          <w:ilvl w:val="0"/>
                          <w:numId w:val="7"/>
                        </w:numPr>
                        <w:jc w:val="both"/>
                        <w:rPr>
                          <w:sz w:val="20"/>
                          <w:szCs w:val="20"/>
                        </w:rPr>
                      </w:pPr>
                      <w:r>
                        <w:rPr>
                          <w:sz w:val="20"/>
                          <w:szCs w:val="20"/>
                        </w:rPr>
                        <w:t>No se ha localizado información sobre presupuestos</w:t>
                      </w:r>
                    </w:p>
                    <w:p w:rsidR="00685817" w:rsidRDefault="00685817" w:rsidP="00FC0385">
                      <w:pPr>
                        <w:pStyle w:val="Prrafodelista"/>
                        <w:numPr>
                          <w:ilvl w:val="0"/>
                          <w:numId w:val="7"/>
                        </w:numPr>
                        <w:jc w:val="both"/>
                        <w:rPr>
                          <w:sz w:val="20"/>
                          <w:szCs w:val="20"/>
                        </w:rPr>
                      </w:pPr>
                      <w:r>
                        <w:rPr>
                          <w:sz w:val="20"/>
                          <w:szCs w:val="20"/>
                        </w:rPr>
                        <w:t>No se ha localizado información sobre ejecución presupuestaria.</w:t>
                      </w:r>
                    </w:p>
                    <w:p w:rsidR="00685817" w:rsidRDefault="00685817" w:rsidP="00FC0385">
                      <w:pPr>
                        <w:pStyle w:val="Prrafodelista"/>
                        <w:numPr>
                          <w:ilvl w:val="0"/>
                          <w:numId w:val="7"/>
                        </w:numPr>
                        <w:jc w:val="both"/>
                        <w:rPr>
                          <w:sz w:val="20"/>
                          <w:szCs w:val="20"/>
                        </w:rPr>
                      </w:pPr>
                      <w:r>
                        <w:rPr>
                          <w:sz w:val="20"/>
                          <w:szCs w:val="20"/>
                        </w:rPr>
                        <w:t>No se ha localizado información sobre las cuentas anuales</w:t>
                      </w:r>
                    </w:p>
                    <w:p w:rsidR="00685817" w:rsidRDefault="00685817" w:rsidP="00FC0385">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685817" w:rsidRDefault="00685817" w:rsidP="00FC0385">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685817" w:rsidRDefault="00685817" w:rsidP="00FC0385">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685817" w:rsidRDefault="00685817" w:rsidP="00FC0385">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685817" w:rsidRDefault="00685817" w:rsidP="00FC0385">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685817" w:rsidRDefault="00685817" w:rsidP="00FC0385">
                      <w:pPr>
                        <w:pStyle w:val="Prrafodelista"/>
                        <w:numPr>
                          <w:ilvl w:val="0"/>
                          <w:numId w:val="7"/>
                        </w:numPr>
                        <w:jc w:val="both"/>
                        <w:rPr>
                          <w:sz w:val="20"/>
                          <w:szCs w:val="20"/>
                        </w:rPr>
                      </w:pPr>
                      <w:r>
                        <w:rPr>
                          <w:sz w:val="20"/>
                          <w:szCs w:val="20"/>
                        </w:rPr>
                        <w:t>Aunque la obligación de proporcionar información estadística sobre la calidad de los servicios que presta se ha considerado cumplida, no se ha localizado información sobre el grado de cumplimiento de los compromisos de su carta de servicios.</w:t>
                      </w:r>
                    </w:p>
                    <w:p w:rsidR="00685817" w:rsidRPr="00622183" w:rsidRDefault="00685817" w:rsidP="00622183">
                      <w:pPr>
                        <w:ind w:left="360"/>
                        <w:jc w:val="both"/>
                        <w:rPr>
                          <w:sz w:val="20"/>
                          <w:szCs w:val="20"/>
                        </w:rPr>
                      </w:pPr>
                    </w:p>
                    <w:p w:rsidR="00685817" w:rsidRDefault="00685817" w:rsidP="00443FC3">
                      <w:pPr>
                        <w:rPr>
                          <w:b/>
                          <w:color w:val="00642D"/>
                        </w:rPr>
                      </w:pPr>
                      <w:r>
                        <w:rPr>
                          <w:b/>
                          <w:color w:val="00642D"/>
                        </w:rPr>
                        <w:t>Calidad de la Información</w:t>
                      </w:r>
                    </w:p>
                    <w:p w:rsidR="00685817" w:rsidRDefault="00685817" w:rsidP="00FC0385">
                      <w:pPr>
                        <w:pStyle w:val="Prrafodelista"/>
                        <w:numPr>
                          <w:ilvl w:val="0"/>
                          <w:numId w:val="8"/>
                        </w:numPr>
                        <w:jc w:val="both"/>
                        <w:rPr>
                          <w:sz w:val="20"/>
                          <w:szCs w:val="20"/>
                        </w:rPr>
                      </w:pPr>
                      <w:r w:rsidRPr="00085262">
                        <w:rPr>
                          <w:sz w:val="20"/>
                          <w:szCs w:val="20"/>
                        </w:rPr>
                        <w:t xml:space="preserve">No existen referencias a la </w:t>
                      </w:r>
                      <w:r>
                        <w:rPr>
                          <w:sz w:val="20"/>
                          <w:szCs w:val="20"/>
                        </w:rPr>
                        <w:t xml:space="preserve">fecha en que se revisó o actualizó la información por última vez, por lo que no se puede afirmar que la información publicada cumpla el requisito de actualización. </w:t>
                      </w:r>
                    </w:p>
                    <w:p w:rsidR="00685817" w:rsidRDefault="00685817" w:rsidP="00FC0385">
                      <w:pPr>
                        <w:pStyle w:val="Prrafodelista"/>
                        <w:numPr>
                          <w:ilvl w:val="0"/>
                          <w:numId w:val="8"/>
                        </w:numPr>
                        <w:jc w:val="both"/>
                        <w:rPr>
                          <w:sz w:val="20"/>
                          <w:szCs w:val="20"/>
                        </w:rPr>
                      </w:pPr>
                      <w:r>
                        <w:rPr>
                          <w:sz w:val="20"/>
                          <w:szCs w:val="20"/>
                        </w:rPr>
                        <w:t>Aunque algunas de las informaciones que no se publican directamente en la web de la DGT puedan estar disponibles en el Portal de Transparencia de la AGE, este hecho no suple la obligación de que se publiquen en la web de la DGT.</w:t>
                      </w:r>
                    </w:p>
                    <w:p w:rsidR="00685817" w:rsidRPr="0070627B" w:rsidRDefault="00685817" w:rsidP="00443FC3">
                      <w:pPr>
                        <w:pStyle w:val="Prrafodelista"/>
                        <w:numPr>
                          <w:ilvl w:val="0"/>
                          <w:numId w:val="8"/>
                        </w:numPr>
                        <w:rPr>
                          <w:sz w:val="20"/>
                          <w:szCs w:val="20"/>
                        </w:rPr>
                      </w:pPr>
                      <w:r w:rsidRPr="0070627B">
                        <w:rPr>
                          <w:sz w:val="20"/>
                          <w:szCs w:val="20"/>
                        </w:rPr>
                        <w:t>Parte de la información sobre encargos a medios propios se ofrece en pdf de imagen</w:t>
                      </w:r>
                      <w:r>
                        <w:rPr>
                          <w:sz w:val="20"/>
                          <w:szCs w:val="20"/>
                        </w:rPr>
                        <w:t xml:space="preserve"> (no reutilizable)</w:t>
                      </w:r>
                      <w:r w:rsidRPr="0070627B">
                        <w:rPr>
                          <w:sz w:val="20"/>
                          <w:szCs w:val="20"/>
                        </w:rPr>
                        <w:t xml:space="preserve">. </w:t>
                      </w:r>
                    </w:p>
                    <w:p w:rsidR="00685817" w:rsidRDefault="00685817" w:rsidP="00443FC3">
                      <w:pPr>
                        <w:rPr>
                          <w:sz w:val="20"/>
                          <w:szCs w:val="20"/>
                        </w:rPr>
                      </w:pPr>
                    </w:p>
                    <w:p w:rsidR="00685817" w:rsidRDefault="00685817" w:rsidP="00443FC3">
                      <w:pPr>
                        <w:rPr>
                          <w:sz w:val="20"/>
                          <w:szCs w:val="20"/>
                        </w:rPr>
                      </w:pPr>
                    </w:p>
                    <w:p w:rsidR="00685817" w:rsidRDefault="00685817" w:rsidP="00443FC3">
                      <w:pPr>
                        <w:rPr>
                          <w:sz w:val="20"/>
                          <w:szCs w:val="20"/>
                        </w:rPr>
                      </w:pPr>
                    </w:p>
                    <w:p w:rsidR="00685817" w:rsidRDefault="00685817" w:rsidP="00443FC3">
                      <w:pPr>
                        <w:rPr>
                          <w:sz w:val="20"/>
                          <w:szCs w:val="20"/>
                        </w:rPr>
                      </w:pPr>
                    </w:p>
                    <w:p w:rsidR="00685817" w:rsidRDefault="00685817" w:rsidP="00443FC3">
                      <w:pPr>
                        <w:rPr>
                          <w:sz w:val="20"/>
                          <w:szCs w:val="20"/>
                        </w:rPr>
                      </w:pPr>
                    </w:p>
                    <w:p w:rsidR="00685817" w:rsidRDefault="00685817" w:rsidP="00443FC3">
                      <w:pPr>
                        <w:rPr>
                          <w:sz w:val="20"/>
                          <w:szCs w:val="20"/>
                        </w:rPr>
                      </w:pPr>
                    </w:p>
                    <w:p w:rsidR="00685817" w:rsidRPr="00443FC3" w:rsidRDefault="00685817" w:rsidP="00443FC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CC1E38" w:rsidRDefault="00CC1E38"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442F9"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BB66E42" wp14:editId="70B0800A">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B21F1" w:rsidRDefault="001B21F1" w:rsidP="002A154B">
                            <w:pPr>
                              <w:rPr>
                                <w:b/>
                                <w:color w:val="00642D"/>
                              </w:rPr>
                            </w:pPr>
                            <w:r w:rsidRPr="00BD4582">
                              <w:rPr>
                                <w:b/>
                                <w:color w:val="00642D"/>
                              </w:rPr>
                              <w:t>Contenidos</w:t>
                            </w:r>
                          </w:p>
                          <w:p w:rsidR="001B21F1" w:rsidRDefault="001B21F1"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1B21F1" w:rsidRPr="001442F9" w:rsidRDefault="001B21F1" w:rsidP="001442F9">
                            <w:pPr>
                              <w:pStyle w:val="Prrafodelista"/>
                              <w:numPr>
                                <w:ilvl w:val="0"/>
                                <w:numId w:val="20"/>
                              </w:numPr>
                              <w:jc w:val="both"/>
                              <w:rPr>
                                <w:sz w:val="20"/>
                                <w:szCs w:val="20"/>
                              </w:rPr>
                            </w:pPr>
                            <w:r>
                              <w:rPr>
                                <w:sz w:val="20"/>
                                <w:szCs w:val="20"/>
                              </w:rPr>
                              <w:t>No se publica información sobre los bienes patrimoniales de los que la DGT sea titular o ejerza algún derecho real.</w:t>
                            </w:r>
                          </w:p>
                          <w:p w:rsidR="001B21F1" w:rsidRDefault="001B21F1"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622183" w:rsidRDefault="00622183" w:rsidP="002A154B">
                      <w:pPr>
                        <w:rPr>
                          <w:b/>
                          <w:color w:val="00642D"/>
                        </w:rPr>
                      </w:pPr>
                      <w:r w:rsidRPr="00BD4582">
                        <w:rPr>
                          <w:b/>
                          <w:color w:val="00642D"/>
                        </w:rPr>
                        <w:t>Contenidos</w:t>
                      </w:r>
                    </w:p>
                    <w:p w:rsidR="00622183" w:rsidRDefault="00622183"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622183" w:rsidRPr="001442F9" w:rsidRDefault="00622183" w:rsidP="001442F9">
                      <w:pPr>
                        <w:pStyle w:val="Prrafodelista"/>
                        <w:numPr>
                          <w:ilvl w:val="0"/>
                          <w:numId w:val="20"/>
                        </w:numPr>
                        <w:jc w:val="both"/>
                        <w:rPr>
                          <w:sz w:val="20"/>
                          <w:szCs w:val="20"/>
                        </w:rPr>
                      </w:pPr>
                      <w:r>
                        <w:rPr>
                          <w:sz w:val="20"/>
                          <w:szCs w:val="20"/>
                        </w:rPr>
                        <w:t>No se publica información sobre los bienes patrimoniales de los que la DGT sea titular o ejerza algún derecho real.</w:t>
                      </w:r>
                    </w:p>
                    <w:p w:rsidR="00622183" w:rsidRDefault="00622183"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64717F" w:rsidRDefault="0064717F"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B21F1" w:rsidRPr="009C3E4C" w:rsidTr="001B21F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B21F1" w:rsidRPr="009C3E4C" w:rsidRDefault="001B21F1" w:rsidP="009C3E4C">
            <w:pPr>
              <w:spacing w:before="120" w:after="120" w:line="312" w:lineRule="auto"/>
              <w:rPr>
                <w:rFonts w:cs="Calibri"/>
                <w:sz w:val="16"/>
                <w:szCs w:val="16"/>
              </w:rPr>
            </w:pPr>
            <w:r w:rsidRPr="009C3E4C">
              <w:rPr>
                <w:rFonts w:cs="Calibri"/>
                <w:sz w:val="16"/>
                <w:szCs w:val="16"/>
              </w:rPr>
              <w:t>Institucional, Organizativa y de Planificación</w:t>
            </w:r>
          </w:p>
        </w:tc>
        <w:tc>
          <w:tcPr>
            <w:tcW w:w="0" w:type="auto"/>
            <w:tcBorders>
              <w:left w:val="single" w:sz="18" w:space="0" w:color="FFFFFF" w:themeColor="background1"/>
            </w:tcBorders>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57,5%</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50,0%</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60,0%</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50,0%</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60,0%</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60,0%</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40,0%</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53,9%</w:t>
            </w:r>
          </w:p>
        </w:tc>
      </w:tr>
      <w:tr w:rsidR="001B21F1" w:rsidRPr="009C3E4C" w:rsidTr="001B21F1">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B21F1" w:rsidRPr="009C3E4C" w:rsidRDefault="001B21F1" w:rsidP="009C3E4C">
            <w:pPr>
              <w:spacing w:before="120" w:after="120" w:line="312" w:lineRule="auto"/>
              <w:rPr>
                <w:rFonts w:cs="Calibri"/>
                <w:sz w:val="16"/>
                <w:szCs w:val="16"/>
              </w:rPr>
            </w:pPr>
            <w:r w:rsidRPr="009C3E4C">
              <w:rPr>
                <w:rFonts w:cs="Calibri"/>
                <w:sz w:val="16"/>
                <w:szCs w:val="16"/>
              </w:rPr>
              <w:t>De relevancia jurídica</w:t>
            </w:r>
          </w:p>
        </w:tc>
        <w:tc>
          <w:tcPr>
            <w:tcW w:w="0" w:type="auto"/>
            <w:tcBorders>
              <w:left w:val="single" w:sz="18" w:space="0" w:color="FFFFFF" w:themeColor="background1"/>
            </w:tcBorders>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r>
      <w:tr w:rsidR="00956485" w:rsidRPr="009C3E4C" w:rsidTr="0095648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56485" w:rsidRPr="009C3E4C" w:rsidRDefault="00956485" w:rsidP="009C3E4C">
            <w:pPr>
              <w:spacing w:before="120" w:after="120" w:line="312" w:lineRule="auto"/>
              <w:rPr>
                <w:rFonts w:cs="Calibri"/>
                <w:sz w:val="16"/>
                <w:szCs w:val="16"/>
              </w:rPr>
            </w:pPr>
            <w:r w:rsidRPr="009C3E4C">
              <w:rPr>
                <w:rFonts w:cs="Calibri"/>
                <w:sz w:val="16"/>
                <w:szCs w:val="16"/>
              </w:rPr>
              <w:t>Económica , Presupuestaria y Estadística</w:t>
            </w:r>
          </w:p>
        </w:tc>
        <w:tc>
          <w:tcPr>
            <w:tcW w:w="0" w:type="auto"/>
            <w:tcBorders>
              <w:left w:val="single" w:sz="18" w:space="0" w:color="FFFFFF" w:themeColor="background1"/>
            </w:tcBorders>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19,4%</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5,9%</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23,5%</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5,9%</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23,5%</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20,6%</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20,6%</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17,1%</w:t>
            </w:r>
          </w:p>
        </w:tc>
      </w:tr>
      <w:tr w:rsidR="00956485" w:rsidRPr="009C3E4C" w:rsidTr="00956485">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56485" w:rsidRPr="009C3E4C" w:rsidRDefault="00956485" w:rsidP="009C3E4C">
            <w:pPr>
              <w:spacing w:before="120" w:after="120" w:line="312" w:lineRule="auto"/>
              <w:rPr>
                <w:rFonts w:cs="Calibri"/>
                <w:sz w:val="16"/>
                <w:szCs w:val="16"/>
              </w:rPr>
            </w:pPr>
            <w:r w:rsidRPr="009C3E4C">
              <w:rPr>
                <w:rFonts w:cs="Calibri"/>
                <w:sz w:val="16"/>
                <w:szCs w:val="16"/>
              </w:rPr>
              <w:t>Información patrimonial</w:t>
            </w:r>
          </w:p>
        </w:tc>
        <w:tc>
          <w:tcPr>
            <w:tcW w:w="0" w:type="auto"/>
            <w:tcBorders>
              <w:left w:val="single" w:sz="18" w:space="0" w:color="FFFFFF" w:themeColor="background1"/>
            </w:tcBorders>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r>
      <w:tr w:rsidR="00956485" w:rsidRPr="009C3E4C" w:rsidTr="0095648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56485" w:rsidRPr="009C3E4C" w:rsidRDefault="00956485" w:rsidP="009C3E4C">
            <w:pPr>
              <w:spacing w:before="120" w:after="120" w:line="312" w:lineRule="auto"/>
              <w:rPr>
                <w:rFonts w:cs="Calibri"/>
                <w:i/>
                <w:sz w:val="16"/>
                <w:szCs w:val="16"/>
              </w:rPr>
            </w:pPr>
            <w:r w:rsidRPr="009C3E4C">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31,2%</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20,7%</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34,5%</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20,7%</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34,5%</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32,8%</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25,9%</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28,6%</w:t>
            </w:r>
          </w:p>
        </w:tc>
      </w:tr>
    </w:tbl>
    <w:p w:rsidR="00BD4582" w:rsidRPr="009C3E4C" w:rsidRDefault="00BD4582" w:rsidP="009C3E4C">
      <w:pPr>
        <w:jc w:val="center"/>
        <w:rPr>
          <w:sz w:val="16"/>
          <w:szCs w:val="16"/>
        </w:rPr>
      </w:pPr>
    </w:p>
    <w:p w:rsidR="000E7BD9" w:rsidRDefault="000E7BD9" w:rsidP="000E7BD9">
      <w:pPr>
        <w:jc w:val="both"/>
      </w:pPr>
      <w:r>
        <w:t xml:space="preserve">El Índice de Cumplimiento de la Información Obligatoria (ICIO) alcanza un </w:t>
      </w:r>
      <w:r w:rsidR="001B21F1" w:rsidRPr="001B21F1">
        <w:t>2</w:t>
      </w:r>
      <w:r w:rsidR="00956485">
        <w:t>8</w:t>
      </w:r>
      <w:r w:rsidR="001B21F1" w:rsidRPr="001B21F1">
        <w:t>,6</w:t>
      </w:r>
      <w:r w:rsidR="00695360">
        <w:t>%</w:t>
      </w:r>
      <w:r>
        <w:t xml:space="preserve"> de cumplimiento. La falta de publicación de informaciones obligatorias – sólo se publica el </w:t>
      </w:r>
      <w:r w:rsidR="00695360" w:rsidRPr="001B21F1">
        <w:t>3</w:t>
      </w:r>
      <w:r w:rsidR="00956485">
        <w:t>1</w:t>
      </w:r>
      <w:r w:rsidR="00695360" w:rsidRPr="001B21F1">
        <w:t>,2</w:t>
      </w:r>
      <w:r>
        <w:t>% de las informaciones sujetas a publicidad activa – así como la publicación de</w:t>
      </w:r>
      <w:r w:rsidR="00B701B7">
        <w:t xml:space="preserve"> </w:t>
      </w:r>
      <w:r>
        <w:t>la información en formatos no reutilizables</w:t>
      </w:r>
      <w:r w:rsidR="00C612C3">
        <w:t xml:space="preserve">, </w:t>
      </w:r>
      <w:r w:rsidR="009C3E4C">
        <w:t xml:space="preserve">el recurso a fuentes centralizadas para la publicación de algunas informaciones, </w:t>
      </w:r>
      <w:r w:rsidR="00416B42">
        <w:t>la falta de actualización de mucha de la información publicada o</w:t>
      </w:r>
      <w:r>
        <w:t xml:space="preserve">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3E2CE3F6" wp14:editId="5B323699">
                <wp:simplePos x="0" y="0"/>
                <wp:positionH relativeFrom="column">
                  <wp:align>center</wp:align>
                </wp:positionH>
                <wp:positionV relativeFrom="paragraph">
                  <wp:posOffset>0</wp:posOffset>
                </wp:positionV>
                <wp:extent cx="6400800" cy="132397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23975"/>
                        </a:xfrm>
                        <a:prstGeom prst="rect">
                          <a:avLst/>
                        </a:prstGeom>
                        <a:solidFill>
                          <a:srgbClr val="FFFFFF"/>
                        </a:solidFill>
                        <a:ln w="9525">
                          <a:solidFill>
                            <a:srgbClr val="000000"/>
                          </a:solidFill>
                          <a:miter lim="800000"/>
                          <a:headEnd/>
                          <a:tailEnd/>
                        </a:ln>
                      </wps:spPr>
                      <wps:txbx>
                        <w:txbxContent>
                          <w:p w:rsidR="001B21F1" w:rsidRDefault="001B21F1">
                            <w:pPr>
                              <w:rPr>
                                <w:b/>
                                <w:color w:val="00642D"/>
                              </w:rPr>
                            </w:pPr>
                            <w:r w:rsidRPr="002A154B">
                              <w:rPr>
                                <w:b/>
                                <w:color w:val="00642D"/>
                              </w:rPr>
                              <w:t xml:space="preserve">Transparencia </w:t>
                            </w:r>
                            <w:r>
                              <w:rPr>
                                <w:b/>
                                <w:color w:val="00642D"/>
                              </w:rPr>
                              <w:t>Voluntaria</w:t>
                            </w:r>
                          </w:p>
                          <w:p w:rsidR="001B21F1" w:rsidRDefault="001B21F1">
                            <w:pPr>
                              <w:rPr>
                                <w:sz w:val="20"/>
                                <w:szCs w:val="20"/>
                              </w:rPr>
                            </w:pPr>
                            <w:r>
                              <w:rPr>
                                <w:sz w:val="20"/>
                                <w:szCs w:val="20"/>
                              </w:rPr>
                              <w:t>La DGT</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7in;height:104.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">
                <v:textbox>
                  <w:txbxContent>
                    <w:p w:rsidR="00622183" w:rsidRDefault="00622183">
                      <w:pPr>
                        <w:rPr>
                          <w:b/>
                          <w:color w:val="00642D"/>
                        </w:rPr>
                      </w:pPr>
                      <w:r w:rsidRPr="002A154B">
                        <w:rPr>
                          <w:b/>
                          <w:color w:val="00642D"/>
                        </w:rPr>
                        <w:t xml:space="preserve">Transparencia </w:t>
                      </w:r>
                      <w:r>
                        <w:rPr>
                          <w:b/>
                          <w:color w:val="00642D"/>
                        </w:rPr>
                        <w:t>Voluntaria</w:t>
                      </w:r>
                    </w:p>
                    <w:p w:rsidR="00622183" w:rsidRDefault="00622183">
                      <w:pPr>
                        <w:rPr>
                          <w:sz w:val="20"/>
                          <w:szCs w:val="20"/>
                        </w:rPr>
                      </w:pPr>
                      <w:r>
                        <w:rPr>
                          <w:sz w:val="20"/>
                          <w:szCs w:val="20"/>
                        </w:rPr>
                        <w:t>La DGT</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 organización.</w:t>
                      </w: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30656A71" wp14:editId="3DB1493E">
                <wp:simplePos x="0" y="0"/>
                <wp:positionH relativeFrom="column">
                  <wp:posOffset>133350</wp:posOffset>
                </wp:positionH>
                <wp:positionV relativeFrom="paragraph">
                  <wp:posOffset>169546</wp:posOffset>
                </wp:positionV>
                <wp:extent cx="6264910" cy="9906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90600"/>
                        </a:xfrm>
                        <a:prstGeom prst="rect">
                          <a:avLst/>
                        </a:prstGeom>
                        <a:solidFill>
                          <a:srgbClr val="FFFFFF"/>
                        </a:solidFill>
                        <a:ln w="9525">
                          <a:solidFill>
                            <a:srgbClr val="000000"/>
                          </a:solidFill>
                          <a:miter lim="800000"/>
                          <a:headEnd/>
                          <a:tailEnd/>
                        </a:ln>
                      </wps:spPr>
                      <wps:txbx>
                        <w:txbxContent>
                          <w:p w:rsidR="001B21F1" w:rsidRDefault="001B21F1" w:rsidP="002A154B">
                            <w:pPr>
                              <w:rPr>
                                <w:b/>
                                <w:color w:val="00642D"/>
                              </w:rPr>
                            </w:pPr>
                            <w:r>
                              <w:rPr>
                                <w:b/>
                                <w:color w:val="00642D"/>
                              </w:rPr>
                              <w:t>Buenas Prácticas</w:t>
                            </w:r>
                          </w:p>
                          <w:p w:rsidR="001B21F1" w:rsidRPr="00685817" w:rsidRDefault="001B21F1" w:rsidP="00685817">
                            <w:pPr>
                              <w:ind w:left="360"/>
                              <w:rPr>
                                <w:sz w:val="20"/>
                                <w:szCs w:val="20"/>
                              </w:rPr>
                            </w:pPr>
                            <w:r w:rsidRPr="00685817">
                              <w:rPr>
                                <w:sz w:val="20"/>
                                <w:szCs w:val="20"/>
                              </w:rPr>
                              <w:t>Dado que la DGT carece de un Portal de Transparencia, no cabe</w:t>
                            </w:r>
                            <w:r>
                              <w:rPr>
                                <w:sz w:val="20"/>
                                <w:szCs w:val="20"/>
                              </w:rPr>
                              <w:t>n</w:t>
                            </w:r>
                            <w:r w:rsidRPr="00685817">
                              <w:rPr>
                                <w:sz w:val="20"/>
                                <w:szCs w:val="20"/>
                              </w:rPr>
                              <w:t xml:space="preserve"> buenas prácticas que reseñar</w:t>
                            </w:r>
                            <w:r>
                              <w:rPr>
                                <w:sz w:val="20"/>
                                <w:szCs w:val="20"/>
                              </w:rPr>
                              <w:t>.</w:t>
                            </w:r>
                          </w:p>
                          <w:p w:rsidR="001B21F1" w:rsidRPr="000E7BD9" w:rsidRDefault="001B21F1" w:rsidP="002A154B">
                            <w:pPr>
                              <w:rPr>
                                <w:sz w:val="20"/>
                                <w:szCs w:val="20"/>
                              </w:rPr>
                            </w:pPr>
                          </w:p>
                          <w:p w:rsidR="001B21F1" w:rsidRPr="002A154B" w:rsidRDefault="001B21F1"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13.35pt;width:493.3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">
                <v:textbox>
                  <w:txbxContent>
                    <w:p w:rsidR="00685817" w:rsidRDefault="00685817" w:rsidP="002A154B">
                      <w:pPr>
                        <w:rPr>
                          <w:b/>
                          <w:color w:val="00642D"/>
                        </w:rPr>
                      </w:pPr>
                      <w:r>
                        <w:rPr>
                          <w:b/>
                          <w:color w:val="00642D"/>
                        </w:rPr>
                        <w:t>Buenas Prácticas</w:t>
                      </w:r>
                    </w:p>
                    <w:p w:rsidR="00685817" w:rsidRPr="00685817" w:rsidRDefault="00685817" w:rsidP="00685817">
                      <w:pPr>
                        <w:ind w:left="360"/>
                        <w:rPr>
                          <w:sz w:val="20"/>
                          <w:szCs w:val="20"/>
                        </w:rPr>
                      </w:pPr>
                      <w:r w:rsidRPr="00685817">
                        <w:rPr>
                          <w:sz w:val="20"/>
                          <w:szCs w:val="20"/>
                        </w:rPr>
                        <w:t>Dado que la DGT carece de un Portal de Transparencia, no cabe</w:t>
                      </w:r>
                      <w:r>
                        <w:rPr>
                          <w:sz w:val="20"/>
                          <w:szCs w:val="20"/>
                        </w:rPr>
                        <w:t>n</w:t>
                      </w:r>
                      <w:r w:rsidRPr="00685817">
                        <w:rPr>
                          <w:sz w:val="20"/>
                          <w:szCs w:val="20"/>
                        </w:rPr>
                        <w:t xml:space="preserve"> buenas prácticas que reseñar</w:t>
                      </w:r>
                      <w:r>
                        <w:rPr>
                          <w:sz w:val="20"/>
                          <w:szCs w:val="20"/>
                        </w:rPr>
                        <w:t>.</w:t>
                      </w:r>
                    </w:p>
                    <w:p w:rsidR="00685817" w:rsidRPr="000E7BD9" w:rsidRDefault="00685817" w:rsidP="002A154B">
                      <w:pPr>
                        <w:rPr>
                          <w:sz w:val="20"/>
                          <w:szCs w:val="20"/>
                        </w:rPr>
                      </w:pPr>
                    </w:p>
                    <w:p w:rsidR="00685817" w:rsidRPr="002A154B" w:rsidRDefault="00685817" w:rsidP="002A154B">
                      <w:pPr>
                        <w:rPr>
                          <w:b/>
                          <w:color w:val="00642D"/>
                        </w:rPr>
                      </w:pPr>
                    </w:p>
                  </w:txbxContent>
                </v:textbox>
              </v:shape>
            </w:pict>
          </mc:Fallback>
        </mc:AlternateContent>
      </w:r>
    </w:p>
    <w:p w:rsidR="00932008" w:rsidRDefault="00932008"/>
    <w:p w:rsidR="000C6CFF" w:rsidRDefault="000C6CFF"/>
    <w:p w:rsidR="008C1E1E" w:rsidRDefault="008C1E1E"/>
    <w:p w:rsidR="00B40246" w:rsidRDefault="00B4024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w:t>
      </w:r>
      <w:r w:rsidR="00695360">
        <w:t xml:space="preserve">e </w:t>
      </w:r>
      <w:r w:rsidR="00CA724C">
        <w:t>la DGT</w:t>
      </w:r>
      <w:r w:rsidRPr="00FD0689">
        <w:t xml:space="preserve">, en función de la información disponible en </w:t>
      </w:r>
      <w:r>
        <w:t xml:space="preserve">su </w:t>
      </w:r>
      <w:r w:rsidR="00FD2B50">
        <w:t>web</w:t>
      </w:r>
      <w:r>
        <w:t xml:space="preserve"> alcanza el </w:t>
      </w:r>
      <w:r w:rsidR="00695360" w:rsidRPr="00BD4267">
        <w:t>2</w:t>
      </w:r>
      <w:r w:rsidR="00956485">
        <w:t>8</w:t>
      </w:r>
      <w:r w:rsidR="00BD4267" w:rsidRPr="00BD4267">
        <w:t>,6</w:t>
      </w:r>
      <w:r w:rsidRPr="00BD4267">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 xml:space="preserve">cumplimiento de la LTAIBG por parte </w:t>
      </w:r>
      <w:r w:rsidR="00695360">
        <w:t xml:space="preserve">de </w:t>
      </w:r>
      <w:r w:rsidR="00CA724C">
        <w:t>la DGT</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C612C3" w:rsidRDefault="00C612C3" w:rsidP="000E7BD9">
      <w:pPr>
        <w:spacing w:before="120" w:after="120" w:line="312" w:lineRule="auto"/>
        <w:jc w:val="both"/>
        <w:rPr>
          <w:b/>
          <w:color w:val="00642D"/>
        </w:rPr>
      </w:pPr>
      <w:r>
        <w:rPr>
          <w:b/>
          <w:color w:val="00642D"/>
        </w:rPr>
        <w:t>Localización y Estructuración de la información.</w:t>
      </w:r>
    </w:p>
    <w:p w:rsidR="00416B42" w:rsidRDefault="00CA724C" w:rsidP="00416B42">
      <w:pPr>
        <w:spacing w:before="120" w:after="120" w:line="312" w:lineRule="auto"/>
        <w:jc w:val="both"/>
      </w:pPr>
      <w:r>
        <w:t>La DGT</w:t>
      </w:r>
      <w:r w:rsidR="00416B42">
        <w:t xml:space="preserve"> debe articular un espacio diferenciado en su web institucional destinado a la publicación de la información sujeta a obligaciones de publicidad activa. El acceso a este espacio debería efectuarse mediante un banner o enlace visible en la página home de su web institucional para facilitar su localización a la ciudadanía. </w:t>
      </w:r>
    </w:p>
    <w:p w:rsidR="00416B42" w:rsidRDefault="00416B42" w:rsidP="00416B42">
      <w:pPr>
        <w:spacing w:before="120" w:after="120" w:line="312" w:lineRule="auto"/>
        <w:jc w:val="both"/>
      </w:pPr>
      <w:r>
        <w:t>La información debe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C612C3" w:rsidRDefault="00416B42" w:rsidP="00416B42">
      <w:pPr>
        <w:spacing w:before="120" w:after="120" w:line="312" w:lineRule="auto"/>
        <w:jc w:val="both"/>
      </w:pPr>
      <w:r>
        <w:t xml:space="preserve">Dentro de cada uno de estos bloques deben publicarse - o enlazarse - las informaciones obligatorias que establecen los artículos 6 a 8 de la LTAIBG. </w:t>
      </w:r>
      <w:r w:rsidR="00C612C3" w:rsidRPr="00C612C3">
        <w:t>T</w:t>
      </w:r>
      <w:r w:rsidR="00C612C3">
        <w:t>oda la información sujeta a obligaciones de publicidad activa debe publicarse – o en su caso enlazarse - en el Portal de Transparencia y dentro de éste en el bloque de obligaciones al que se vincule.</w:t>
      </w:r>
    </w:p>
    <w:p w:rsidR="00416B42" w:rsidRDefault="00C612C3" w:rsidP="000E7BD9">
      <w:pPr>
        <w:spacing w:before="120" w:after="120" w:line="312" w:lineRule="auto"/>
        <w:jc w:val="both"/>
      </w:pPr>
      <w:r>
        <w:t xml:space="preserve">La publicación de las informaciones dentro de cada uno de los bloques de información debe ajustarse al patrón que establece la LTAIBG. </w:t>
      </w:r>
    </w:p>
    <w:p w:rsidR="00416B42" w:rsidRPr="00D523E3" w:rsidRDefault="00416B42" w:rsidP="00416B42">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685817">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535309" w:rsidRDefault="00535309" w:rsidP="000E7BD9">
      <w:pPr>
        <w:spacing w:before="120" w:after="120" w:line="312" w:lineRule="auto"/>
        <w:jc w:val="both"/>
        <w:rPr>
          <w:b/>
          <w:color w:val="00642D"/>
        </w:rPr>
      </w:pPr>
    </w:p>
    <w:p w:rsidR="000E7BD9" w:rsidRDefault="000E7BD9" w:rsidP="000E7BD9">
      <w:pPr>
        <w:spacing w:before="120" w:after="120" w:line="312" w:lineRule="auto"/>
        <w:jc w:val="both"/>
        <w:rPr>
          <w:b/>
          <w:color w:val="00642D"/>
        </w:rPr>
      </w:pPr>
      <w:r w:rsidRPr="008E224F">
        <w:rPr>
          <w:b/>
          <w:color w:val="00642D"/>
        </w:rPr>
        <w:t>Incorporación de información</w:t>
      </w:r>
    </w:p>
    <w:p w:rsidR="00F108CF" w:rsidRDefault="00F108CF" w:rsidP="000E7BD9">
      <w:pPr>
        <w:spacing w:before="120" w:after="120" w:line="312" w:lineRule="auto"/>
        <w:jc w:val="both"/>
        <w:rPr>
          <w:b/>
          <w:color w:val="00642D"/>
        </w:rPr>
      </w:pPr>
    </w:p>
    <w:p w:rsidR="000E7BD9"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535309" w:rsidRPr="008C6237" w:rsidRDefault="00535309" w:rsidP="000E7BD9">
      <w:pPr>
        <w:spacing w:before="120" w:after="120" w:line="312" w:lineRule="auto"/>
        <w:jc w:val="both"/>
        <w:outlineLvl w:val="1"/>
        <w:rPr>
          <w:b/>
          <w:color w:val="00642D"/>
        </w:rPr>
      </w:pPr>
    </w:p>
    <w:p w:rsidR="00695360" w:rsidRDefault="00695360" w:rsidP="0053530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la normativa aplicable a la organización </w:t>
      </w:r>
    </w:p>
    <w:p w:rsidR="00416B42" w:rsidRDefault="00695360" w:rsidP="0053530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lastRenderedPageBreak/>
        <w:t>Debe publicarse un organigrama de la organización</w:t>
      </w:r>
    </w:p>
    <w:p w:rsidR="00695360" w:rsidRDefault="00695360" w:rsidP="0053530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identificarse a los responsables de la DGT</w:t>
      </w:r>
    </w:p>
    <w:p w:rsidR="00416B42" w:rsidRDefault="00416B42" w:rsidP="0053530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información sobre </w:t>
      </w:r>
      <w:r w:rsidRPr="00416B42">
        <w:rPr>
          <w:rFonts w:ascii="Century Gothic" w:hAnsi="Century Gothic"/>
          <w:lang w:bidi="es-ES"/>
        </w:rPr>
        <w:t>los perfiles y trayectorias profesionales de sus responsables.</w:t>
      </w:r>
    </w:p>
    <w:p w:rsidR="00695360" w:rsidRDefault="00695360" w:rsidP="0053530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Debería publicarse de manera individualizada el Registro de Actividades de Tratamiento de la DGT</w:t>
      </w:r>
    </w:p>
    <w:p w:rsidR="00535309" w:rsidRDefault="00535309" w:rsidP="00535309">
      <w:pPr>
        <w:pStyle w:val="Sinespaciado"/>
        <w:spacing w:before="120" w:after="120" w:line="312" w:lineRule="auto"/>
        <w:jc w:val="both"/>
        <w:rPr>
          <w:rFonts w:ascii="Century Gothic" w:eastAsiaTheme="minorEastAsia" w:hAnsi="Century Gothic"/>
          <w:b/>
          <w:color w:val="00642D"/>
          <w:lang w:eastAsia="es-ES"/>
        </w:rPr>
      </w:pPr>
    </w:p>
    <w:p w:rsidR="00A63B60" w:rsidRDefault="00A63B60" w:rsidP="00535309">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535309" w:rsidRDefault="00535309" w:rsidP="00535309">
      <w:pPr>
        <w:pStyle w:val="Sinespaciado"/>
        <w:spacing w:before="120" w:after="120" w:line="312" w:lineRule="auto"/>
        <w:jc w:val="both"/>
        <w:rPr>
          <w:rFonts w:ascii="Century Gothic" w:eastAsiaTheme="minorEastAsia" w:hAnsi="Century Gothic"/>
          <w:b/>
          <w:color w:val="00642D"/>
          <w:lang w:eastAsia="es-ES"/>
        </w:rPr>
      </w:pPr>
    </w:p>
    <w:p w:rsidR="00A63B60" w:rsidRPr="00A63B60" w:rsidRDefault="00416B42" w:rsidP="00535309">
      <w:pPr>
        <w:pStyle w:val="Prrafodelista"/>
        <w:numPr>
          <w:ilvl w:val="0"/>
          <w:numId w:val="10"/>
        </w:numPr>
        <w:spacing w:before="120" w:after="120" w:line="312" w:lineRule="auto"/>
        <w:contextualSpacing w:val="0"/>
        <w:jc w:val="both"/>
      </w:pPr>
      <w:r>
        <w:t xml:space="preserve">Deben </w:t>
      </w:r>
      <w:r w:rsidR="00A63B60">
        <w:t xml:space="preserve">publicarse  las instrucciones, circulares, directrices </w:t>
      </w:r>
      <w:r>
        <w:t>o</w:t>
      </w:r>
      <w:r w:rsidR="00A63B60">
        <w:t xml:space="preserve"> respuestas a consultas que tengan efectos jurídicos sobre terceros.</w:t>
      </w:r>
    </w:p>
    <w:p w:rsidR="00535309" w:rsidRDefault="00535309" w:rsidP="00535309">
      <w:pPr>
        <w:spacing w:before="120" w:after="120" w:line="312" w:lineRule="auto"/>
        <w:jc w:val="both"/>
        <w:outlineLvl w:val="1"/>
        <w:rPr>
          <w:b/>
          <w:color w:val="00642D"/>
        </w:rPr>
      </w:pPr>
    </w:p>
    <w:p w:rsidR="000E7BD9" w:rsidRDefault="000E7BD9" w:rsidP="00535309">
      <w:pPr>
        <w:spacing w:before="120" w:after="120" w:line="312" w:lineRule="auto"/>
        <w:jc w:val="both"/>
        <w:outlineLvl w:val="1"/>
        <w:rPr>
          <w:b/>
          <w:color w:val="00642D"/>
        </w:rPr>
      </w:pPr>
      <w:r w:rsidRPr="008C6237">
        <w:rPr>
          <w:b/>
          <w:color w:val="00642D"/>
        </w:rPr>
        <w:t>Información Económica, Presupuestaria y Estadística.</w:t>
      </w:r>
    </w:p>
    <w:p w:rsidR="00535309" w:rsidRPr="008C6237" w:rsidRDefault="00535309" w:rsidP="00535309">
      <w:pPr>
        <w:spacing w:before="120" w:after="120" w:line="312" w:lineRule="auto"/>
        <w:jc w:val="both"/>
        <w:outlineLvl w:val="1"/>
        <w:rPr>
          <w:b/>
          <w:color w:val="00642D"/>
        </w:rPr>
      </w:pPr>
    </w:p>
    <w:p w:rsidR="000E7BD9" w:rsidRDefault="000E7BD9" w:rsidP="00535309">
      <w:pPr>
        <w:pStyle w:val="Prrafodelista"/>
        <w:numPr>
          <w:ilvl w:val="0"/>
          <w:numId w:val="11"/>
        </w:numPr>
        <w:spacing w:before="120" w:after="120" w:line="312" w:lineRule="auto"/>
        <w:contextualSpacing w:val="0"/>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535309">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535309">
      <w:pPr>
        <w:pStyle w:val="Prrafodelista"/>
        <w:numPr>
          <w:ilvl w:val="0"/>
          <w:numId w:val="11"/>
        </w:numPr>
        <w:spacing w:before="120" w:after="120" w:line="312" w:lineRule="auto"/>
        <w:contextualSpacing w:val="0"/>
        <w:jc w:val="both"/>
      </w:pPr>
      <w:r>
        <w:t>Debe publicarse</w:t>
      </w:r>
      <w:r w:rsidR="00F108CF">
        <w:t xml:space="preserve"> </w:t>
      </w:r>
      <w:r>
        <w:t>información sobre los convenios subscritos por la organización.</w:t>
      </w:r>
    </w:p>
    <w:p w:rsidR="003F2B13" w:rsidRDefault="003F2B13" w:rsidP="00535309">
      <w:pPr>
        <w:pStyle w:val="Prrafodelista"/>
        <w:numPr>
          <w:ilvl w:val="0"/>
          <w:numId w:val="11"/>
        </w:numPr>
        <w:spacing w:before="120" w:after="120" w:line="312" w:lineRule="auto"/>
        <w:contextualSpacing w:val="0"/>
        <w:jc w:val="both"/>
      </w:pPr>
      <w:r>
        <w:t xml:space="preserve">Debe publicarse información </w:t>
      </w:r>
      <w:r w:rsidR="00416B42">
        <w:t xml:space="preserve">sobre </w:t>
      </w:r>
      <w:r w:rsidR="00C70867">
        <w:t xml:space="preserve">las </w:t>
      </w:r>
      <w:r w:rsidR="00FD2B50">
        <w:t xml:space="preserve">encomiendas de gestión, </w:t>
      </w:r>
      <w:r w:rsidR="00685817">
        <w:t>y</w:t>
      </w:r>
      <w:r w:rsidR="00FD2B50">
        <w:t xml:space="preserve"> sobre </w:t>
      </w:r>
      <w:r w:rsidR="00C70867">
        <w:t>subcontrataciones derivadas</w:t>
      </w:r>
      <w:r w:rsidR="00416B42">
        <w:t xml:space="preserve"> de las encomiendas o encargos a medios propios.</w:t>
      </w:r>
    </w:p>
    <w:p w:rsidR="00695360" w:rsidRDefault="00695360" w:rsidP="00535309">
      <w:pPr>
        <w:pStyle w:val="Prrafodelista"/>
        <w:numPr>
          <w:ilvl w:val="0"/>
          <w:numId w:val="11"/>
        </w:numPr>
        <w:spacing w:before="120" w:after="120" w:line="312" w:lineRule="auto"/>
        <w:contextualSpacing w:val="0"/>
        <w:jc w:val="both"/>
      </w:pPr>
      <w:r>
        <w:t>Deben publicarse las subvenciones y ayudas públicas concedidas</w:t>
      </w:r>
    </w:p>
    <w:p w:rsidR="00E54A62" w:rsidRDefault="00E54A62" w:rsidP="00535309">
      <w:pPr>
        <w:pStyle w:val="Prrafodelista"/>
        <w:numPr>
          <w:ilvl w:val="0"/>
          <w:numId w:val="11"/>
        </w:numPr>
        <w:spacing w:before="120" w:after="120" w:line="312" w:lineRule="auto"/>
        <w:contextualSpacing w:val="0"/>
        <w:jc w:val="both"/>
      </w:pPr>
      <w:r>
        <w:t>Debe publicarse el presupuesto</w:t>
      </w:r>
      <w:r w:rsidR="00C612C3">
        <w:t xml:space="preserve"> 2021</w:t>
      </w:r>
      <w:r>
        <w:t>.</w:t>
      </w:r>
    </w:p>
    <w:p w:rsidR="00695360" w:rsidRDefault="00416B42" w:rsidP="00535309">
      <w:pPr>
        <w:pStyle w:val="Prrafodelista"/>
        <w:numPr>
          <w:ilvl w:val="0"/>
          <w:numId w:val="11"/>
        </w:numPr>
        <w:spacing w:before="120" w:after="120" w:line="312" w:lineRule="auto"/>
        <w:contextualSpacing w:val="0"/>
        <w:jc w:val="both"/>
      </w:pPr>
      <w:r>
        <w:t>Debe publicarse información sobre la ejecución presupuestaria.</w:t>
      </w:r>
    </w:p>
    <w:p w:rsidR="00695360" w:rsidRDefault="00695360" w:rsidP="00535309">
      <w:pPr>
        <w:pStyle w:val="Prrafodelista"/>
        <w:numPr>
          <w:ilvl w:val="0"/>
          <w:numId w:val="11"/>
        </w:numPr>
        <w:spacing w:before="120" w:after="120" w:line="312" w:lineRule="auto"/>
        <w:contextualSpacing w:val="0"/>
        <w:jc w:val="both"/>
      </w:pPr>
      <w:r>
        <w:t>Deben publicarse las cuentas anuales</w:t>
      </w:r>
    </w:p>
    <w:p w:rsidR="00C70867" w:rsidRDefault="00C70867" w:rsidP="00535309">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C612C3" w:rsidRDefault="00C612C3" w:rsidP="00535309">
      <w:pPr>
        <w:pStyle w:val="Prrafodelista"/>
        <w:numPr>
          <w:ilvl w:val="0"/>
          <w:numId w:val="11"/>
        </w:numPr>
        <w:spacing w:before="120" w:after="120" w:line="312" w:lineRule="auto"/>
        <w:contextualSpacing w:val="0"/>
        <w:jc w:val="both"/>
      </w:pPr>
      <w:r>
        <w:t xml:space="preserve">Debe publicarse información sobre las retribuciones percibidas </w:t>
      </w:r>
      <w:r w:rsidR="00416B42">
        <w:t>por los altos cargos</w:t>
      </w:r>
      <w:r w:rsidR="009D573C">
        <w:t xml:space="preserve"> y máximos responsables</w:t>
      </w:r>
    </w:p>
    <w:p w:rsidR="00C70867" w:rsidRDefault="00C70867" w:rsidP="00535309">
      <w:pPr>
        <w:pStyle w:val="Prrafodelista"/>
        <w:numPr>
          <w:ilvl w:val="0"/>
          <w:numId w:val="11"/>
        </w:numPr>
        <w:spacing w:before="120" w:after="120" w:line="312" w:lineRule="auto"/>
        <w:contextualSpacing w:val="0"/>
        <w:jc w:val="both"/>
      </w:pPr>
      <w:r>
        <w:t xml:space="preserve">Deben publicarse las indemnizaciones percibidas por los altos cargos </w:t>
      </w:r>
      <w:r w:rsidR="009D573C">
        <w:t xml:space="preserve">y máximos responsables </w:t>
      </w:r>
      <w:r>
        <w:t>con ocasión del abandono del cargo</w:t>
      </w:r>
    </w:p>
    <w:p w:rsidR="00C70867" w:rsidRDefault="00C70867" w:rsidP="00535309">
      <w:pPr>
        <w:pStyle w:val="Prrafodelista"/>
        <w:numPr>
          <w:ilvl w:val="0"/>
          <w:numId w:val="11"/>
        </w:numPr>
        <w:spacing w:before="120" w:after="120" w:line="312" w:lineRule="auto"/>
        <w:contextualSpacing w:val="0"/>
        <w:jc w:val="both"/>
      </w:pPr>
      <w:r>
        <w:t>Deben publicarse</w:t>
      </w:r>
      <w:r w:rsidR="00956B63" w:rsidRPr="00956B63">
        <w:t xml:space="preserve"> </w:t>
      </w:r>
      <w:r>
        <w:t>las autorizaciones  para la compatibilidad con actividades públicas o privadas  concedidas a los empleados públicos de</w:t>
      </w:r>
      <w:r w:rsidR="00613B17">
        <w:t xml:space="preserve">l </w:t>
      </w:r>
      <w:r w:rsidR="00695360">
        <w:t>organismo</w:t>
      </w:r>
      <w:r>
        <w:t>.</w:t>
      </w:r>
    </w:p>
    <w:p w:rsidR="00C70867" w:rsidRDefault="00C70867" w:rsidP="00535309">
      <w:pPr>
        <w:pStyle w:val="Prrafodelista"/>
        <w:numPr>
          <w:ilvl w:val="0"/>
          <w:numId w:val="11"/>
        </w:numPr>
        <w:spacing w:before="120" w:after="120" w:line="312" w:lineRule="auto"/>
        <w:contextualSpacing w:val="0"/>
        <w:jc w:val="both"/>
      </w:pPr>
      <w:r>
        <w:t>Deben publicarse las autorizaciones para el ejercicio de actividades p</w:t>
      </w:r>
      <w:r w:rsidR="00416B42">
        <w:t>rivadas al cese de altos cargos.</w:t>
      </w:r>
    </w:p>
    <w:p w:rsidR="00FC0385" w:rsidRPr="00FC0385" w:rsidRDefault="00685817" w:rsidP="00535309">
      <w:pPr>
        <w:pStyle w:val="Prrafodelista"/>
        <w:numPr>
          <w:ilvl w:val="0"/>
          <w:numId w:val="11"/>
        </w:numPr>
        <w:spacing w:before="120" w:after="120" w:line="312" w:lineRule="auto"/>
        <w:contextualSpacing w:val="0"/>
        <w:jc w:val="both"/>
        <w:rPr>
          <w:rFonts w:eastAsia="Times New Roman" w:cs="Times New Roman"/>
          <w:bCs/>
          <w:szCs w:val="36"/>
        </w:rPr>
      </w:pPr>
      <w:r>
        <w:lastRenderedPageBreak/>
        <w:t>Debe publicarse</w:t>
      </w:r>
      <w:r w:rsidR="00FC0385" w:rsidRPr="00FC0385">
        <w:rPr>
          <w:rFonts w:eastAsia="Times New Roman" w:cs="Times New Roman"/>
          <w:bCs/>
          <w:szCs w:val="36"/>
        </w:rPr>
        <w:t xml:space="preserve"> información sobre el grado de cumplimiento de los compromisos de su carta de servicios</w:t>
      </w:r>
      <w:r w:rsidR="006B0543">
        <w:rPr>
          <w:rFonts w:eastAsia="Times New Roman" w:cs="Times New Roman"/>
          <w:bCs/>
          <w:szCs w:val="36"/>
        </w:rPr>
        <w:t>.</w:t>
      </w:r>
    </w:p>
    <w:p w:rsidR="00685817" w:rsidRDefault="00685817" w:rsidP="00535309">
      <w:pPr>
        <w:spacing w:before="120" w:after="120" w:line="312" w:lineRule="auto"/>
        <w:jc w:val="both"/>
        <w:rPr>
          <w:b/>
          <w:color w:val="00642D"/>
        </w:rPr>
      </w:pPr>
    </w:p>
    <w:p w:rsidR="00613B17" w:rsidRDefault="00613B17" w:rsidP="00535309">
      <w:pPr>
        <w:spacing w:before="120" w:after="120" w:line="312" w:lineRule="auto"/>
        <w:jc w:val="both"/>
        <w:rPr>
          <w:b/>
          <w:color w:val="00642D"/>
        </w:rPr>
      </w:pPr>
      <w:r w:rsidRPr="008C6237">
        <w:rPr>
          <w:b/>
          <w:color w:val="00642D"/>
        </w:rPr>
        <w:t xml:space="preserve">Información </w:t>
      </w:r>
      <w:r>
        <w:rPr>
          <w:b/>
          <w:color w:val="00642D"/>
        </w:rPr>
        <w:t>Patrimonial</w:t>
      </w:r>
    </w:p>
    <w:p w:rsidR="00535309" w:rsidRDefault="00535309" w:rsidP="00535309">
      <w:pPr>
        <w:spacing w:before="120" w:after="120" w:line="312" w:lineRule="auto"/>
        <w:jc w:val="both"/>
      </w:pPr>
    </w:p>
    <w:p w:rsidR="00664F79" w:rsidRDefault="00613B17" w:rsidP="00535309">
      <w:pPr>
        <w:pStyle w:val="Prrafodelista"/>
        <w:numPr>
          <w:ilvl w:val="0"/>
          <w:numId w:val="22"/>
        </w:numPr>
        <w:spacing w:before="120" w:after="120" w:line="312" w:lineRule="auto"/>
        <w:ind w:left="709"/>
        <w:contextualSpacing w:val="0"/>
        <w:jc w:val="both"/>
        <w:rPr>
          <w:lang w:bidi="es-ES"/>
        </w:rPr>
      </w:pPr>
      <w:r>
        <w:rPr>
          <w:lang w:bidi="es-ES"/>
        </w:rPr>
        <w:t>Debe publicarse la relación de los bienes patrimoniales propiedad d</w:t>
      </w:r>
      <w:r w:rsidR="00695360">
        <w:rPr>
          <w:lang w:bidi="es-ES"/>
        </w:rPr>
        <w:t xml:space="preserve">e </w:t>
      </w:r>
      <w:r w:rsidR="00CA724C">
        <w:rPr>
          <w:lang w:bidi="es-ES"/>
        </w:rPr>
        <w:t>la DGT</w:t>
      </w:r>
      <w:r>
        <w:rPr>
          <w:lang w:bidi="es-ES"/>
        </w:rPr>
        <w:t xml:space="preserve"> o sobre los que ejerza algún derecho real. </w:t>
      </w:r>
    </w:p>
    <w:p w:rsidR="00535309" w:rsidRDefault="00535309" w:rsidP="00535309">
      <w:pPr>
        <w:spacing w:before="120" w:after="120" w:line="312" w:lineRule="auto"/>
        <w:jc w:val="both"/>
        <w:outlineLvl w:val="1"/>
        <w:rPr>
          <w:b/>
          <w:color w:val="00642D"/>
        </w:rPr>
      </w:pPr>
    </w:p>
    <w:p w:rsidR="000E7BD9" w:rsidRDefault="000E7BD9" w:rsidP="00535309">
      <w:pPr>
        <w:spacing w:before="120" w:after="120" w:line="312" w:lineRule="auto"/>
        <w:jc w:val="both"/>
        <w:outlineLvl w:val="1"/>
        <w:rPr>
          <w:b/>
          <w:color w:val="00642D"/>
        </w:rPr>
      </w:pPr>
      <w:r w:rsidRPr="008C6237">
        <w:rPr>
          <w:b/>
          <w:color w:val="00642D"/>
        </w:rPr>
        <w:t>Calidad de la Información.</w:t>
      </w:r>
    </w:p>
    <w:p w:rsidR="00535309" w:rsidRPr="008C6237" w:rsidRDefault="00535309" w:rsidP="00535309">
      <w:pPr>
        <w:spacing w:before="120" w:after="120" w:line="312" w:lineRule="auto"/>
        <w:jc w:val="both"/>
        <w:outlineLvl w:val="1"/>
        <w:rPr>
          <w:b/>
          <w:color w:val="00642D"/>
        </w:rPr>
      </w:pPr>
    </w:p>
    <w:p w:rsidR="000E7BD9" w:rsidRPr="00FD551F" w:rsidRDefault="00664F79" w:rsidP="00535309">
      <w:pPr>
        <w:pStyle w:val="Prrafodelista"/>
        <w:numPr>
          <w:ilvl w:val="0"/>
          <w:numId w:val="12"/>
        </w:numPr>
        <w:spacing w:before="120" w:after="120" w:line="312" w:lineRule="auto"/>
        <w:contextualSpacing w:val="0"/>
        <w:jc w:val="both"/>
      </w:pPr>
      <w:r>
        <w:t>Deben inc</w:t>
      </w:r>
      <w:r w:rsidRPr="00FD551F">
        <w:t>luirse referencia</w:t>
      </w:r>
      <w:r w:rsidR="00D96458" w:rsidRPr="00FD551F">
        <w:t>s</w:t>
      </w:r>
      <w:r w:rsidRPr="00FD551F">
        <w:t xml:space="preserve"> a la fecha en que se revisó o actualizó por última vez la información</w:t>
      </w:r>
      <w:r w:rsidR="000E7BD9" w:rsidRPr="00FD551F">
        <w:t>.</w:t>
      </w:r>
    </w:p>
    <w:p w:rsidR="000E7BD9" w:rsidRDefault="00805B05" w:rsidP="00535309">
      <w:pPr>
        <w:pStyle w:val="Prrafodelista"/>
        <w:numPr>
          <w:ilvl w:val="0"/>
          <w:numId w:val="12"/>
        </w:numPr>
        <w:spacing w:before="120" w:after="120" w:line="312" w:lineRule="auto"/>
        <w:contextualSpacing w:val="0"/>
        <w:jc w:val="both"/>
      </w:pPr>
      <w:r>
        <w:t xml:space="preserve">La información debe publicarse en la web de </w:t>
      </w:r>
      <w:r w:rsidR="00695360">
        <w:t>la DGT</w:t>
      </w:r>
      <w:r>
        <w:t>, sin que quepa remisión a la publicación en el Portal de Transparencia de</w:t>
      </w:r>
      <w:r w:rsidR="00613B17">
        <w:t xml:space="preserve"> </w:t>
      </w:r>
      <w:r>
        <w:t xml:space="preserve">la AGE, ya que éste sólo debería publicar la información correspondiente a la organización central de los Ministerios, administración territorial  y  Administración General del Estado en el Exterior.  </w:t>
      </w:r>
    </w:p>
    <w:p w:rsidR="00B34745" w:rsidRDefault="00B34745" w:rsidP="00535309">
      <w:pPr>
        <w:pStyle w:val="Prrafodelista"/>
        <w:numPr>
          <w:ilvl w:val="0"/>
          <w:numId w:val="12"/>
        </w:numPr>
        <w:spacing w:before="120" w:after="120" w:line="312" w:lineRule="auto"/>
        <w:contextualSpacing w:val="0"/>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 xml:space="preserve">or </w:t>
      </w:r>
      <w:bookmarkStart w:id="0" w:name="_GoBack"/>
      <w:bookmarkEnd w:id="0"/>
      <w:r w:rsidRPr="00026F98">
        <w:t>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AB044A" w:rsidRDefault="00AB044A" w:rsidP="00AB044A">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AB044A" w:rsidRPr="00C46140" w:rsidRDefault="00AB044A" w:rsidP="00AB044A">
      <w:pPr>
        <w:pStyle w:val="Prrafodelista"/>
        <w:numPr>
          <w:ilvl w:val="0"/>
          <w:numId w:val="12"/>
        </w:numPr>
        <w:spacing w:before="120" w:after="120" w:line="312" w:lineRule="auto"/>
        <w:contextualSpacing w:val="0"/>
        <w:jc w:val="both"/>
      </w:pPr>
      <w:r>
        <w:t>La información debe publicarse en formatos reutilizables según lo dispuesto por la Ley 17/2007, de reutilización de la información del sector público,</w:t>
      </w:r>
      <w:r w:rsidRPr="00664F79">
        <w:t xml:space="preserve"> proporciona</w:t>
      </w:r>
      <w:r>
        <w:t xml:space="preserve">ndo los documentos </w:t>
      </w:r>
      <w:r w:rsidRPr="00664F79">
        <w:t>en formato abierto y legible por máquina y conjuntamente con sus metadatos. Tanto el formato como los metadatos, en la medida de lo posible, deben cumplir estándares y normas formales abiertas</w:t>
      </w:r>
      <w:r>
        <w:t>. Igualmente está admitida la publicación en los formatos comerciales más extendidos.</w:t>
      </w:r>
    </w:p>
    <w:p w:rsidR="00805B05" w:rsidRDefault="00805B05" w:rsidP="000E7BD9">
      <w:pPr>
        <w:jc w:val="both"/>
      </w:pPr>
    </w:p>
    <w:p w:rsidR="00CA4FB1" w:rsidRDefault="000E7BD9" w:rsidP="00535309">
      <w:pPr>
        <w:jc w:val="right"/>
      </w:pPr>
      <w:r>
        <w:t xml:space="preserve">Madrid, </w:t>
      </w:r>
      <w:r w:rsidR="00664F79">
        <w:t>abril</w:t>
      </w:r>
      <w:r>
        <w:t xml:space="preserve"> de 2021</w:t>
      </w:r>
      <w:r w:rsidR="00CA4FB1">
        <w:br w:type="page"/>
      </w:r>
    </w:p>
    <w:p w:rsidR="00CA4FB1" w:rsidRPr="00CA4FB1" w:rsidRDefault="00FD551F"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F1" w:rsidRDefault="001B21F1" w:rsidP="00932008">
      <w:pPr>
        <w:spacing w:after="0" w:line="240" w:lineRule="auto"/>
      </w:pPr>
      <w:r>
        <w:separator/>
      </w:r>
    </w:p>
  </w:endnote>
  <w:endnote w:type="continuationSeparator" w:id="0">
    <w:p w:rsidR="001B21F1" w:rsidRDefault="001B21F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1F" w:rsidRDefault="00FD55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1F" w:rsidRDefault="00FD551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1F" w:rsidRDefault="00FD55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F1" w:rsidRDefault="001B21F1" w:rsidP="00932008">
      <w:pPr>
        <w:spacing w:after="0" w:line="240" w:lineRule="auto"/>
      </w:pPr>
      <w:r>
        <w:separator/>
      </w:r>
    </w:p>
  </w:footnote>
  <w:footnote w:type="continuationSeparator" w:id="0">
    <w:p w:rsidR="001B21F1" w:rsidRDefault="001B21F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1F" w:rsidRDefault="00FD551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75001"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1F" w:rsidRDefault="00FD551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75002"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1F" w:rsidRDefault="00FD551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75000"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529_"/>
      </v:shape>
    </w:pict>
  </w:numPicBullet>
  <w:abstractNum w:abstractNumId="0">
    <w:nsid w:val="02AB7BD0"/>
    <w:multiLevelType w:val="hybridMultilevel"/>
    <w:tmpl w:val="71FC5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315609"/>
    <w:multiLevelType w:val="hybridMultilevel"/>
    <w:tmpl w:val="DE4C85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
  </w:num>
  <w:num w:numId="4">
    <w:abstractNumId w:val="22"/>
  </w:num>
  <w:num w:numId="5">
    <w:abstractNumId w:val="13"/>
  </w:num>
  <w:num w:numId="6">
    <w:abstractNumId w:val="23"/>
  </w:num>
  <w:num w:numId="7">
    <w:abstractNumId w:val="7"/>
  </w:num>
  <w:num w:numId="8">
    <w:abstractNumId w:val="2"/>
  </w:num>
  <w:num w:numId="9">
    <w:abstractNumId w:val="16"/>
  </w:num>
  <w:num w:numId="10">
    <w:abstractNumId w:val="10"/>
  </w:num>
  <w:num w:numId="11">
    <w:abstractNumId w:val="5"/>
  </w:num>
  <w:num w:numId="12">
    <w:abstractNumId w:val="20"/>
  </w:num>
  <w:num w:numId="13">
    <w:abstractNumId w:val="15"/>
  </w:num>
  <w:num w:numId="14">
    <w:abstractNumId w:val="8"/>
  </w:num>
  <w:num w:numId="15">
    <w:abstractNumId w:val="1"/>
  </w:num>
  <w:num w:numId="16">
    <w:abstractNumId w:val="12"/>
  </w:num>
  <w:num w:numId="17">
    <w:abstractNumId w:val="9"/>
  </w:num>
  <w:num w:numId="18">
    <w:abstractNumId w:val="17"/>
  </w:num>
  <w:num w:numId="19">
    <w:abstractNumId w:val="14"/>
  </w:num>
  <w:num w:numId="20">
    <w:abstractNumId w:val="21"/>
  </w:num>
  <w:num w:numId="21">
    <w:abstractNumId w:val="6"/>
  </w:num>
  <w:num w:numId="22">
    <w:abstractNumId w:val="11"/>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65B3"/>
    <w:rsid w:val="000C6CFF"/>
    <w:rsid w:val="000E23CC"/>
    <w:rsid w:val="000E7916"/>
    <w:rsid w:val="000E7BD9"/>
    <w:rsid w:val="00102733"/>
    <w:rsid w:val="001426F9"/>
    <w:rsid w:val="001442F9"/>
    <w:rsid w:val="001561A4"/>
    <w:rsid w:val="0018286E"/>
    <w:rsid w:val="001A1121"/>
    <w:rsid w:val="001B21F1"/>
    <w:rsid w:val="001D7244"/>
    <w:rsid w:val="001F31B1"/>
    <w:rsid w:val="002138F0"/>
    <w:rsid w:val="00234AED"/>
    <w:rsid w:val="00246043"/>
    <w:rsid w:val="0028627F"/>
    <w:rsid w:val="002A154B"/>
    <w:rsid w:val="002B47F9"/>
    <w:rsid w:val="003064D3"/>
    <w:rsid w:val="00371F01"/>
    <w:rsid w:val="003A7571"/>
    <w:rsid w:val="003D53D6"/>
    <w:rsid w:val="003F271E"/>
    <w:rsid w:val="003F2B13"/>
    <w:rsid w:val="003F38B1"/>
    <w:rsid w:val="003F572A"/>
    <w:rsid w:val="004062BE"/>
    <w:rsid w:val="00414926"/>
    <w:rsid w:val="00416B42"/>
    <w:rsid w:val="00443391"/>
    <w:rsid w:val="00443FC3"/>
    <w:rsid w:val="004501C4"/>
    <w:rsid w:val="00457DBB"/>
    <w:rsid w:val="004E1ADE"/>
    <w:rsid w:val="004F2655"/>
    <w:rsid w:val="00506A51"/>
    <w:rsid w:val="005131C3"/>
    <w:rsid w:val="00521DA9"/>
    <w:rsid w:val="005222FD"/>
    <w:rsid w:val="00535309"/>
    <w:rsid w:val="00544E0C"/>
    <w:rsid w:val="00552246"/>
    <w:rsid w:val="0055362E"/>
    <w:rsid w:val="0055682B"/>
    <w:rsid w:val="00560713"/>
    <w:rsid w:val="00561402"/>
    <w:rsid w:val="0057532F"/>
    <w:rsid w:val="005B19E4"/>
    <w:rsid w:val="005F29B8"/>
    <w:rsid w:val="00613B17"/>
    <w:rsid w:val="00622183"/>
    <w:rsid w:val="006273F9"/>
    <w:rsid w:val="0064717F"/>
    <w:rsid w:val="00647379"/>
    <w:rsid w:val="006637DB"/>
    <w:rsid w:val="00664F79"/>
    <w:rsid w:val="00671D67"/>
    <w:rsid w:val="0067746E"/>
    <w:rsid w:val="00685817"/>
    <w:rsid w:val="00695360"/>
    <w:rsid w:val="006A2766"/>
    <w:rsid w:val="006B005B"/>
    <w:rsid w:val="006B0543"/>
    <w:rsid w:val="006E5667"/>
    <w:rsid w:val="006F4008"/>
    <w:rsid w:val="006F7758"/>
    <w:rsid w:val="007008AF"/>
    <w:rsid w:val="0070627B"/>
    <w:rsid w:val="00710031"/>
    <w:rsid w:val="007223CD"/>
    <w:rsid w:val="00743756"/>
    <w:rsid w:val="007641F8"/>
    <w:rsid w:val="007942B9"/>
    <w:rsid w:val="007B0F99"/>
    <w:rsid w:val="007F0309"/>
    <w:rsid w:val="007F17C5"/>
    <w:rsid w:val="00805B05"/>
    <w:rsid w:val="00844FA9"/>
    <w:rsid w:val="00873B6D"/>
    <w:rsid w:val="0088153E"/>
    <w:rsid w:val="00891DC0"/>
    <w:rsid w:val="008C1E1E"/>
    <w:rsid w:val="008C1EDC"/>
    <w:rsid w:val="008C48EE"/>
    <w:rsid w:val="00903FC3"/>
    <w:rsid w:val="00917816"/>
    <w:rsid w:val="0092723A"/>
    <w:rsid w:val="00932008"/>
    <w:rsid w:val="00933FCE"/>
    <w:rsid w:val="00936A08"/>
    <w:rsid w:val="00944C7D"/>
    <w:rsid w:val="00956485"/>
    <w:rsid w:val="00956B63"/>
    <w:rsid w:val="009609E9"/>
    <w:rsid w:val="009931FA"/>
    <w:rsid w:val="009C3E4C"/>
    <w:rsid w:val="009C6ED2"/>
    <w:rsid w:val="009D573C"/>
    <w:rsid w:val="00A63B60"/>
    <w:rsid w:val="00A97E60"/>
    <w:rsid w:val="00AA6EEC"/>
    <w:rsid w:val="00AB044A"/>
    <w:rsid w:val="00AD2022"/>
    <w:rsid w:val="00AE0920"/>
    <w:rsid w:val="00AE38F5"/>
    <w:rsid w:val="00AF2227"/>
    <w:rsid w:val="00B34745"/>
    <w:rsid w:val="00B40246"/>
    <w:rsid w:val="00B6235F"/>
    <w:rsid w:val="00B701B7"/>
    <w:rsid w:val="00B841AE"/>
    <w:rsid w:val="00BB6799"/>
    <w:rsid w:val="00BD19ED"/>
    <w:rsid w:val="00BD4267"/>
    <w:rsid w:val="00BD4582"/>
    <w:rsid w:val="00BE4F4A"/>
    <w:rsid w:val="00BE6A46"/>
    <w:rsid w:val="00C33A23"/>
    <w:rsid w:val="00C46E4B"/>
    <w:rsid w:val="00C52687"/>
    <w:rsid w:val="00C5744D"/>
    <w:rsid w:val="00C6047F"/>
    <w:rsid w:val="00C612C3"/>
    <w:rsid w:val="00C62D77"/>
    <w:rsid w:val="00C65B5B"/>
    <w:rsid w:val="00C70867"/>
    <w:rsid w:val="00C80BA2"/>
    <w:rsid w:val="00C902F5"/>
    <w:rsid w:val="00CA4FB1"/>
    <w:rsid w:val="00CA724C"/>
    <w:rsid w:val="00CB5511"/>
    <w:rsid w:val="00CC1E38"/>
    <w:rsid w:val="00CC2049"/>
    <w:rsid w:val="00CE1242"/>
    <w:rsid w:val="00CF2E88"/>
    <w:rsid w:val="00D04CAF"/>
    <w:rsid w:val="00D22294"/>
    <w:rsid w:val="00D373C4"/>
    <w:rsid w:val="00D523E3"/>
    <w:rsid w:val="00D52F6F"/>
    <w:rsid w:val="00D96458"/>
    <w:rsid w:val="00D96F84"/>
    <w:rsid w:val="00DE144D"/>
    <w:rsid w:val="00DF5F2A"/>
    <w:rsid w:val="00DF63E7"/>
    <w:rsid w:val="00E026E9"/>
    <w:rsid w:val="00E3088D"/>
    <w:rsid w:val="00E34195"/>
    <w:rsid w:val="00E47613"/>
    <w:rsid w:val="00E50188"/>
    <w:rsid w:val="00E54A62"/>
    <w:rsid w:val="00E701E8"/>
    <w:rsid w:val="00EA0798"/>
    <w:rsid w:val="00EC4805"/>
    <w:rsid w:val="00F108CF"/>
    <w:rsid w:val="00F14DA4"/>
    <w:rsid w:val="00F2637B"/>
    <w:rsid w:val="00F371EB"/>
    <w:rsid w:val="00F47C3B"/>
    <w:rsid w:val="00F71D7D"/>
    <w:rsid w:val="00F834ED"/>
    <w:rsid w:val="00F94907"/>
    <w:rsid w:val="00F96321"/>
    <w:rsid w:val="00FC0385"/>
    <w:rsid w:val="00FC0B7B"/>
    <w:rsid w:val="00FD2B50"/>
    <w:rsid w:val="00FD551F"/>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5CA7"/>
    <w:rsid w:val="000E0016"/>
    <w:rsid w:val="0013771E"/>
    <w:rsid w:val="003D088C"/>
    <w:rsid w:val="004F0F28"/>
    <w:rsid w:val="004F291A"/>
    <w:rsid w:val="00582DED"/>
    <w:rsid w:val="00592D0B"/>
    <w:rsid w:val="005930ED"/>
    <w:rsid w:val="005C06E7"/>
    <w:rsid w:val="00690CFB"/>
    <w:rsid w:val="006E185A"/>
    <w:rsid w:val="00A61A5A"/>
    <w:rsid w:val="00D10B01"/>
    <w:rsid w:val="00D35513"/>
    <w:rsid w:val="00DE4B57"/>
    <w:rsid w:val="00E038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D3FFD37-A300-4749-884D-93495DF1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1917</TotalTime>
  <Pages>15</Pages>
  <Words>2868</Words>
  <Characters>15779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43</cp:revision>
  <cp:lastPrinted>2007-10-26T10:03:00Z</cp:lastPrinted>
  <dcterms:created xsi:type="dcterms:W3CDTF">2021-02-19T08:22:00Z</dcterms:created>
  <dcterms:modified xsi:type="dcterms:W3CDTF">2021-05-06T13:19:00Z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