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D8" w:rsidRPr="0012682D" w:rsidRDefault="005B4BD8" w:rsidP="0012682D">
      <w:pPr>
        <w:ind w:left="426"/>
        <w:rPr>
          <w:rFonts w:ascii="Arial" w:hAnsi="Arial" w:cs="Arial"/>
          <w:szCs w:val="22"/>
        </w:rPr>
      </w:pPr>
    </w:p>
    <w:p w:rsidR="0012682D" w:rsidRPr="0012682D" w:rsidRDefault="0012682D" w:rsidP="0012682D">
      <w:pPr>
        <w:ind w:left="426"/>
        <w:rPr>
          <w:rFonts w:ascii="Arial" w:hAnsi="Arial" w:cs="Arial"/>
          <w:b/>
          <w:bCs/>
          <w:szCs w:val="22"/>
          <w:u w:val="single"/>
          <w:lang w:bidi="es-ES"/>
        </w:rPr>
      </w:pPr>
      <w:r w:rsidRPr="0012682D">
        <w:rPr>
          <w:rFonts w:ascii="Arial" w:hAnsi="Arial" w:cs="Arial"/>
          <w:b/>
          <w:bCs/>
          <w:szCs w:val="22"/>
          <w:u w:val="single"/>
          <w:lang w:bidi="es-ES"/>
        </w:rPr>
        <w:t>RESPUESTA AL INFORME DEL CONSEJO DE TRANSPARENCIA Y BUEN GOBIERNO SOBRE LAS OBLIGACIONES DE PUBL</w:t>
      </w:r>
      <w:r w:rsidR="00CC6F39">
        <w:rPr>
          <w:rFonts w:ascii="Arial" w:hAnsi="Arial" w:cs="Arial"/>
          <w:b/>
          <w:bCs/>
          <w:szCs w:val="22"/>
          <w:u w:val="single"/>
          <w:lang w:bidi="es-ES"/>
        </w:rPr>
        <w:t>I</w:t>
      </w:r>
      <w:r w:rsidRPr="0012682D">
        <w:rPr>
          <w:rFonts w:ascii="Arial" w:hAnsi="Arial" w:cs="Arial"/>
          <w:b/>
          <w:bCs/>
          <w:szCs w:val="22"/>
          <w:u w:val="single"/>
          <w:lang w:bidi="es-ES"/>
        </w:rPr>
        <w:t>CIDAD ACTIVA DEL INSTITU</w:t>
      </w:r>
      <w:r w:rsidR="00CC6F39">
        <w:rPr>
          <w:rFonts w:ascii="Arial" w:hAnsi="Arial" w:cs="Arial"/>
          <w:b/>
          <w:bCs/>
          <w:szCs w:val="22"/>
          <w:u w:val="single"/>
          <w:lang w:bidi="es-ES"/>
        </w:rPr>
        <w:t>T</w:t>
      </w:r>
      <w:r w:rsidRPr="0012682D">
        <w:rPr>
          <w:rFonts w:ascii="Arial" w:hAnsi="Arial" w:cs="Arial"/>
          <w:b/>
          <w:bCs/>
          <w:szCs w:val="22"/>
          <w:u w:val="single"/>
          <w:lang w:bidi="es-ES"/>
        </w:rPr>
        <w:t>O DE LAS MUJERES</w:t>
      </w:r>
    </w:p>
    <w:p w:rsidR="0012682D" w:rsidRPr="0012682D" w:rsidRDefault="0012682D" w:rsidP="0012682D">
      <w:pPr>
        <w:ind w:left="426" w:firstLine="360"/>
        <w:rPr>
          <w:rFonts w:ascii="Arial" w:hAnsi="Arial" w:cs="Arial"/>
          <w:bCs/>
          <w:szCs w:val="22"/>
          <w:lang w:bidi="es-ES"/>
        </w:rPr>
      </w:pPr>
    </w:p>
    <w:p w:rsidR="0012682D" w:rsidRDefault="0012682D" w:rsidP="0012682D">
      <w:pPr>
        <w:ind w:left="426"/>
        <w:rPr>
          <w:rFonts w:ascii="Arial" w:hAnsi="Arial" w:cs="Arial"/>
          <w:bCs/>
          <w:szCs w:val="22"/>
          <w:lang w:bidi="es-ES"/>
        </w:rPr>
      </w:pPr>
      <w:r w:rsidRPr="0012682D">
        <w:rPr>
          <w:rFonts w:ascii="Arial" w:hAnsi="Arial" w:cs="Arial"/>
          <w:bCs/>
          <w:szCs w:val="22"/>
          <w:lang w:bidi="es-ES"/>
        </w:rPr>
        <w:t>En respuesta al Informe elaborado por el Consejo de Transparencia y Buen Gobierno se comunica que sin duda la sobrecarga de trabajo del personal del organismo, motivada por la escasez de plantilla y alto grado de vacantes de los puestos de la RPT (en el caso de la Secretaría General la desocupación afecta al 45% de la plantilla desde hace varios años) tiene que ver con el bajo grado de cumplimiento de las obligaciones de Publicidad Activa que la ley señala para los organismos de la Administración General del Estado. En los últimos años, mayores y complejas atribuciones al organismo, sin una dotación presupuestaria de personal proporcionada, han acumulado en una sola persona el trabajo que antes hacían varias.</w:t>
      </w:r>
    </w:p>
    <w:p w:rsidR="0012682D" w:rsidRDefault="0012682D" w:rsidP="0012682D">
      <w:pPr>
        <w:ind w:left="426"/>
        <w:rPr>
          <w:rFonts w:ascii="Arial" w:hAnsi="Arial" w:cs="Arial"/>
          <w:bCs/>
          <w:szCs w:val="22"/>
          <w:lang w:bidi="es-ES"/>
        </w:rPr>
      </w:pPr>
    </w:p>
    <w:p w:rsidR="0012682D" w:rsidRDefault="0012682D" w:rsidP="0012682D">
      <w:pPr>
        <w:ind w:left="426"/>
        <w:rPr>
          <w:rFonts w:ascii="Arial" w:hAnsi="Arial" w:cs="Arial"/>
          <w:bCs/>
          <w:szCs w:val="22"/>
          <w:lang w:bidi="es-ES"/>
        </w:rPr>
      </w:pPr>
      <w:r w:rsidRPr="0012682D">
        <w:rPr>
          <w:rFonts w:ascii="Arial" w:hAnsi="Arial" w:cs="Arial"/>
          <w:bCs/>
          <w:szCs w:val="22"/>
          <w:lang w:bidi="es-ES"/>
        </w:rPr>
        <w:t>Como se sabe, la implantación del régimen de transparencia y publicidad activa del Gobierno previsto en la Ley se produjo sin un incremento correspondiente de personal para atender la coordinación del cumplimiento de las obligaciones y sí, por el contrario, con el principio de la disminución de las plantillas de personal de la AGE en general que, a partir de 2015, supusieron una merma en la renovación del funcionariado y en la tasa de reposición de jubilaciones, excedencias y amortizaciones de plazas, como hoy en día se reconoce con carácter generalizado y con honda preocupación, que sin duda han tenido que ver en el grado de cumplimiento de las obligaci</w:t>
      </w:r>
      <w:r w:rsidR="00653DE3">
        <w:rPr>
          <w:rFonts w:ascii="Arial" w:hAnsi="Arial" w:cs="Arial"/>
          <w:bCs/>
          <w:szCs w:val="22"/>
          <w:lang w:bidi="es-ES"/>
        </w:rPr>
        <w:t xml:space="preserve">ones, periodo que, </w:t>
      </w:r>
      <w:r w:rsidRPr="0012682D">
        <w:rPr>
          <w:rFonts w:ascii="Arial" w:hAnsi="Arial" w:cs="Arial"/>
          <w:bCs/>
          <w:szCs w:val="22"/>
          <w:lang w:bidi="es-ES"/>
        </w:rPr>
        <w:t>coincide con los momentos en que el informe señala se dejaron d</w:t>
      </w:r>
      <w:r w:rsidR="00132FC9">
        <w:rPr>
          <w:rFonts w:ascii="Arial" w:hAnsi="Arial" w:cs="Arial"/>
          <w:bCs/>
          <w:szCs w:val="22"/>
          <w:lang w:bidi="es-ES"/>
        </w:rPr>
        <w:t>e publicitar algunos contenidos.</w:t>
      </w:r>
    </w:p>
    <w:p w:rsidR="00132FC9" w:rsidRDefault="00132FC9" w:rsidP="00132FC9">
      <w:pPr>
        <w:ind w:left="426"/>
        <w:rPr>
          <w:rFonts w:ascii="Arial" w:hAnsi="Arial" w:cs="Arial"/>
          <w:bCs/>
          <w:szCs w:val="22"/>
          <w:lang w:bidi="es-ES"/>
        </w:rPr>
      </w:pPr>
    </w:p>
    <w:p w:rsidR="00132FC9" w:rsidRDefault="00653DE3" w:rsidP="00EA23DF">
      <w:pPr>
        <w:ind w:left="426"/>
        <w:rPr>
          <w:rFonts w:ascii="Arial" w:hAnsi="Arial" w:cs="Arial"/>
          <w:bCs/>
          <w:szCs w:val="22"/>
          <w:lang w:bidi="es-ES"/>
        </w:rPr>
      </w:pPr>
      <w:r>
        <w:rPr>
          <w:rFonts w:ascii="Arial" w:hAnsi="Arial" w:cs="Arial"/>
          <w:bCs/>
          <w:szCs w:val="22"/>
          <w:lang w:bidi="es-ES"/>
        </w:rPr>
        <w:t>La</w:t>
      </w:r>
      <w:r w:rsidR="0012682D" w:rsidRPr="0012682D">
        <w:rPr>
          <w:rFonts w:ascii="Arial" w:hAnsi="Arial" w:cs="Arial"/>
          <w:bCs/>
          <w:szCs w:val="22"/>
          <w:lang w:bidi="es-ES"/>
        </w:rPr>
        <w:t xml:space="preserve"> multiplicidad de servicios y responsables afectados por las obligaciones de publicidad a</w:t>
      </w:r>
      <w:r>
        <w:rPr>
          <w:rFonts w:ascii="Arial" w:hAnsi="Arial" w:cs="Arial"/>
          <w:bCs/>
          <w:szCs w:val="22"/>
          <w:lang w:bidi="es-ES"/>
        </w:rPr>
        <w:t>ctiva, así como el trabajo de</w:t>
      </w:r>
      <w:r w:rsidR="0012682D" w:rsidRPr="0012682D">
        <w:rPr>
          <w:rFonts w:ascii="Arial" w:hAnsi="Arial" w:cs="Arial"/>
          <w:bCs/>
          <w:szCs w:val="22"/>
          <w:lang w:bidi="es-ES"/>
        </w:rPr>
        <w:t xml:space="preserve"> coordinación</w:t>
      </w:r>
      <w:r>
        <w:rPr>
          <w:rFonts w:ascii="Arial" w:hAnsi="Arial" w:cs="Arial"/>
          <w:bCs/>
          <w:szCs w:val="22"/>
          <w:lang w:bidi="es-ES"/>
        </w:rPr>
        <w:t xml:space="preserve"> que requiere, han dificultado el abordaje de una solución integral que contemplara tanto la remodelación de la web del Instituto como la dedicación de responsables específicos que pudieran dedicarse en exclusiva a estas tareas. </w:t>
      </w:r>
      <w:r w:rsidR="00EA23DF">
        <w:rPr>
          <w:rFonts w:ascii="Arial" w:hAnsi="Arial" w:cs="Arial"/>
          <w:bCs/>
          <w:szCs w:val="22"/>
          <w:lang w:bidi="es-ES"/>
        </w:rPr>
        <w:t>La Dirección general se ha propuesto realizar una remodelación a fondo del portal web, de modo que tanto su estructura como imagen estén renovadas y permitan una mayor transparencia, accesibilidad y usabilidad de los contenidos.</w:t>
      </w:r>
      <w:r w:rsidR="00F4487F">
        <w:rPr>
          <w:rFonts w:ascii="Arial" w:hAnsi="Arial" w:cs="Arial"/>
          <w:bCs/>
          <w:szCs w:val="22"/>
          <w:lang w:bidi="es-ES"/>
        </w:rPr>
        <w:t xml:space="preserve"> El cum</w:t>
      </w:r>
      <w:r w:rsidR="00A7659D">
        <w:rPr>
          <w:rFonts w:ascii="Arial" w:hAnsi="Arial" w:cs="Arial"/>
          <w:bCs/>
          <w:szCs w:val="22"/>
          <w:lang w:bidi="es-ES"/>
        </w:rPr>
        <w:t>p</w:t>
      </w:r>
      <w:r w:rsidR="000548F1">
        <w:rPr>
          <w:rFonts w:ascii="Arial" w:hAnsi="Arial" w:cs="Arial"/>
          <w:bCs/>
          <w:szCs w:val="22"/>
          <w:lang w:bidi="es-ES"/>
        </w:rPr>
        <w:t>limiento de las obligaciones de publicidad activa así como el abordaje de compromisos adicionales y voluntarios de transparencia, será una tarea prioritaria para el próximo periodo en la gestión del Instituto de las Mujeres, entendiendo que la transparencia y el acceso a la información son aspectos angulares para una gobernanza abierta y democrática.</w:t>
      </w:r>
      <w:r w:rsidR="00EA23DF">
        <w:rPr>
          <w:rFonts w:ascii="Arial" w:hAnsi="Arial" w:cs="Arial"/>
          <w:bCs/>
          <w:szCs w:val="22"/>
          <w:lang w:bidi="es-ES"/>
        </w:rPr>
        <w:t xml:space="preserve"> Para ello, se prevé una dotación presupuestaria </w:t>
      </w:r>
      <w:r w:rsidR="000548F1">
        <w:rPr>
          <w:rFonts w:ascii="Arial" w:hAnsi="Arial" w:cs="Arial"/>
          <w:bCs/>
          <w:szCs w:val="22"/>
          <w:lang w:bidi="es-ES"/>
        </w:rPr>
        <w:t xml:space="preserve">suficiente en 2022, que permita iniciar los trabajos que garanticen esta ingente tarea. </w:t>
      </w:r>
      <w:r w:rsidR="00EA23DF">
        <w:rPr>
          <w:rFonts w:ascii="Arial" w:hAnsi="Arial" w:cs="Arial"/>
          <w:bCs/>
          <w:szCs w:val="22"/>
          <w:lang w:bidi="es-ES"/>
        </w:rPr>
        <w:t xml:space="preserve"> </w:t>
      </w:r>
    </w:p>
    <w:p w:rsidR="00F4487F" w:rsidRDefault="00F4487F" w:rsidP="00F4487F">
      <w:pPr>
        <w:ind w:left="426"/>
        <w:rPr>
          <w:rFonts w:ascii="Arial" w:hAnsi="Arial" w:cs="Arial"/>
          <w:bCs/>
          <w:szCs w:val="22"/>
          <w:lang w:bidi="es-ES"/>
        </w:rPr>
      </w:pPr>
    </w:p>
    <w:p w:rsidR="0012682D" w:rsidRDefault="0012682D" w:rsidP="00F4487F">
      <w:pPr>
        <w:ind w:left="426"/>
        <w:rPr>
          <w:rFonts w:ascii="Arial" w:hAnsi="Arial" w:cs="Arial"/>
          <w:bCs/>
          <w:szCs w:val="22"/>
          <w:lang w:bidi="es-ES"/>
        </w:rPr>
      </w:pPr>
      <w:r w:rsidRPr="0012682D">
        <w:rPr>
          <w:rFonts w:ascii="Arial" w:hAnsi="Arial" w:cs="Arial"/>
          <w:bCs/>
          <w:szCs w:val="22"/>
          <w:lang w:bidi="es-ES"/>
        </w:rPr>
        <w:t xml:space="preserve">Por su parte, el hecho de depender de las Unidades Centrales de Información (UIT Central) de los distintos Ministerios a los que el organismo ha sido adscrito durante este periodo (tres </w:t>
      </w:r>
      <w:r w:rsidR="00132FC9">
        <w:rPr>
          <w:rFonts w:ascii="Arial" w:hAnsi="Arial" w:cs="Arial"/>
          <w:bCs/>
          <w:szCs w:val="22"/>
          <w:lang w:bidi="es-ES"/>
        </w:rPr>
        <w:t>M</w:t>
      </w:r>
      <w:r w:rsidRPr="0012682D">
        <w:rPr>
          <w:rFonts w:ascii="Arial" w:hAnsi="Arial" w:cs="Arial"/>
          <w:bCs/>
          <w:szCs w:val="22"/>
          <w:lang w:bidi="es-ES"/>
        </w:rPr>
        <w:t xml:space="preserve">inisterios distintos en siete años) ha contribuido a una </w:t>
      </w:r>
      <w:r w:rsidR="00F4487F">
        <w:rPr>
          <w:rFonts w:ascii="Arial" w:hAnsi="Arial" w:cs="Arial"/>
          <w:bCs/>
          <w:szCs w:val="22"/>
          <w:lang w:bidi="es-ES"/>
        </w:rPr>
        <w:t xml:space="preserve">constante </w:t>
      </w:r>
      <w:r w:rsidRPr="00F4487F">
        <w:rPr>
          <w:rFonts w:ascii="Arial" w:hAnsi="Arial" w:cs="Arial"/>
          <w:bCs/>
          <w:szCs w:val="22"/>
          <w:lang w:bidi="es-ES"/>
        </w:rPr>
        <w:t>revisión</w:t>
      </w:r>
      <w:r w:rsidR="00F4487F">
        <w:rPr>
          <w:rFonts w:ascii="Arial" w:hAnsi="Arial" w:cs="Arial"/>
          <w:bCs/>
          <w:szCs w:val="22"/>
          <w:lang w:bidi="es-ES"/>
        </w:rPr>
        <w:t xml:space="preserve"> de los canales de comunicación. </w:t>
      </w:r>
      <w:r w:rsidRPr="0012682D">
        <w:rPr>
          <w:rFonts w:ascii="Arial" w:hAnsi="Arial" w:cs="Arial"/>
          <w:bCs/>
          <w:szCs w:val="22"/>
          <w:lang w:bidi="es-ES"/>
        </w:rPr>
        <w:t xml:space="preserve">La distintas UIT ministeriales de </w:t>
      </w:r>
      <w:r w:rsidR="00132FC9" w:rsidRPr="0012682D">
        <w:rPr>
          <w:rFonts w:ascii="Arial" w:hAnsi="Arial" w:cs="Arial"/>
          <w:bCs/>
          <w:szCs w:val="22"/>
          <w:lang w:bidi="es-ES"/>
        </w:rPr>
        <w:t>adscripción,</w:t>
      </w:r>
      <w:r w:rsidRPr="0012682D">
        <w:rPr>
          <w:rFonts w:ascii="Arial" w:hAnsi="Arial" w:cs="Arial"/>
          <w:bCs/>
          <w:szCs w:val="22"/>
          <w:lang w:bidi="es-ES"/>
        </w:rPr>
        <w:t xml:space="preserve"> así como la dependencia informática total, aún hoy, con el Ministerio al que estuvo adscrito en años pasados (Ministerio de Sani</w:t>
      </w:r>
      <w:r w:rsidR="00F4487F">
        <w:rPr>
          <w:rFonts w:ascii="Arial" w:hAnsi="Arial" w:cs="Arial"/>
          <w:bCs/>
          <w:szCs w:val="22"/>
          <w:lang w:bidi="es-ES"/>
        </w:rPr>
        <w:t>dad) dificultan cualquier</w:t>
      </w:r>
      <w:r w:rsidRPr="0012682D">
        <w:rPr>
          <w:rFonts w:ascii="Arial" w:hAnsi="Arial" w:cs="Arial"/>
          <w:bCs/>
          <w:szCs w:val="22"/>
          <w:lang w:bidi="es-ES"/>
        </w:rPr>
        <w:t xml:space="preserve"> acción en el sitio web del Instituto de la Mujeres.</w:t>
      </w:r>
    </w:p>
    <w:p w:rsidR="00132FC9" w:rsidRDefault="00132FC9" w:rsidP="00132FC9">
      <w:pPr>
        <w:ind w:left="426"/>
        <w:rPr>
          <w:rFonts w:ascii="Arial" w:hAnsi="Arial" w:cs="Arial"/>
          <w:bCs/>
          <w:szCs w:val="22"/>
          <w:lang w:bidi="es-ES"/>
        </w:rPr>
      </w:pPr>
    </w:p>
    <w:p w:rsidR="00F06B76" w:rsidRDefault="00F06B76" w:rsidP="00132FC9">
      <w:pPr>
        <w:ind w:left="426"/>
        <w:rPr>
          <w:rFonts w:ascii="Arial" w:hAnsi="Arial" w:cs="Arial"/>
          <w:bCs/>
          <w:szCs w:val="22"/>
          <w:lang w:bidi="es-ES"/>
        </w:rPr>
      </w:pPr>
    </w:p>
    <w:p w:rsidR="0012682D" w:rsidRPr="0012682D" w:rsidRDefault="0012682D" w:rsidP="00132FC9">
      <w:pPr>
        <w:ind w:left="426"/>
        <w:rPr>
          <w:rFonts w:ascii="Arial" w:hAnsi="Arial" w:cs="Arial"/>
          <w:bCs/>
          <w:szCs w:val="22"/>
          <w:lang w:bidi="es-ES"/>
        </w:rPr>
      </w:pPr>
      <w:r w:rsidRPr="0012682D">
        <w:rPr>
          <w:rFonts w:ascii="Arial" w:hAnsi="Arial" w:cs="Arial"/>
          <w:bCs/>
          <w:szCs w:val="22"/>
          <w:lang w:bidi="es-ES"/>
        </w:rPr>
        <w:t>El organismo tampoco ha sido ajeno a la</w:t>
      </w:r>
      <w:r w:rsidR="00FD67C2">
        <w:rPr>
          <w:rFonts w:ascii="Arial" w:hAnsi="Arial" w:cs="Arial"/>
          <w:bCs/>
          <w:szCs w:val="22"/>
          <w:lang w:bidi="es-ES"/>
        </w:rPr>
        <w:t xml:space="preserve"> irrupción de la pandemia por Co</w:t>
      </w:r>
      <w:r w:rsidRPr="0012682D">
        <w:rPr>
          <w:rFonts w:ascii="Arial" w:hAnsi="Arial" w:cs="Arial"/>
          <w:bCs/>
          <w:szCs w:val="22"/>
          <w:lang w:bidi="es-ES"/>
        </w:rPr>
        <w:t>vid-19</w:t>
      </w:r>
      <w:r w:rsidR="00FD67C2">
        <w:rPr>
          <w:rFonts w:ascii="Arial" w:hAnsi="Arial" w:cs="Arial"/>
          <w:bCs/>
          <w:szCs w:val="22"/>
          <w:lang w:bidi="es-ES"/>
        </w:rPr>
        <w:t xml:space="preserve"> y las demoras que esta ha supuesto, </w:t>
      </w:r>
      <w:bookmarkStart w:id="0" w:name="_GoBack"/>
      <w:bookmarkEnd w:id="0"/>
      <w:r w:rsidRPr="0012682D">
        <w:rPr>
          <w:rFonts w:ascii="Arial" w:hAnsi="Arial" w:cs="Arial"/>
          <w:bCs/>
          <w:szCs w:val="22"/>
          <w:lang w:bidi="es-ES"/>
        </w:rPr>
        <w:t>por lo que también deben ser tenidas en cuenta para la valoración del grado de cumplimiento de las obligaciones de publicidad activa.</w:t>
      </w:r>
    </w:p>
    <w:p w:rsidR="00132FC9" w:rsidRDefault="00132FC9" w:rsidP="00132FC9">
      <w:pPr>
        <w:ind w:left="426"/>
        <w:rPr>
          <w:rFonts w:ascii="Arial" w:hAnsi="Arial" w:cs="Arial"/>
          <w:bCs/>
          <w:szCs w:val="22"/>
          <w:lang w:bidi="es-ES"/>
        </w:rPr>
      </w:pPr>
    </w:p>
    <w:p w:rsidR="0012682D" w:rsidRDefault="0012682D" w:rsidP="00132FC9">
      <w:pPr>
        <w:ind w:left="426"/>
        <w:rPr>
          <w:rFonts w:ascii="Arial" w:hAnsi="Arial" w:cs="Arial"/>
          <w:bCs/>
          <w:szCs w:val="22"/>
          <w:lang w:bidi="es-ES"/>
        </w:rPr>
      </w:pPr>
      <w:r w:rsidRPr="0012682D">
        <w:rPr>
          <w:rFonts w:ascii="Arial" w:hAnsi="Arial" w:cs="Arial"/>
          <w:bCs/>
          <w:szCs w:val="22"/>
          <w:lang w:bidi="es-ES"/>
        </w:rPr>
        <w:t>Por lo que respecta a los puntos concretos del informe se contestan a continuación:</w:t>
      </w:r>
    </w:p>
    <w:p w:rsidR="002763FD" w:rsidRDefault="002763FD" w:rsidP="00132FC9">
      <w:pPr>
        <w:ind w:left="426"/>
        <w:rPr>
          <w:rFonts w:ascii="Arial" w:hAnsi="Arial" w:cs="Arial"/>
          <w:bCs/>
          <w:szCs w:val="22"/>
          <w:lang w:bidi="es-ES"/>
        </w:rPr>
      </w:pPr>
    </w:p>
    <w:p w:rsidR="0012682D" w:rsidRPr="0012682D" w:rsidRDefault="0012682D" w:rsidP="002763FD">
      <w:pPr>
        <w:ind w:firstLine="360"/>
        <w:rPr>
          <w:rFonts w:ascii="Arial" w:hAnsi="Arial" w:cs="Arial"/>
          <w:b/>
          <w:bCs/>
          <w:szCs w:val="22"/>
          <w:u w:val="single"/>
          <w:lang w:bidi="es-ES"/>
        </w:rPr>
      </w:pPr>
      <w:r w:rsidRPr="0012682D">
        <w:rPr>
          <w:rFonts w:ascii="Arial" w:hAnsi="Arial" w:cs="Arial"/>
          <w:b/>
          <w:bCs/>
          <w:szCs w:val="22"/>
          <w:u w:val="single"/>
          <w:lang w:bidi="es-ES"/>
        </w:rPr>
        <w:t>Análisis de la información Institucional, Organizativa y de Planificación</w:t>
      </w:r>
    </w:p>
    <w:p w:rsidR="0012682D" w:rsidRPr="0012682D" w:rsidRDefault="0012682D" w:rsidP="002763FD">
      <w:pPr>
        <w:rPr>
          <w:rFonts w:ascii="Arial" w:hAnsi="Arial" w:cs="Arial"/>
          <w:szCs w:val="22"/>
        </w:rPr>
      </w:pPr>
    </w:p>
    <w:p w:rsidR="0012682D" w:rsidRPr="0012682D" w:rsidRDefault="0012682D" w:rsidP="002763FD">
      <w:pPr>
        <w:numPr>
          <w:ilvl w:val="0"/>
          <w:numId w:val="38"/>
        </w:numPr>
        <w:spacing w:after="160" w:line="259" w:lineRule="auto"/>
        <w:ind w:left="642"/>
        <w:jc w:val="left"/>
        <w:rPr>
          <w:rFonts w:ascii="Arial" w:hAnsi="Arial" w:cs="Arial"/>
          <w:b/>
          <w:szCs w:val="22"/>
        </w:rPr>
      </w:pPr>
      <w:r w:rsidRPr="0012682D">
        <w:rPr>
          <w:rFonts w:ascii="Arial" w:hAnsi="Arial" w:cs="Arial"/>
          <w:b/>
          <w:szCs w:val="22"/>
        </w:rPr>
        <w:t xml:space="preserve">No se ha localizado información relativa al Registro de Actividades de Tratamiento. </w:t>
      </w:r>
    </w:p>
    <w:p w:rsidR="0012682D" w:rsidRDefault="0012682D" w:rsidP="002763FD">
      <w:pPr>
        <w:ind w:left="642"/>
        <w:rPr>
          <w:rFonts w:ascii="Arial" w:hAnsi="Arial" w:cs="Arial"/>
          <w:szCs w:val="22"/>
        </w:rPr>
      </w:pPr>
      <w:r w:rsidRPr="00132FC9">
        <w:rPr>
          <w:rFonts w:ascii="Arial" w:hAnsi="Arial" w:cs="Arial"/>
          <w:szCs w:val="22"/>
        </w:rPr>
        <w:t>El Registro existe, aunque no se ha publicado en la web. Se publicará de acuerdo con las recomendaciones del Informe.</w:t>
      </w:r>
    </w:p>
    <w:p w:rsidR="00132FC9" w:rsidRPr="0012682D" w:rsidRDefault="00132FC9" w:rsidP="002763FD">
      <w:pPr>
        <w:ind w:left="642"/>
        <w:rPr>
          <w:rFonts w:ascii="Arial" w:hAnsi="Arial" w:cs="Arial"/>
          <w:szCs w:val="22"/>
        </w:rPr>
      </w:pPr>
    </w:p>
    <w:p w:rsidR="0012682D" w:rsidRPr="0012682D" w:rsidRDefault="0012682D" w:rsidP="002763FD">
      <w:pPr>
        <w:numPr>
          <w:ilvl w:val="0"/>
          <w:numId w:val="38"/>
        </w:numPr>
        <w:spacing w:after="160" w:line="259" w:lineRule="auto"/>
        <w:ind w:left="642"/>
        <w:jc w:val="left"/>
        <w:rPr>
          <w:rFonts w:ascii="Arial" w:hAnsi="Arial" w:cs="Arial"/>
          <w:b/>
          <w:szCs w:val="22"/>
        </w:rPr>
      </w:pPr>
      <w:r w:rsidRPr="0012682D">
        <w:rPr>
          <w:rFonts w:ascii="Arial" w:hAnsi="Arial" w:cs="Arial"/>
          <w:b/>
          <w:szCs w:val="22"/>
        </w:rPr>
        <w:t>No se ha localizado información descriptiva de la estructura organizativa del IMIO</w:t>
      </w:r>
      <w:r w:rsidR="00132FC9">
        <w:rPr>
          <w:rFonts w:ascii="Arial" w:hAnsi="Arial" w:cs="Arial"/>
          <w:b/>
          <w:szCs w:val="22"/>
        </w:rPr>
        <w:t>.</w:t>
      </w:r>
    </w:p>
    <w:p w:rsidR="0012682D" w:rsidRDefault="0012682D" w:rsidP="002763FD">
      <w:pPr>
        <w:ind w:left="642"/>
        <w:rPr>
          <w:rFonts w:ascii="Arial" w:hAnsi="Arial" w:cs="Arial"/>
          <w:szCs w:val="22"/>
        </w:rPr>
      </w:pPr>
      <w:r w:rsidRPr="0012682D">
        <w:rPr>
          <w:rFonts w:ascii="Arial" w:hAnsi="Arial" w:cs="Arial"/>
          <w:szCs w:val="22"/>
        </w:rPr>
        <w:t>Se publicará de acuerdo con las recomendaciones del Informe</w:t>
      </w:r>
      <w:r w:rsidR="00132FC9">
        <w:rPr>
          <w:rFonts w:ascii="Arial" w:hAnsi="Arial" w:cs="Arial"/>
          <w:szCs w:val="22"/>
        </w:rPr>
        <w:t>.</w:t>
      </w:r>
    </w:p>
    <w:p w:rsidR="00132FC9" w:rsidRPr="0012682D" w:rsidRDefault="00132FC9" w:rsidP="002763FD">
      <w:pPr>
        <w:ind w:left="642"/>
        <w:rPr>
          <w:rFonts w:ascii="Arial" w:hAnsi="Arial" w:cs="Arial"/>
          <w:szCs w:val="22"/>
        </w:rPr>
      </w:pPr>
    </w:p>
    <w:p w:rsidR="0012682D" w:rsidRPr="0012682D" w:rsidRDefault="0012682D" w:rsidP="002763FD">
      <w:pPr>
        <w:numPr>
          <w:ilvl w:val="0"/>
          <w:numId w:val="38"/>
        </w:numPr>
        <w:spacing w:after="160" w:line="259" w:lineRule="auto"/>
        <w:ind w:left="642"/>
        <w:jc w:val="left"/>
        <w:rPr>
          <w:rFonts w:ascii="Arial" w:hAnsi="Arial" w:cs="Arial"/>
          <w:b/>
          <w:szCs w:val="22"/>
        </w:rPr>
      </w:pPr>
      <w:r w:rsidRPr="0012682D">
        <w:rPr>
          <w:rFonts w:ascii="Arial" w:hAnsi="Arial" w:cs="Arial"/>
          <w:b/>
          <w:szCs w:val="22"/>
        </w:rPr>
        <w:t>No se ha localizado información sobre los perfiles y trayectorias profesionales de sus responsables.</w:t>
      </w:r>
    </w:p>
    <w:p w:rsidR="0012682D" w:rsidRDefault="0012682D" w:rsidP="002763FD">
      <w:pPr>
        <w:ind w:left="642"/>
        <w:rPr>
          <w:rFonts w:ascii="Arial" w:hAnsi="Arial" w:cs="Arial"/>
          <w:szCs w:val="22"/>
        </w:rPr>
      </w:pPr>
      <w:r w:rsidRPr="0012682D">
        <w:rPr>
          <w:rFonts w:ascii="Arial" w:hAnsi="Arial" w:cs="Arial"/>
          <w:szCs w:val="22"/>
        </w:rPr>
        <w:t>Se publicará de acuerdo con las recomendaciones del Informe</w:t>
      </w:r>
      <w:r w:rsidR="00132FC9">
        <w:rPr>
          <w:rFonts w:ascii="Arial" w:hAnsi="Arial" w:cs="Arial"/>
          <w:szCs w:val="22"/>
        </w:rPr>
        <w:t>.</w:t>
      </w:r>
    </w:p>
    <w:p w:rsidR="00132FC9" w:rsidRPr="0012682D" w:rsidRDefault="00132FC9" w:rsidP="002763FD">
      <w:pPr>
        <w:ind w:left="642"/>
        <w:rPr>
          <w:rFonts w:ascii="Arial" w:hAnsi="Arial" w:cs="Arial"/>
          <w:szCs w:val="22"/>
        </w:rPr>
      </w:pPr>
    </w:p>
    <w:p w:rsidR="0012682D" w:rsidRPr="0012682D" w:rsidRDefault="0012682D" w:rsidP="002763FD">
      <w:pPr>
        <w:numPr>
          <w:ilvl w:val="0"/>
          <w:numId w:val="38"/>
        </w:numPr>
        <w:spacing w:after="160" w:line="259" w:lineRule="auto"/>
        <w:ind w:left="642"/>
        <w:jc w:val="left"/>
        <w:rPr>
          <w:rFonts w:ascii="Arial" w:hAnsi="Arial" w:cs="Arial"/>
          <w:b/>
          <w:szCs w:val="22"/>
        </w:rPr>
      </w:pPr>
      <w:r w:rsidRPr="0012682D">
        <w:rPr>
          <w:rFonts w:ascii="Arial" w:hAnsi="Arial" w:cs="Arial"/>
          <w:b/>
          <w:szCs w:val="22"/>
        </w:rPr>
        <w:t>No se ha localizado información actualizada sobre los planes estratégicos ni sobre los planes o programas operativos del IMIO.</w:t>
      </w:r>
    </w:p>
    <w:p w:rsidR="0012682D" w:rsidRDefault="0012682D" w:rsidP="002763FD">
      <w:pPr>
        <w:ind w:left="642"/>
        <w:rPr>
          <w:rFonts w:ascii="Arial" w:hAnsi="Arial" w:cs="Arial"/>
          <w:szCs w:val="22"/>
        </w:rPr>
      </w:pPr>
      <w:r w:rsidRPr="00132FC9">
        <w:rPr>
          <w:rFonts w:ascii="Arial" w:hAnsi="Arial" w:cs="Arial"/>
          <w:szCs w:val="22"/>
        </w:rPr>
        <w:t>De acuerdo con la Disposición Adicional Cuarta, en relación con la Transitoria 2ª a), de la Ley 40/2015, de 1 de octubre, de Régimen Jurídico del Sector Público, a este organismo no le afectan hasta 2024 las disposiciones relativas a Planes de Actuación, por lo que actualmente carece de un plan vigente.</w:t>
      </w:r>
    </w:p>
    <w:p w:rsidR="00132FC9" w:rsidRPr="00132FC9" w:rsidRDefault="00132FC9" w:rsidP="002763FD">
      <w:pPr>
        <w:ind w:left="642"/>
        <w:rPr>
          <w:rFonts w:ascii="Arial" w:hAnsi="Arial" w:cs="Arial"/>
          <w:szCs w:val="22"/>
        </w:rPr>
      </w:pPr>
    </w:p>
    <w:p w:rsidR="0012682D" w:rsidRDefault="0012682D" w:rsidP="002763FD">
      <w:pPr>
        <w:ind w:left="642"/>
        <w:rPr>
          <w:rFonts w:ascii="Arial" w:hAnsi="Arial" w:cs="Arial"/>
          <w:szCs w:val="22"/>
        </w:rPr>
      </w:pPr>
      <w:r w:rsidRPr="00132FC9">
        <w:rPr>
          <w:rFonts w:ascii="Arial" w:hAnsi="Arial" w:cs="Arial"/>
          <w:szCs w:val="22"/>
        </w:rPr>
        <w:t>El Plan Estratégico para la Igualdad de Oportunidades entre Mujeres y Hombres 2014-2016, y 2018-2021 que aparecen en la web y a los que se refiere el Informe, son planes para alcanzar objetivos de Igualdad entre mujeres y hombres a través de la planificación de distintas acciones de las administraciones públicas, competencia del Ministerio de Igualdad, por lo que se publican sus informes de manera potestativa. No se trata, pues, de Planes de actuación del Instituto.</w:t>
      </w:r>
    </w:p>
    <w:p w:rsidR="00132FC9" w:rsidRPr="0012682D" w:rsidRDefault="00132FC9" w:rsidP="002763FD">
      <w:pPr>
        <w:ind w:left="642"/>
        <w:rPr>
          <w:rFonts w:ascii="Arial" w:hAnsi="Arial" w:cs="Arial"/>
          <w:szCs w:val="22"/>
        </w:rPr>
      </w:pPr>
    </w:p>
    <w:p w:rsidR="0012682D" w:rsidRPr="00132FC9" w:rsidRDefault="0012682D" w:rsidP="002763FD">
      <w:pPr>
        <w:numPr>
          <w:ilvl w:val="0"/>
          <w:numId w:val="38"/>
        </w:numPr>
        <w:spacing w:after="160" w:line="259" w:lineRule="auto"/>
        <w:ind w:left="642"/>
        <w:rPr>
          <w:rFonts w:ascii="Arial" w:hAnsi="Arial" w:cs="Arial"/>
          <w:b/>
          <w:szCs w:val="22"/>
        </w:rPr>
      </w:pPr>
      <w:r w:rsidRPr="00132FC9">
        <w:rPr>
          <w:rFonts w:ascii="Arial" w:hAnsi="Arial" w:cs="Arial"/>
          <w:b/>
          <w:szCs w:val="22"/>
        </w:rPr>
        <w:t>No se ha localizado información actualizada sobre los indicadores de medida y valoración.</w:t>
      </w:r>
    </w:p>
    <w:p w:rsidR="0012682D" w:rsidRPr="0012682D" w:rsidRDefault="0012682D" w:rsidP="002763FD">
      <w:pPr>
        <w:ind w:left="642"/>
        <w:rPr>
          <w:rFonts w:ascii="Arial" w:hAnsi="Arial" w:cs="Arial"/>
          <w:szCs w:val="22"/>
        </w:rPr>
      </w:pPr>
      <w:r w:rsidRPr="0012682D">
        <w:rPr>
          <w:rFonts w:ascii="Arial" w:hAnsi="Arial" w:cs="Arial"/>
          <w:szCs w:val="22"/>
        </w:rPr>
        <w:t>Se publicará de acuerdo con las recomendaciones del Informe</w:t>
      </w:r>
    </w:p>
    <w:p w:rsidR="0012682D" w:rsidRPr="0012682D" w:rsidRDefault="0012682D" w:rsidP="002763FD">
      <w:pPr>
        <w:ind w:left="642" w:firstLine="708"/>
        <w:rPr>
          <w:rFonts w:ascii="Arial" w:hAnsi="Arial" w:cs="Arial"/>
          <w:szCs w:val="22"/>
        </w:rPr>
      </w:pPr>
    </w:p>
    <w:p w:rsidR="0012682D" w:rsidRPr="002763FD" w:rsidRDefault="0012682D" w:rsidP="002763FD">
      <w:pPr>
        <w:ind w:left="642"/>
        <w:rPr>
          <w:rFonts w:ascii="Arial" w:hAnsi="Arial" w:cs="Arial"/>
          <w:szCs w:val="22"/>
          <w:u w:val="single"/>
        </w:rPr>
      </w:pPr>
      <w:r w:rsidRPr="002763FD">
        <w:rPr>
          <w:rFonts w:ascii="Arial" w:hAnsi="Arial" w:cs="Arial"/>
          <w:szCs w:val="22"/>
          <w:u w:val="single"/>
        </w:rPr>
        <w:t>Calidad de la Información</w:t>
      </w:r>
    </w:p>
    <w:p w:rsidR="0012682D" w:rsidRPr="0012682D" w:rsidRDefault="0012682D" w:rsidP="002763FD">
      <w:pPr>
        <w:ind w:left="642" w:firstLine="708"/>
        <w:rPr>
          <w:rFonts w:ascii="Arial" w:hAnsi="Arial" w:cs="Arial"/>
          <w:szCs w:val="22"/>
        </w:rPr>
      </w:pPr>
    </w:p>
    <w:p w:rsidR="0012682D" w:rsidRPr="0012682D" w:rsidRDefault="0012682D" w:rsidP="002763FD">
      <w:pPr>
        <w:numPr>
          <w:ilvl w:val="0"/>
          <w:numId w:val="39"/>
        </w:numPr>
        <w:spacing w:after="160" w:line="259" w:lineRule="auto"/>
        <w:ind w:left="642"/>
        <w:jc w:val="left"/>
        <w:rPr>
          <w:rFonts w:ascii="Arial" w:hAnsi="Arial" w:cs="Arial"/>
          <w:b/>
          <w:szCs w:val="22"/>
        </w:rPr>
      </w:pPr>
      <w:r w:rsidRPr="0012682D">
        <w:rPr>
          <w:rFonts w:ascii="Arial" w:hAnsi="Arial" w:cs="Arial"/>
          <w:b/>
          <w:szCs w:val="22"/>
        </w:rPr>
        <w:t>El organigrama se publica en formato no reutilizable.</w:t>
      </w:r>
    </w:p>
    <w:p w:rsidR="0012682D" w:rsidRDefault="0012682D" w:rsidP="002763FD">
      <w:pPr>
        <w:ind w:left="642"/>
        <w:rPr>
          <w:rFonts w:ascii="Arial" w:hAnsi="Arial" w:cs="Arial"/>
          <w:szCs w:val="22"/>
        </w:rPr>
      </w:pPr>
      <w:r w:rsidRPr="0012682D">
        <w:rPr>
          <w:rFonts w:ascii="Arial" w:hAnsi="Arial" w:cs="Arial"/>
          <w:szCs w:val="22"/>
        </w:rPr>
        <w:t>Se publicará en formato reutilizable</w:t>
      </w:r>
      <w:r w:rsidR="00132FC9">
        <w:rPr>
          <w:rFonts w:ascii="Arial" w:hAnsi="Arial" w:cs="Arial"/>
          <w:szCs w:val="22"/>
        </w:rPr>
        <w:t>.</w:t>
      </w:r>
    </w:p>
    <w:p w:rsidR="00132FC9" w:rsidRPr="0012682D" w:rsidRDefault="00132FC9" w:rsidP="002763FD">
      <w:pPr>
        <w:ind w:left="642"/>
        <w:rPr>
          <w:rFonts w:ascii="Arial" w:hAnsi="Arial" w:cs="Arial"/>
          <w:szCs w:val="22"/>
        </w:rPr>
      </w:pPr>
    </w:p>
    <w:p w:rsidR="0012682D" w:rsidRPr="0012682D" w:rsidRDefault="0012682D" w:rsidP="00F06B76">
      <w:pPr>
        <w:numPr>
          <w:ilvl w:val="0"/>
          <w:numId w:val="39"/>
        </w:numPr>
        <w:spacing w:after="160" w:line="259" w:lineRule="auto"/>
        <w:rPr>
          <w:rFonts w:ascii="Arial" w:hAnsi="Arial" w:cs="Arial"/>
          <w:b/>
          <w:szCs w:val="22"/>
        </w:rPr>
      </w:pPr>
      <w:r w:rsidRPr="0012682D">
        <w:rPr>
          <w:rFonts w:ascii="Arial" w:hAnsi="Arial" w:cs="Arial"/>
          <w:b/>
          <w:szCs w:val="22"/>
        </w:rPr>
        <w:t>Salvo la información sobre la normativa aplicable, las restantes informaciones no están datadas ni existen referencias a la última vez que se revisó o actualizó la información.</w:t>
      </w:r>
    </w:p>
    <w:p w:rsidR="0012682D" w:rsidRDefault="0012682D" w:rsidP="002763FD">
      <w:pPr>
        <w:ind w:left="708"/>
        <w:rPr>
          <w:rFonts w:ascii="Arial" w:hAnsi="Arial" w:cs="Arial"/>
          <w:szCs w:val="22"/>
        </w:rPr>
      </w:pPr>
      <w:r w:rsidRPr="0012682D">
        <w:rPr>
          <w:rFonts w:ascii="Arial" w:hAnsi="Arial" w:cs="Arial"/>
          <w:szCs w:val="22"/>
        </w:rPr>
        <w:t>Se procederá a su datación, de acuerdo con las recomendaciones del Informe</w:t>
      </w:r>
      <w:r w:rsidR="00132FC9">
        <w:rPr>
          <w:rFonts w:ascii="Arial" w:hAnsi="Arial" w:cs="Arial"/>
          <w:szCs w:val="22"/>
        </w:rPr>
        <w:t>.</w:t>
      </w:r>
    </w:p>
    <w:p w:rsidR="00132FC9" w:rsidRPr="0012682D" w:rsidRDefault="00132FC9" w:rsidP="002763FD">
      <w:pPr>
        <w:ind w:left="708"/>
        <w:rPr>
          <w:rFonts w:ascii="Arial" w:hAnsi="Arial" w:cs="Arial"/>
          <w:szCs w:val="22"/>
        </w:rPr>
      </w:pPr>
    </w:p>
    <w:p w:rsidR="0012682D" w:rsidRDefault="0012682D" w:rsidP="002763FD">
      <w:pPr>
        <w:numPr>
          <w:ilvl w:val="0"/>
          <w:numId w:val="39"/>
        </w:numPr>
        <w:spacing w:after="160" w:line="259" w:lineRule="auto"/>
        <w:ind w:left="708"/>
        <w:rPr>
          <w:rFonts w:ascii="Arial" w:hAnsi="Arial" w:cs="Arial"/>
          <w:b/>
          <w:szCs w:val="22"/>
        </w:rPr>
      </w:pPr>
      <w:r w:rsidRPr="0012682D">
        <w:rPr>
          <w:rFonts w:ascii="Arial" w:hAnsi="Arial" w:cs="Arial"/>
          <w:b/>
          <w:szCs w:val="22"/>
        </w:rPr>
        <w:lastRenderedPageBreak/>
        <w:t>La localización y accesibilidad a la información es compleja y difícil porque se encuentra dispersa en diferentes accesos y enlaces de la web. Además, las denominaciones de algunos de estos accesos no facilitan su localización.</w:t>
      </w:r>
    </w:p>
    <w:p w:rsidR="0012682D" w:rsidRDefault="002763FD" w:rsidP="002763FD">
      <w:pPr>
        <w:spacing w:after="160" w:line="259" w:lineRule="auto"/>
        <w:ind w:left="708"/>
        <w:rPr>
          <w:rFonts w:ascii="Arial" w:hAnsi="Arial" w:cs="Arial"/>
          <w:szCs w:val="22"/>
        </w:rPr>
      </w:pPr>
      <w:r>
        <w:rPr>
          <w:rFonts w:ascii="Arial" w:hAnsi="Arial" w:cs="Arial"/>
          <w:szCs w:val="22"/>
        </w:rPr>
        <w:t>Como se ha indicado al principio, se está pendiente de renovar el diseño de la web, para lo cual se va a requerir la contratación de una empresa externa.</w:t>
      </w:r>
    </w:p>
    <w:p w:rsidR="00132FC9" w:rsidRDefault="0012682D" w:rsidP="00132FC9">
      <w:pPr>
        <w:ind w:left="426"/>
        <w:rPr>
          <w:rFonts w:ascii="Arial" w:hAnsi="Arial" w:cs="Arial"/>
          <w:b/>
          <w:bCs/>
          <w:szCs w:val="22"/>
          <w:u w:val="single"/>
          <w:lang w:bidi="es-ES"/>
        </w:rPr>
      </w:pPr>
      <w:r w:rsidRPr="0012682D">
        <w:rPr>
          <w:rFonts w:ascii="Arial" w:hAnsi="Arial" w:cs="Arial"/>
          <w:b/>
          <w:bCs/>
          <w:szCs w:val="22"/>
          <w:u w:val="single"/>
          <w:lang w:bidi="es-ES"/>
        </w:rPr>
        <w:t>Información de Relevancia Jurídica</w:t>
      </w:r>
    </w:p>
    <w:p w:rsidR="00132FC9" w:rsidRDefault="00132FC9" w:rsidP="00132FC9">
      <w:pPr>
        <w:ind w:left="426"/>
        <w:rPr>
          <w:rFonts w:ascii="Arial" w:hAnsi="Arial" w:cs="Arial"/>
          <w:b/>
          <w:bCs/>
          <w:szCs w:val="22"/>
          <w:u w:val="single"/>
          <w:lang w:bidi="es-ES"/>
        </w:rPr>
      </w:pPr>
    </w:p>
    <w:p w:rsidR="0012682D" w:rsidRDefault="00132FC9" w:rsidP="00132FC9">
      <w:pPr>
        <w:numPr>
          <w:ilvl w:val="0"/>
          <w:numId w:val="39"/>
        </w:numPr>
        <w:spacing w:after="160" w:line="259" w:lineRule="auto"/>
        <w:rPr>
          <w:rFonts w:ascii="Arial" w:hAnsi="Arial" w:cs="Arial"/>
          <w:b/>
          <w:bCs/>
          <w:szCs w:val="22"/>
          <w:lang w:bidi="es-ES"/>
        </w:rPr>
      </w:pPr>
      <w:r>
        <w:rPr>
          <w:rFonts w:ascii="Arial" w:hAnsi="Arial" w:cs="Arial"/>
          <w:b/>
          <w:bCs/>
          <w:szCs w:val="22"/>
          <w:lang w:bidi="es-ES"/>
        </w:rPr>
        <w:t>N</w:t>
      </w:r>
      <w:r w:rsidR="0012682D" w:rsidRPr="0012682D">
        <w:rPr>
          <w:rFonts w:ascii="Arial" w:hAnsi="Arial" w:cs="Arial"/>
          <w:b/>
          <w:bCs/>
          <w:szCs w:val="22"/>
          <w:lang w:bidi="es-ES"/>
        </w:rPr>
        <w:t>o se ha localizado información sobre Directrices, instrucciones, acuerdos, circulares o respuestas vinculantes que tengan efectos jurídicos sobre terceros.</w:t>
      </w:r>
    </w:p>
    <w:p w:rsidR="0012682D" w:rsidRPr="0012682D" w:rsidRDefault="00132FC9" w:rsidP="00132FC9">
      <w:pPr>
        <w:ind w:left="708"/>
        <w:rPr>
          <w:rFonts w:ascii="Arial" w:hAnsi="Arial" w:cs="Arial"/>
          <w:bCs/>
          <w:szCs w:val="22"/>
          <w:lang w:bidi="es-ES"/>
        </w:rPr>
      </w:pPr>
      <w:r>
        <w:rPr>
          <w:rFonts w:ascii="Arial" w:hAnsi="Arial" w:cs="Arial"/>
          <w:bCs/>
          <w:szCs w:val="22"/>
          <w:lang w:bidi="es-ES"/>
        </w:rPr>
        <w:t>E</w:t>
      </w:r>
      <w:r w:rsidR="0012682D" w:rsidRPr="0012682D">
        <w:rPr>
          <w:rFonts w:ascii="Arial" w:hAnsi="Arial" w:cs="Arial"/>
          <w:bCs/>
          <w:szCs w:val="22"/>
          <w:lang w:bidi="es-ES"/>
        </w:rPr>
        <w:t>ste organismo no genera ninguna de las formas de información referidas.</w:t>
      </w:r>
    </w:p>
    <w:p w:rsidR="0012682D" w:rsidRPr="0012682D" w:rsidRDefault="0012682D" w:rsidP="0012682D">
      <w:pPr>
        <w:ind w:left="426"/>
        <w:rPr>
          <w:rFonts w:ascii="Arial" w:hAnsi="Arial" w:cs="Arial"/>
          <w:bCs/>
          <w:szCs w:val="22"/>
          <w:lang w:bidi="es-ES"/>
        </w:rPr>
      </w:pPr>
    </w:p>
    <w:p w:rsidR="0012682D" w:rsidRDefault="0012682D" w:rsidP="0012682D">
      <w:pPr>
        <w:ind w:left="426"/>
        <w:rPr>
          <w:rFonts w:ascii="Arial" w:hAnsi="Arial" w:cs="Arial"/>
          <w:b/>
          <w:bCs/>
          <w:szCs w:val="22"/>
          <w:u w:val="single"/>
          <w:lang w:bidi="es-ES"/>
        </w:rPr>
      </w:pPr>
      <w:r w:rsidRPr="0012682D">
        <w:rPr>
          <w:rFonts w:ascii="Arial" w:hAnsi="Arial" w:cs="Arial"/>
          <w:b/>
          <w:bCs/>
          <w:szCs w:val="22"/>
          <w:u w:val="single"/>
          <w:lang w:bidi="es-ES"/>
        </w:rPr>
        <w:t>Análisis de la Información Económica, Presupuestaria y Estadística</w:t>
      </w:r>
    </w:p>
    <w:p w:rsidR="00132FC9" w:rsidRPr="0012682D" w:rsidRDefault="00132FC9" w:rsidP="0012682D">
      <w:pPr>
        <w:ind w:left="426"/>
        <w:rPr>
          <w:rFonts w:ascii="Arial" w:hAnsi="Arial" w:cs="Arial"/>
          <w:b/>
          <w:bCs/>
          <w:szCs w:val="22"/>
          <w:u w:val="single"/>
          <w:lang w:bidi="es-ES"/>
        </w:rPr>
      </w:pPr>
    </w:p>
    <w:p w:rsidR="0012682D" w:rsidRDefault="0012682D" w:rsidP="0012682D">
      <w:pPr>
        <w:ind w:left="426"/>
        <w:rPr>
          <w:rFonts w:ascii="Arial" w:hAnsi="Arial" w:cs="Arial"/>
          <w:bCs/>
          <w:szCs w:val="22"/>
          <w:u w:val="single"/>
          <w:lang w:bidi="es-ES"/>
        </w:rPr>
      </w:pPr>
      <w:r w:rsidRPr="0012682D">
        <w:rPr>
          <w:rFonts w:ascii="Arial" w:hAnsi="Arial" w:cs="Arial"/>
          <w:bCs/>
          <w:szCs w:val="22"/>
          <w:u w:val="single"/>
          <w:lang w:bidi="es-ES"/>
        </w:rPr>
        <w:t>Contenidos</w:t>
      </w:r>
    </w:p>
    <w:p w:rsidR="00F9473C" w:rsidRPr="0012682D" w:rsidRDefault="00F9473C" w:rsidP="0012682D">
      <w:pPr>
        <w:ind w:left="426"/>
        <w:rPr>
          <w:rFonts w:ascii="Arial" w:hAnsi="Arial" w:cs="Arial"/>
          <w:bCs/>
          <w:szCs w:val="22"/>
          <w:u w:val="single"/>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ha localizado información sobre modificaciones de contratos adjudicados</w:t>
      </w:r>
      <w:r w:rsidR="00F9473C">
        <w:rPr>
          <w:rFonts w:ascii="Arial" w:hAnsi="Arial" w:cs="Arial"/>
          <w:b/>
          <w:bCs/>
          <w:szCs w:val="22"/>
          <w:lang w:bidi="es-ES"/>
        </w:rPr>
        <w:t>.</w:t>
      </w:r>
    </w:p>
    <w:p w:rsidR="0012682D" w:rsidRDefault="0012682D" w:rsidP="00F9473C">
      <w:pPr>
        <w:ind w:left="786"/>
        <w:rPr>
          <w:rFonts w:ascii="Arial" w:hAnsi="Arial" w:cs="Arial"/>
          <w:b/>
          <w:bCs/>
          <w:szCs w:val="22"/>
          <w:lang w:bidi="es-ES"/>
        </w:rPr>
      </w:pPr>
      <w:r w:rsidRPr="0012682D">
        <w:rPr>
          <w:rFonts w:ascii="Arial" w:hAnsi="Arial" w:cs="Arial"/>
          <w:bCs/>
          <w:szCs w:val="22"/>
          <w:lang w:bidi="es-ES"/>
        </w:rPr>
        <w:t>No se han producido modificaciones</w:t>
      </w:r>
      <w:r w:rsidRPr="0012682D">
        <w:rPr>
          <w:rFonts w:ascii="Arial" w:hAnsi="Arial" w:cs="Arial"/>
          <w:b/>
          <w:bCs/>
          <w:szCs w:val="22"/>
          <w:lang w:bidi="es-ES"/>
        </w:rPr>
        <w:t>.</w:t>
      </w:r>
    </w:p>
    <w:p w:rsidR="00F9473C" w:rsidRPr="0012682D" w:rsidRDefault="00F9473C" w:rsidP="00F9473C">
      <w:pPr>
        <w:ind w:left="786"/>
        <w:rPr>
          <w:rFonts w:ascii="Arial" w:hAnsi="Arial" w:cs="Arial"/>
          <w:b/>
          <w:bCs/>
          <w:szCs w:val="22"/>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ha localizado información sobre los desistimientos o renuncias a contratos adjudicados</w:t>
      </w:r>
      <w:r w:rsidR="00F9473C">
        <w:rPr>
          <w:rFonts w:ascii="Arial" w:hAnsi="Arial" w:cs="Arial"/>
          <w:b/>
          <w:bCs/>
          <w:szCs w:val="22"/>
          <w:lang w:bidi="es-ES"/>
        </w:rPr>
        <w:t>.</w:t>
      </w:r>
    </w:p>
    <w:p w:rsidR="0012682D" w:rsidRDefault="0012682D" w:rsidP="00F9473C">
      <w:pPr>
        <w:ind w:left="786"/>
        <w:rPr>
          <w:rFonts w:ascii="Arial" w:hAnsi="Arial" w:cs="Arial"/>
          <w:bCs/>
          <w:szCs w:val="22"/>
          <w:lang w:bidi="es-ES"/>
        </w:rPr>
      </w:pPr>
      <w:r w:rsidRPr="0012682D">
        <w:rPr>
          <w:rFonts w:ascii="Arial" w:hAnsi="Arial" w:cs="Arial"/>
          <w:bCs/>
          <w:szCs w:val="22"/>
          <w:lang w:bidi="es-ES"/>
        </w:rPr>
        <w:t>No se han producido desistimientos o renuncias a contratos adjudicados.</w:t>
      </w:r>
    </w:p>
    <w:p w:rsidR="00F9473C" w:rsidRPr="0012682D" w:rsidRDefault="00F9473C" w:rsidP="00F9473C">
      <w:pPr>
        <w:ind w:left="786"/>
        <w:rPr>
          <w:rFonts w:ascii="Arial" w:hAnsi="Arial" w:cs="Arial"/>
          <w:bCs/>
          <w:szCs w:val="22"/>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ha localizado información sobre la distribución porcentual expresada en términos presupuestarios de los contratos adjudicados según procedimiento de licitación.</w:t>
      </w:r>
    </w:p>
    <w:p w:rsidR="0012682D" w:rsidRDefault="0012682D" w:rsidP="00F9473C">
      <w:pPr>
        <w:ind w:left="786"/>
        <w:rPr>
          <w:rFonts w:ascii="Arial" w:hAnsi="Arial" w:cs="Arial"/>
          <w:bCs/>
          <w:szCs w:val="22"/>
          <w:lang w:bidi="es-ES"/>
        </w:rPr>
      </w:pPr>
      <w:r w:rsidRPr="0012682D">
        <w:rPr>
          <w:rFonts w:ascii="Arial" w:hAnsi="Arial" w:cs="Arial"/>
          <w:bCs/>
          <w:szCs w:val="22"/>
          <w:lang w:bidi="es-ES"/>
        </w:rPr>
        <w:t>Se procederá a su publicación, de acuerdo con las recomendaciones del informe</w:t>
      </w:r>
      <w:r w:rsidR="00F9473C">
        <w:rPr>
          <w:rFonts w:ascii="Arial" w:hAnsi="Arial" w:cs="Arial"/>
          <w:bCs/>
          <w:szCs w:val="22"/>
          <w:lang w:bidi="es-ES"/>
        </w:rPr>
        <w:t>.</w:t>
      </w:r>
    </w:p>
    <w:p w:rsidR="00F9473C" w:rsidRPr="0012682D" w:rsidRDefault="00F9473C" w:rsidP="00F9473C">
      <w:pPr>
        <w:ind w:left="786"/>
        <w:rPr>
          <w:rFonts w:ascii="Arial" w:hAnsi="Arial" w:cs="Arial"/>
          <w:bCs/>
          <w:szCs w:val="22"/>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 xml:space="preserve">No se ha localizado información sobre convenios. </w:t>
      </w:r>
    </w:p>
    <w:p w:rsidR="0012682D" w:rsidRDefault="0012682D" w:rsidP="00F9473C">
      <w:pPr>
        <w:ind w:left="786"/>
        <w:rPr>
          <w:rFonts w:ascii="Arial" w:hAnsi="Arial" w:cs="Arial"/>
          <w:bCs/>
          <w:szCs w:val="22"/>
          <w:lang w:bidi="es-ES"/>
        </w:rPr>
      </w:pPr>
      <w:r w:rsidRPr="0012682D">
        <w:rPr>
          <w:rFonts w:ascii="Arial" w:hAnsi="Arial" w:cs="Arial"/>
          <w:bCs/>
          <w:szCs w:val="22"/>
          <w:lang w:bidi="es-ES"/>
        </w:rPr>
        <w:t>Se publicará, de acuerdo con las recomendaciones del informe</w:t>
      </w:r>
      <w:r w:rsidR="00F9473C">
        <w:rPr>
          <w:rFonts w:ascii="Arial" w:hAnsi="Arial" w:cs="Arial"/>
          <w:bCs/>
          <w:szCs w:val="22"/>
          <w:lang w:bidi="es-ES"/>
        </w:rPr>
        <w:t>.</w:t>
      </w:r>
    </w:p>
    <w:p w:rsidR="00F9473C" w:rsidRPr="0012682D" w:rsidRDefault="00F9473C" w:rsidP="00F9473C">
      <w:pPr>
        <w:ind w:left="786"/>
        <w:rPr>
          <w:rFonts w:ascii="Arial" w:hAnsi="Arial" w:cs="Arial"/>
          <w:bCs/>
          <w:szCs w:val="22"/>
          <w:lang w:bidi="es-ES"/>
        </w:rPr>
      </w:pPr>
    </w:p>
    <w:p w:rsidR="0012682D" w:rsidRPr="0012682D" w:rsidRDefault="0012682D" w:rsidP="00F9473C">
      <w:pPr>
        <w:numPr>
          <w:ilvl w:val="0"/>
          <w:numId w:val="40"/>
        </w:numPr>
        <w:spacing w:after="160" w:line="259" w:lineRule="auto"/>
        <w:ind w:left="786"/>
        <w:rPr>
          <w:rFonts w:ascii="Arial" w:hAnsi="Arial" w:cs="Arial"/>
          <w:b/>
          <w:bCs/>
          <w:szCs w:val="22"/>
          <w:lang w:bidi="es-ES"/>
        </w:rPr>
      </w:pPr>
      <w:r w:rsidRPr="0012682D">
        <w:rPr>
          <w:rFonts w:ascii="Arial" w:hAnsi="Arial" w:cs="Arial"/>
          <w:b/>
          <w:bCs/>
          <w:szCs w:val="22"/>
          <w:lang w:bidi="es-ES"/>
        </w:rPr>
        <w:t xml:space="preserve">No se ha localizado información sobre las encomiendas de gestión ni sobre subcontrataciones derivadas de encomiendas o encargos a medios propios. </w:t>
      </w:r>
    </w:p>
    <w:p w:rsidR="0012682D" w:rsidRDefault="0012682D" w:rsidP="00F9473C">
      <w:pPr>
        <w:ind w:left="786"/>
        <w:rPr>
          <w:rFonts w:ascii="Arial" w:hAnsi="Arial" w:cs="Arial"/>
          <w:bCs/>
          <w:szCs w:val="22"/>
          <w:lang w:bidi="es-ES"/>
        </w:rPr>
      </w:pPr>
      <w:r w:rsidRPr="0012682D">
        <w:rPr>
          <w:rFonts w:ascii="Arial" w:hAnsi="Arial" w:cs="Arial"/>
          <w:bCs/>
          <w:szCs w:val="22"/>
          <w:lang w:bidi="es-ES"/>
        </w:rPr>
        <w:t>Se publicará, de acuerdo con las recomendaciones del informe</w:t>
      </w:r>
      <w:r w:rsidR="00F9473C">
        <w:rPr>
          <w:rFonts w:ascii="Arial" w:hAnsi="Arial" w:cs="Arial"/>
          <w:bCs/>
          <w:szCs w:val="22"/>
          <w:lang w:bidi="es-ES"/>
        </w:rPr>
        <w:t>.</w:t>
      </w:r>
    </w:p>
    <w:p w:rsidR="00F9473C" w:rsidRPr="0012682D" w:rsidRDefault="00F9473C" w:rsidP="00F9473C">
      <w:pPr>
        <w:ind w:left="786"/>
        <w:rPr>
          <w:rFonts w:ascii="Arial" w:hAnsi="Arial" w:cs="Arial"/>
          <w:bCs/>
          <w:szCs w:val="22"/>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ha localizado información sobre presupuestos</w:t>
      </w:r>
      <w:r w:rsidR="00F9473C">
        <w:rPr>
          <w:rFonts w:ascii="Arial" w:hAnsi="Arial" w:cs="Arial"/>
          <w:b/>
          <w:bCs/>
          <w:szCs w:val="22"/>
          <w:lang w:bidi="es-ES"/>
        </w:rPr>
        <w:t>.</w:t>
      </w:r>
    </w:p>
    <w:p w:rsidR="0012682D" w:rsidRDefault="0012682D" w:rsidP="00F9473C">
      <w:pPr>
        <w:ind w:left="786"/>
        <w:rPr>
          <w:rFonts w:ascii="Arial" w:hAnsi="Arial" w:cs="Arial"/>
          <w:bCs/>
          <w:szCs w:val="22"/>
          <w:lang w:bidi="es-ES"/>
        </w:rPr>
      </w:pPr>
      <w:r w:rsidRPr="0012682D">
        <w:rPr>
          <w:rFonts w:ascii="Arial" w:hAnsi="Arial" w:cs="Arial"/>
          <w:bCs/>
          <w:szCs w:val="22"/>
          <w:lang w:bidi="es-ES"/>
        </w:rPr>
        <w:t>Se publicará, de acuerdo con las recomendaciones del informe</w:t>
      </w:r>
      <w:r w:rsidR="00F9473C">
        <w:rPr>
          <w:rFonts w:ascii="Arial" w:hAnsi="Arial" w:cs="Arial"/>
          <w:bCs/>
          <w:szCs w:val="22"/>
          <w:lang w:bidi="es-ES"/>
        </w:rPr>
        <w:t>.</w:t>
      </w:r>
    </w:p>
    <w:p w:rsidR="00F9473C" w:rsidRPr="0012682D" w:rsidRDefault="00F9473C" w:rsidP="00F9473C">
      <w:pPr>
        <w:ind w:left="786"/>
        <w:rPr>
          <w:rFonts w:ascii="Arial" w:hAnsi="Arial" w:cs="Arial"/>
          <w:bCs/>
          <w:szCs w:val="22"/>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ha localizado información sobre ejecución presupuestaria.</w:t>
      </w:r>
    </w:p>
    <w:p w:rsidR="0012682D" w:rsidRDefault="0012682D" w:rsidP="00F9473C">
      <w:pPr>
        <w:ind w:left="786"/>
        <w:rPr>
          <w:rFonts w:ascii="Arial" w:hAnsi="Arial" w:cs="Arial"/>
          <w:bCs/>
          <w:szCs w:val="22"/>
          <w:lang w:bidi="es-ES"/>
        </w:rPr>
      </w:pPr>
      <w:r w:rsidRPr="0012682D">
        <w:rPr>
          <w:rFonts w:ascii="Arial" w:hAnsi="Arial" w:cs="Arial"/>
          <w:bCs/>
          <w:szCs w:val="22"/>
          <w:lang w:bidi="es-ES"/>
        </w:rPr>
        <w:t>Se publicará, de acuerdo con las recomendaciones del informe</w:t>
      </w:r>
      <w:r w:rsidR="00F9473C">
        <w:rPr>
          <w:rFonts w:ascii="Arial" w:hAnsi="Arial" w:cs="Arial"/>
          <w:bCs/>
          <w:szCs w:val="22"/>
          <w:lang w:bidi="es-ES"/>
        </w:rPr>
        <w:t>.</w:t>
      </w:r>
    </w:p>
    <w:p w:rsidR="00F9473C" w:rsidRPr="0012682D" w:rsidRDefault="00F9473C" w:rsidP="00F9473C">
      <w:pPr>
        <w:ind w:left="786"/>
        <w:rPr>
          <w:rFonts w:ascii="Arial" w:hAnsi="Arial" w:cs="Arial"/>
          <w:bCs/>
          <w:szCs w:val="22"/>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ha localizado información sobre los informes de auditoría de cuentas y de fiscalización realizados por órganos de control externo.</w:t>
      </w:r>
    </w:p>
    <w:p w:rsidR="0012682D" w:rsidRDefault="0012682D" w:rsidP="00F9473C">
      <w:pPr>
        <w:ind w:left="786"/>
        <w:rPr>
          <w:rFonts w:ascii="Arial" w:hAnsi="Arial" w:cs="Arial"/>
          <w:bCs/>
          <w:szCs w:val="22"/>
          <w:lang w:bidi="es-ES"/>
        </w:rPr>
      </w:pPr>
      <w:r w:rsidRPr="00F9473C">
        <w:rPr>
          <w:rFonts w:ascii="Arial" w:hAnsi="Arial" w:cs="Arial"/>
          <w:bCs/>
          <w:szCs w:val="22"/>
          <w:lang w:bidi="es-ES"/>
        </w:rPr>
        <w:t>De haberlos, se publicará</w:t>
      </w:r>
      <w:r w:rsidR="00F9473C" w:rsidRPr="00F9473C">
        <w:rPr>
          <w:rFonts w:ascii="Arial" w:hAnsi="Arial" w:cs="Arial"/>
          <w:bCs/>
          <w:szCs w:val="22"/>
          <w:lang w:bidi="es-ES"/>
        </w:rPr>
        <w:t>n</w:t>
      </w:r>
      <w:r w:rsidRPr="00F9473C">
        <w:rPr>
          <w:rFonts w:ascii="Arial" w:hAnsi="Arial" w:cs="Arial"/>
          <w:bCs/>
          <w:szCs w:val="22"/>
          <w:lang w:bidi="es-ES"/>
        </w:rPr>
        <w:t>, de acuerdo con las recomendaciones del informe</w:t>
      </w:r>
      <w:r w:rsidR="00F9473C">
        <w:rPr>
          <w:rFonts w:ascii="Arial" w:hAnsi="Arial" w:cs="Arial"/>
          <w:bCs/>
          <w:szCs w:val="22"/>
          <w:lang w:bidi="es-ES"/>
        </w:rPr>
        <w:t>.</w:t>
      </w:r>
    </w:p>
    <w:p w:rsidR="00F9473C" w:rsidRPr="0012682D" w:rsidRDefault="00F9473C" w:rsidP="00F9473C">
      <w:pPr>
        <w:ind w:left="786"/>
        <w:rPr>
          <w:rFonts w:ascii="Arial" w:hAnsi="Arial" w:cs="Arial"/>
          <w:bCs/>
          <w:szCs w:val="22"/>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ha localizado información sobre las retribuciones percibidas por los Altos Cargos y máximos responsables.</w:t>
      </w:r>
    </w:p>
    <w:p w:rsidR="0012682D" w:rsidRDefault="0012682D" w:rsidP="00F9473C">
      <w:pPr>
        <w:ind w:left="786"/>
        <w:rPr>
          <w:rFonts w:ascii="Arial" w:hAnsi="Arial" w:cs="Arial"/>
          <w:bCs/>
          <w:szCs w:val="22"/>
          <w:lang w:bidi="es-ES"/>
        </w:rPr>
      </w:pPr>
      <w:r w:rsidRPr="0012682D">
        <w:rPr>
          <w:rFonts w:ascii="Arial" w:hAnsi="Arial" w:cs="Arial"/>
          <w:bCs/>
          <w:szCs w:val="22"/>
          <w:lang w:bidi="es-ES"/>
        </w:rPr>
        <w:t>Se publicará, de acuerdo con las recomendaciones del informe</w:t>
      </w:r>
      <w:r w:rsidR="00F9473C">
        <w:rPr>
          <w:rFonts w:ascii="Arial" w:hAnsi="Arial" w:cs="Arial"/>
          <w:bCs/>
          <w:szCs w:val="22"/>
          <w:lang w:bidi="es-ES"/>
        </w:rPr>
        <w:t>.</w:t>
      </w:r>
    </w:p>
    <w:p w:rsidR="00F9473C" w:rsidRPr="0012682D" w:rsidRDefault="00F9473C" w:rsidP="00F9473C">
      <w:pPr>
        <w:ind w:left="786"/>
        <w:rPr>
          <w:rFonts w:ascii="Arial" w:hAnsi="Arial" w:cs="Arial"/>
          <w:bCs/>
          <w:szCs w:val="22"/>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ha localizado información sobre las indemnizaciones percibidas por Altos Cargos con ocasión del abandono del cargo</w:t>
      </w:r>
      <w:r w:rsidR="00F9473C">
        <w:rPr>
          <w:rFonts w:ascii="Arial" w:hAnsi="Arial" w:cs="Arial"/>
          <w:b/>
          <w:bCs/>
          <w:szCs w:val="22"/>
          <w:lang w:bidi="es-ES"/>
        </w:rPr>
        <w:t>.</w:t>
      </w:r>
    </w:p>
    <w:p w:rsidR="0012682D" w:rsidRDefault="0012682D" w:rsidP="00F9473C">
      <w:pPr>
        <w:ind w:left="786"/>
        <w:rPr>
          <w:rFonts w:ascii="Arial" w:hAnsi="Arial" w:cs="Arial"/>
          <w:bCs/>
          <w:szCs w:val="22"/>
          <w:lang w:bidi="es-ES"/>
        </w:rPr>
      </w:pPr>
      <w:r w:rsidRPr="00F9473C">
        <w:rPr>
          <w:rFonts w:ascii="Arial" w:hAnsi="Arial" w:cs="Arial"/>
          <w:bCs/>
          <w:szCs w:val="22"/>
          <w:lang w:bidi="es-ES"/>
        </w:rPr>
        <w:t>Se publicará, de haberla, de acuerdo con las recomendaciones del informe</w:t>
      </w:r>
      <w:r w:rsidR="00F9473C">
        <w:rPr>
          <w:rFonts w:ascii="Arial" w:hAnsi="Arial" w:cs="Arial"/>
          <w:bCs/>
          <w:szCs w:val="22"/>
          <w:lang w:bidi="es-ES"/>
        </w:rPr>
        <w:t>.</w:t>
      </w:r>
    </w:p>
    <w:p w:rsidR="00F9473C" w:rsidRPr="0012682D" w:rsidRDefault="00F9473C" w:rsidP="00F9473C">
      <w:pPr>
        <w:ind w:left="786"/>
        <w:rPr>
          <w:rFonts w:ascii="Arial" w:hAnsi="Arial" w:cs="Arial"/>
          <w:bCs/>
          <w:szCs w:val="22"/>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ha localizado información sobre las autorizaciones para la compatibilidad con actividades públicas o privadas concedidas a los empleados públicos.</w:t>
      </w:r>
    </w:p>
    <w:p w:rsidR="0012682D" w:rsidRDefault="0012682D" w:rsidP="00F9473C">
      <w:pPr>
        <w:ind w:left="786"/>
        <w:rPr>
          <w:rFonts w:ascii="Arial" w:hAnsi="Arial" w:cs="Arial"/>
          <w:bCs/>
          <w:szCs w:val="22"/>
          <w:lang w:bidi="es-ES"/>
        </w:rPr>
      </w:pPr>
      <w:r w:rsidRPr="0012682D">
        <w:rPr>
          <w:rFonts w:ascii="Arial" w:hAnsi="Arial" w:cs="Arial"/>
          <w:bCs/>
          <w:szCs w:val="22"/>
          <w:lang w:bidi="es-ES"/>
        </w:rPr>
        <w:t>Se publicará, de acuerdo con las recomendaciones del informe</w:t>
      </w:r>
      <w:r w:rsidR="00F9473C">
        <w:rPr>
          <w:rFonts w:ascii="Arial" w:hAnsi="Arial" w:cs="Arial"/>
          <w:bCs/>
          <w:szCs w:val="22"/>
          <w:lang w:bidi="es-ES"/>
        </w:rPr>
        <w:t>.</w:t>
      </w:r>
    </w:p>
    <w:p w:rsidR="00F9473C" w:rsidRPr="0012682D" w:rsidRDefault="00F9473C" w:rsidP="00F9473C">
      <w:pPr>
        <w:ind w:left="786"/>
        <w:rPr>
          <w:rFonts w:ascii="Arial" w:hAnsi="Arial" w:cs="Arial"/>
          <w:bCs/>
          <w:szCs w:val="22"/>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ha localizado información sobre la autorización para actividad privada al cese de altos cargos.</w:t>
      </w:r>
    </w:p>
    <w:p w:rsidR="0012682D" w:rsidRDefault="0012682D" w:rsidP="00F9473C">
      <w:pPr>
        <w:ind w:left="786"/>
        <w:rPr>
          <w:rFonts w:ascii="Arial" w:hAnsi="Arial" w:cs="Arial"/>
          <w:bCs/>
          <w:szCs w:val="22"/>
          <w:lang w:bidi="es-ES"/>
        </w:rPr>
      </w:pPr>
      <w:r w:rsidRPr="00F9473C">
        <w:rPr>
          <w:rFonts w:ascii="Arial" w:hAnsi="Arial" w:cs="Arial"/>
          <w:bCs/>
          <w:szCs w:val="22"/>
          <w:lang w:bidi="es-ES"/>
        </w:rPr>
        <w:t>Se publicará, de haberla, de acuerdo con las recomendaciones del informe</w:t>
      </w:r>
      <w:r w:rsidR="00F9473C">
        <w:rPr>
          <w:rFonts w:ascii="Arial" w:hAnsi="Arial" w:cs="Arial"/>
          <w:bCs/>
          <w:szCs w:val="22"/>
          <w:lang w:bidi="es-ES"/>
        </w:rPr>
        <w:t>.</w:t>
      </w:r>
    </w:p>
    <w:p w:rsidR="00F9473C" w:rsidRPr="0012682D" w:rsidRDefault="00F9473C" w:rsidP="00F9473C">
      <w:pPr>
        <w:ind w:left="786"/>
        <w:rPr>
          <w:rFonts w:ascii="Arial" w:hAnsi="Arial" w:cs="Arial"/>
          <w:bCs/>
          <w:szCs w:val="22"/>
          <w:lang w:bidi="es-ES"/>
        </w:rPr>
      </w:pPr>
    </w:p>
    <w:p w:rsidR="0012682D" w:rsidRPr="0012682D" w:rsidRDefault="0012682D" w:rsidP="00F9473C">
      <w:pPr>
        <w:numPr>
          <w:ilvl w:val="0"/>
          <w:numId w:val="40"/>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ha localizado información actualizada sobre el grado de cumplimiento y calidad de los servicios que se prestan.</w:t>
      </w:r>
    </w:p>
    <w:p w:rsidR="0012682D" w:rsidRPr="0012682D" w:rsidRDefault="0012682D" w:rsidP="00F9473C">
      <w:pPr>
        <w:ind w:left="786"/>
        <w:rPr>
          <w:rFonts w:ascii="Arial" w:hAnsi="Arial" w:cs="Arial"/>
          <w:bCs/>
          <w:szCs w:val="22"/>
          <w:lang w:bidi="es-ES"/>
        </w:rPr>
      </w:pPr>
      <w:r w:rsidRPr="0012682D">
        <w:rPr>
          <w:rFonts w:ascii="Arial" w:hAnsi="Arial" w:cs="Arial"/>
          <w:bCs/>
          <w:szCs w:val="22"/>
          <w:lang w:bidi="es-ES"/>
        </w:rPr>
        <w:t>Se publicará, de acuerdo con las recomendaciones del informe</w:t>
      </w:r>
    </w:p>
    <w:p w:rsidR="0012682D" w:rsidRPr="0012682D" w:rsidRDefault="0012682D" w:rsidP="00F9473C">
      <w:pPr>
        <w:ind w:left="786"/>
        <w:rPr>
          <w:rFonts w:ascii="Arial" w:hAnsi="Arial" w:cs="Arial"/>
          <w:bCs/>
          <w:szCs w:val="22"/>
          <w:lang w:bidi="es-ES"/>
        </w:rPr>
      </w:pPr>
    </w:p>
    <w:p w:rsidR="0012682D" w:rsidRDefault="0012682D" w:rsidP="00F9473C">
      <w:pPr>
        <w:ind w:left="786"/>
        <w:rPr>
          <w:rFonts w:ascii="Arial" w:hAnsi="Arial" w:cs="Arial"/>
          <w:bCs/>
          <w:szCs w:val="22"/>
          <w:u w:val="single"/>
          <w:lang w:bidi="es-ES"/>
        </w:rPr>
      </w:pPr>
      <w:r w:rsidRPr="0012682D">
        <w:rPr>
          <w:rFonts w:ascii="Arial" w:hAnsi="Arial" w:cs="Arial"/>
          <w:bCs/>
          <w:szCs w:val="22"/>
          <w:u w:val="single"/>
          <w:lang w:bidi="es-ES"/>
        </w:rPr>
        <w:t>Calidad de la Información</w:t>
      </w:r>
    </w:p>
    <w:p w:rsidR="00F9473C" w:rsidRPr="0012682D" w:rsidRDefault="00F9473C" w:rsidP="00F9473C">
      <w:pPr>
        <w:ind w:left="786"/>
        <w:rPr>
          <w:rFonts w:ascii="Arial" w:hAnsi="Arial" w:cs="Arial"/>
          <w:bCs/>
          <w:szCs w:val="22"/>
          <w:u w:val="single"/>
          <w:lang w:bidi="es-ES"/>
        </w:rPr>
      </w:pPr>
    </w:p>
    <w:p w:rsidR="0012682D" w:rsidRPr="0012682D" w:rsidRDefault="0012682D" w:rsidP="00F9473C">
      <w:pPr>
        <w:numPr>
          <w:ilvl w:val="0"/>
          <w:numId w:val="41"/>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existen referencias a la fecha en que se revisó o actualizó la información por última vez, por lo que no se puede afirmar que la información publicada cumpla el requisito de actualización. De hecho, muchas de las informaciones publicadas presentan un alto grado de desactualización.</w:t>
      </w:r>
    </w:p>
    <w:p w:rsidR="0012682D" w:rsidRPr="0012682D" w:rsidRDefault="0012682D" w:rsidP="00F9473C">
      <w:pPr>
        <w:ind w:left="786"/>
        <w:rPr>
          <w:rFonts w:ascii="Arial" w:hAnsi="Arial" w:cs="Arial"/>
          <w:bCs/>
          <w:szCs w:val="22"/>
          <w:lang w:bidi="es-ES"/>
        </w:rPr>
      </w:pPr>
      <w:r w:rsidRPr="0012682D">
        <w:rPr>
          <w:rFonts w:ascii="Arial" w:hAnsi="Arial" w:cs="Arial"/>
          <w:bCs/>
          <w:szCs w:val="22"/>
          <w:lang w:bidi="es-ES"/>
        </w:rPr>
        <w:t>Se actualizará, de acuerdo con las recomendaciones del informe</w:t>
      </w:r>
      <w:r w:rsidR="00F9473C">
        <w:rPr>
          <w:rFonts w:ascii="Arial" w:hAnsi="Arial" w:cs="Arial"/>
          <w:bCs/>
          <w:szCs w:val="22"/>
          <w:lang w:bidi="es-ES"/>
        </w:rPr>
        <w:t>.</w:t>
      </w:r>
    </w:p>
    <w:p w:rsidR="0012682D" w:rsidRPr="0012682D" w:rsidRDefault="0012682D" w:rsidP="00F9473C">
      <w:pPr>
        <w:ind w:left="786"/>
        <w:rPr>
          <w:rFonts w:ascii="Arial" w:hAnsi="Arial" w:cs="Arial"/>
          <w:b/>
          <w:bCs/>
          <w:szCs w:val="22"/>
          <w:lang w:bidi="es-ES"/>
        </w:rPr>
      </w:pPr>
    </w:p>
    <w:p w:rsidR="0012682D" w:rsidRPr="0012682D" w:rsidRDefault="0012682D" w:rsidP="00F9473C">
      <w:pPr>
        <w:numPr>
          <w:ilvl w:val="0"/>
          <w:numId w:val="41"/>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Aunque algunas de las informaciones que no se publican directamente en la web del IMIO puedan estar disponibles en el Portal de Transparencia de la AGE, este hecho no suple la obligación de que se publiquen en la web de IMIO.</w:t>
      </w:r>
    </w:p>
    <w:p w:rsidR="0012682D" w:rsidRPr="0012682D" w:rsidRDefault="0012682D" w:rsidP="00F9473C">
      <w:pPr>
        <w:ind w:left="786"/>
        <w:rPr>
          <w:rFonts w:ascii="Arial" w:hAnsi="Arial" w:cs="Arial"/>
          <w:bCs/>
          <w:szCs w:val="22"/>
          <w:lang w:bidi="es-ES"/>
        </w:rPr>
      </w:pPr>
      <w:r w:rsidRPr="00F9473C">
        <w:rPr>
          <w:rFonts w:ascii="Arial" w:hAnsi="Arial" w:cs="Arial"/>
          <w:bCs/>
          <w:szCs w:val="22"/>
          <w:lang w:bidi="es-ES"/>
        </w:rPr>
        <w:t>En consultas expresas sobre este extremo, por parte de la UIT central del Ministerio de adscripción en su momento, se informó como suficiente la publicación en la web del Portal de Transparencia.</w:t>
      </w:r>
    </w:p>
    <w:p w:rsidR="0012682D" w:rsidRPr="0012682D" w:rsidRDefault="0012682D" w:rsidP="00F9473C">
      <w:pPr>
        <w:ind w:left="786"/>
        <w:rPr>
          <w:rFonts w:ascii="Arial" w:hAnsi="Arial" w:cs="Arial"/>
          <w:bCs/>
          <w:szCs w:val="22"/>
          <w:lang w:bidi="es-ES"/>
        </w:rPr>
      </w:pPr>
    </w:p>
    <w:p w:rsidR="0012682D" w:rsidRDefault="0012682D" w:rsidP="00D21AD9">
      <w:pPr>
        <w:ind w:left="426"/>
        <w:rPr>
          <w:rFonts w:ascii="Arial" w:hAnsi="Arial" w:cs="Arial"/>
          <w:b/>
          <w:bCs/>
          <w:szCs w:val="22"/>
          <w:u w:val="single"/>
          <w:lang w:bidi="es-ES"/>
        </w:rPr>
      </w:pPr>
      <w:r w:rsidRPr="0012682D">
        <w:rPr>
          <w:rFonts w:ascii="Arial" w:hAnsi="Arial" w:cs="Arial"/>
          <w:b/>
          <w:bCs/>
          <w:szCs w:val="22"/>
          <w:u w:val="single"/>
          <w:lang w:bidi="es-ES"/>
        </w:rPr>
        <w:t>Análisis de la Información Patrimonial</w:t>
      </w:r>
    </w:p>
    <w:p w:rsidR="00F9473C" w:rsidRPr="0012682D" w:rsidRDefault="00F9473C" w:rsidP="00F9473C">
      <w:pPr>
        <w:ind w:left="786"/>
        <w:rPr>
          <w:rFonts w:ascii="Arial" w:hAnsi="Arial" w:cs="Arial"/>
          <w:b/>
          <w:bCs/>
          <w:szCs w:val="22"/>
          <w:u w:val="single"/>
          <w:lang w:bidi="es-ES"/>
        </w:rPr>
      </w:pPr>
    </w:p>
    <w:p w:rsidR="0012682D" w:rsidRPr="0012682D" w:rsidRDefault="0012682D" w:rsidP="00F9473C">
      <w:pPr>
        <w:numPr>
          <w:ilvl w:val="0"/>
          <w:numId w:val="42"/>
        </w:numPr>
        <w:spacing w:after="160" w:line="259" w:lineRule="auto"/>
        <w:ind w:left="786"/>
        <w:jc w:val="left"/>
        <w:rPr>
          <w:rFonts w:ascii="Arial" w:hAnsi="Arial" w:cs="Arial"/>
          <w:b/>
          <w:bCs/>
          <w:szCs w:val="22"/>
          <w:lang w:bidi="es-ES"/>
        </w:rPr>
      </w:pPr>
      <w:r w:rsidRPr="0012682D">
        <w:rPr>
          <w:rFonts w:ascii="Arial" w:hAnsi="Arial" w:cs="Arial"/>
          <w:b/>
          <w:bCs/>
          <w:szCs w:val="22"/>
          <w:lang w:bidi="es-ES"/>
        </w:rPr>
        <w:t>No se publica información sobre los bienes patrimoniales de los que el IMIO sea titular o ejerza algún derecho real.</w:t>
      </w:r>
    </w:p>
    <w:p w:rsidR="0012682D" w:rsidRPr="0012682D" w:rsidRDefault="0012682D" w:rsidP="00F9473C">
      <w:pPr>
        <w:ind w:left="426" w:firstLine="360"/>
        <w:rPr>
          <w:rFonts w:ascii="Arial" w:hAnsi="Arial" w:cs="Arial"/>
          <w:bCs/>
          <w:szCs w:val="22"/>
          <w:lang w:bidi="es-ES"/>
        </w:rPr>
      </w:pPr>
      <w:r w:rsidRPr="0012682D">
        <w:rPr>
          <w:rFonts w:ascii="Arial" w:hAnsi="Arial" w:cs="Arial"/>
          <w:bCs/>
          <w:szCs w:val="22"/>
          <w:lang w:bidi="es-ES"/>
        </w:rPr>
        <w:t>Se publicará, de acuerdo con las recomendaciones del informe</w:t>
      </w:r>
      <w:r w:rsidR="00F9473C">
        <w:rPr>
          <w:rFonts w:ascii="Arial" w:hAnsi="Arial" w:cs="Arial"/>
          <w:bCs/>
          <w:szCs w:val="22"/>
          <w:lang w:bidi="es-ES"/>
        </w:rPr>
        <w:t>.</w:t>
      </w:r>
    </w:p>
    <w:p w:rsidR="0012682D" w:rsidRPr="0012682D" w:rsidRDefault="0012682D" w:rsidP="00F9473C">
      <w:pPr>
        <w:ind w:left="786" w:firstLine="360"/>
        <w:rPr>
          <w:rFonts w:ascii="Arial" w:hAnsi="Arial" w:cs="Arial"/>
          <w:bCs/>
          <w:szCs w:val="22"/>
          <w:lang w:bidi="es-ES"/>
        </w:rPr>
      </w:pPr>
    </w:p>
    <w:p w:rsidR="0012682D" w:rsidRPr="0012682D" w:rsidRDefault="0012682D" w:rsidP="00F9473C">
      <w:pPr>
        <w:ind w:left="786" w:firstLine="360"/>
        <w:rPr>
          <w:rFonts w:ascii="Arial" w:hAnsi="Arial" w:cs="Arial"/>
          <w:bCs/>
          <w:szCs w:val="22"/>
          <w:lang w:bidi="es-ES"/>
        </w:rPr>
      </w:pPr>
    </w:p>
    <w:p w:rsidR="0012682D" w:rsidRPr="0012682D" w:rsidRDefault="0012682D" w:rsidP="0012682D">
      <w:pPr>
        <w:ind w:left="426"/>
        <w:rPr>
          <w:rFonts w:ascii="Arial" w:hAnsi="Arial" w:cs="Arial"/>
          <w:szCs w:val="22"/>
        </w:rPr>
      </w:pPr>
    </w:p>
    <w:sectPr w:rsidR="0012682D" w:rsidRPr="0012682D" w:rsidSect="002763FD">
      <w:headerReference w:type="default" r:id="rId9"/>
      <w:footerReference w:type="default" r:id="rId10"/>
      <w:pgSz w:w="11906" w:h="16838"/>
      <w:pgMar w:top="1440" w:right="1080" w:bottom="1440" w:left="1080" w:header="907" w:footer="159"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32" w:rsidRDefault="00CC6032">
      <w:r>
        <w:separator/>
      </w:r>
    </w:p>
  </w:endnote>
  <w:endnote w:type="continuationSeparator" w:id="0">
    <w:p w:rsidR="00CC6032" w:rsidRDefault="00CC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Gill Sans">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344843"/>
      <w:docPartObj>
        <w:docPartGallery w:val="Page Numbers (Bottom of Page)"/>
        <w:docPartUnique/>
      </w:docPartObj>
    </w:sdtPr>
    <w:sdtEndPr/>
    <w:sdtContent>
      <w:p w:rsidR="005B4BD8" w:rsidRDefault="005B4BD8">
        <w:pPr>
          <w:pStyle w:val="Piedepgina"/>
          <w:jc w:val="center"/>
        </w:pPr>
        <w:r>
          <w:fldChar w:fldCharType="begin"/>
        </w:r>
        <w:r>
          <w:instrText>PAGE   \* MERGEFORMAT</w:instrText>
        </w:r>
        <w:r>
          <w:fldChar w:fldCharType="separate"/>
        </w:r>
        <w:r w:rsidR="00FD67C2" w:rsidRPr="00FD67C2">
          <w:rPr>
            <w:noProof/>
            <w:lang w:val="es-ES"/>
          </w:rPr>
          <w:t>2</w:t>
        </w:r>
        <w:r>
          <w:fldChar w:fldCharType="end"/>
        </w:r>
      </w:p>
    </w:sdtContent>
  </w:sdt>
  <w:p w:rsidR="006E3295" w:rsidRDefault="006E329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32" w:rsidRDefault="00CC6032">
      <w:r>
        <w:separator/>
      </w:r>
    </w:p>
  </w:footnote>
  <w:footnote w:type="continuationSeparator" w:id="0">
    <w:p w:rsidR="00CC6032" w:rsidRDefault="00CC60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6" w:type="dxa"/>
      <w:tblLayout w:type="fixed"/>
      <w:tblCellMar>
        <w:left w:w="70" w:type="dxa"/>
        <w:right w:w="70" w:type="dxa"/>
      </w:tblCellMar>
      <w:tblLook w:val="0000" w:firstRow="0" w:lastRow="0" w:firstColumn="0" w:lastColumn="0" w:noHBand="0" w:noVBand="0"/>
    </w:tblPr>
    <w:tblGrid>
      <w:gridCol w:w="1346"/>
      <w:gridCol w:w="6946"/>
      <w:gridCol w:w="1984"/>
    </w:tblGrid>
    <w:tr w:rsidR="00AE3829" w:rsidTr="00AE3829">
      <w:trPr>
        <w:cantSplit/>
      </w:trPr>
      <w:tc>
        <w:tcPr>
          <w:tcW w:w="1346" w:type="dxa"/>
          <w:vMerge w:val="restart"/>
        </w:tcPr>
        <w:p w:rsidR="00AE3829" w:rsidRDefault="00D17541" w:rsidP="00000B4A">
          <w:pPr>
            <w:pStyle w:val="Encabezado"/>
          </w:pPr>
          <w:r>
            <w:rPr>
              <w:noProof/>
              <w:lang w:val="es-ES"/>
            </w:rPr>
            <w:drawing>
              <wp:anchor distT="0" distB="0" distL="114300" distR="114300" simplePos="0" relativeHeight="251657728" behindDoc="1" locked="0" layoutInCell="1" allowOverlap="1">
                <wp:simplePos x="0" y="0"/>
                <wp:positionH relativeFrom="column">
                  <wp:posOffset>-40005</wp:posOffset>
                </wp:positionH>
                <wp:positionV relativeFrom="paragraph">
                  <wp:posOffset>-215900</wp:posOffset>
                </wp:positionV>
                <wp:extent cx="763270" cy="723265"/>
                <wp:effectExtent l="0" t="0" r="0" b="635"/>
                <wp:wrapTight wrapText="bothSides">
                  <wp:wrapPolygon edited="0">
                    <wp:start x="0" y="0"/>
                    <wp:lineTo x="0" y="21050"/>
                    <wp:lineTo x="21025" y="21050"/>
                    <wp:lineTo x="21025" y="0"/>
                    <wp:lineTo x="0" y="0"/>
                  </wp:wrapPolygon>
                </wp:wrapTight>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vMerge w:val="restart"/>
        </w:tcPr>
        <w:p w:rsidR="00AE3829" w:rsidRDefault="00AE3829" w:rsidP="00000B4A">
          <w:pPr>
            <w:pStyle w:val="Encabezado"/>
            <w:spacing w:line="160" w:lineRule="atLeast"/>
            <w:rPr>
              <w:rFonts w:ascii="Gill Sans" w:hAnsi="Gill Sans"/>
              <w:sz w:val="20"/>
            </w:rPr>
          </w:pPr>
        </w:p>
        <w:p w:rsidR="00A81667" w:rsidRDefault="00A81667" w:rsidP="00000B4A">
          <w:pPr>
            <w:pStyle w:val="Encabezado"/>
            <w:spacing w:line="160" w:lineRule="atLeast"/>
            <w:rPr>
              <w:rFonts w:ascii="Gill Sans" w:hAnsi="Gill Sans"/>
              <w:sz w:val="20"/>
            </w:rPr>
          </w:pPr>
          <w:r>
            <w:rPr>
              <w:rFonts w:ascii="Gill Sans" w:hAnsi="Gill Sans"/>
              <w:sz w:val="20"/>
            </w:rPr>
            <w:t>MINISTERIO</w:t>
          </w:r>
        </w:p>
        <w:p w:rsidR="00AE3829" w:rsidRPr="00A81667" w:rsidRDefault="00AE3829" w:rsidP="00000B4A">
          <w:pPr>
            <w:pStyle w:val="Encabezado"/>
            <w:spacing w:line="160" w:lineRule="atLeast"/>
            <w:rPr>
              <w:rFonts w:ascii="Gill Sans" w:hAnsi="Gill Sans"/>
              <w:sz w:val="20"/>
            </w:rPr>
          </w:pPr>
          <w:r>
            <w:rPr>
              <w:rFonts w:ascii="Gill Sans" w:hAnsi="Gill Sans"/>
              <w:sz w:val="20"/>
            </w:rPr>
            <w:t>DE IGUALDAD</w:t>
          </w:r>
        </w:p>
        <w:p w:rsidR="00AE3829" w:rsidRDefault="00AE3829" w:rsidP="00000B4A">
          <w:pPr>
            <w:pStyle w:val="Encabezado"/>
            <w:rPr>
              <w:rFonts w:ascii="Gill Sans" w:hAnsi="Gill Sans"/>
              <w:sz w:val="14"/>
            </w:rPr>
          </w:pPr>
        </w:p>
      </w:tc>
      <w:tc>
        <w:tcPr>
          <w:tcW w:w="1984" w:type="dxa"/>
          <w:shd w:val="pct10" w:color="000000" w:fill="FFFFFF"/>
        </w:tcPr>
        <w:p w:rsidR="00AE3829" w:rsidRDefault="00AE3829" w:rsidP="00000B4A">
          <w:pPr>
            <w:pStyle w:val="Encabezado"/>
            <w:spacing w:line="144" w:lineRule="atLeast"/>
            <w:rPr>
              <w:rFonts w:ascii="Gill Sans" w:hAnsi="Gill Sans"/>
              <w:sz w:val="14"/>
            </w:rPr>
          </w:pPr>
          <w:r>
            <w:rPr>
              <w:rFonts w:ascii="Gill Sans" w:hAnsi="Gill Sans"/>
              <w:sz w:val="14"/>
            </w:rPr>
            <w:t>SECRETARÍA DE ESTADO</w:t>
          </w:r>
        </w:p>
        <w:p w:rsidR="00AE3829" w:rsidRDefault="00AE3829" w:rsidP="00000B4A">
          <w:pPr>
            <w:pStyle w:val="Encabezado"/>
            <w:spacing w:line="144" w:lineRule="atLeast"/>
            <w:rPr>
              <w:rFonts w:ascii="Gill Sans" w:hAnsi="Gill Sans"/>
              <w:sz w:val="14"/>
            </w:rPr>
          </w:pPr>
          <w:r>
            <w:rPr>
              <w:rFonts w:ascii="Gill Sans" w:hAnsi="Gill Sans"/>
              <w:sz w:val="14"/>
            </w:rPr>
            <w:t>DE IGUALDAD</w:t>
          </w:r>
          <w:r w:rsidR="00A81667">
            <w:rPr>
              <w:rFonts w:ascii="Gill Sans" w:hAnsi="Gill Sans"/>
              <w:sz w:val="14"/>
            </w:rPr>
            <w:t xml:space="preserve"> Y CONTRA LA VIOLENCIA DE GÉNERO</w:t>
          </w:r>
        </w:p>
        <w:p w:rsidR="00AE3829" w:rsidRDefault="00AE3829" w:rsidP="00000B4A">
          <w:pPr>
            <w:pStyle w:val="Encabezado"/>
            <w:spacing w:line="144" w:lineRule="atLeast"/>
            <w:rPr>
              <w:rFonts w:ascii="Gill Sans" w:hAnsi="Gill Sans"/>
              <w:sz w:val="14"/>
            </w:rPr>
          </w:pPr>
        </w:p>
      </w:tc>
    </w:tr>
    <w:tr w:rsidR="00AE3829" w:rsidTr="00AE3829">
      <w:trPr>
        <w:cantSplit/>
        <w:trHeight w:val="995"/>
      </w:trPr>
      <w:tc>
        <w:tcPr>
          <w:tcW w:w="1346" w:type="dxa"/>
          <w:vMerge/>
        </w:tcPr>
        <w:p w:rsidR="00AE3829" w:rsidRDefault="00AE3829" w:rsidP="00000B4A">
          <w:pPr>
            <w:pStyle w:val="Encabezado"/>
          </w:pPr>
        </w:p>
      </w:tc>
      <w:tc>
        <w:tcPr>
          <w:tcW w:w="6946" w:type="dxa"/>
          <w:vMerge/>
        </w:tcPr>
        <w:p w:rsidR="00AE3829" w:rsidRDefault="00AE3829" w:rsidP="00000B4A">
          <w:pPr>
            <w:pStyle w:val="Encabezado"/>
          </w:pPr>
        </w:p>
      </w:tc>
      <w:tc>
        <w:tcPr>
          <w:tcW w:w="1984" w:type="dxa"/>
        </w:tcPr>
        <w:p w:rsidR="00AE3829" w:rsidRDefault="00AE3829" w:rsidP="00000B4A">
          <w:pPr>
            <w:pStyle w:val="Encabezado"/>
            <w:rPr>
              <w:rFonts w:ascii="Gill Sans" w:hAnsi="Gill Sans"/>
              <w:sz w:val="14"/>
            </w:rPr>
          </w:pPr>
        </w:p>
        <w:p w:rsidR="00AE3829" w:rsidRDefault="00AE3829" w:rsidP="001040CA">
          <w:pPr>
            <w:pStyle w:val="Encabezado"/>
            <w:spacing w:line="144" w:lineRule="atLeast"/>
            <w:rPr>
              <w:rFonts w:ascii="Gill Sans" w:hAnsi="Gill Sans"/>
              <w:sz w:val="14"/>
            </w:rPr>
          </w:pPr>
          <w:r>
            <w:rPr>
              <w:rFonts w:ascii="Gill Sans" w:hAnsi="Gill Sans"/>
              <w:sz w:val="14"/>
            </w:rPr>
            <w:t>INSTITUTO DE LA</w:t>
          </w:r>
          <w:r w:rsidR="0012682D">
            <w:rPr>
              <w:rFonts w:ascii="Gill Sans" w:hAnsi="Gill Sans"/>
              <w:sz w:val="14"/>
            </w:rPr>
            <w:t>S MUJERES</w:t>
          </w:r>
        </w:p>
        <w:p w:rsidR="00AE3829" w:rsidRDefault="00AE3829" w:rsidP="00000B4A">
          <w:pPr>
            <w:pStyle w:val="Encabezado"/>
            <w:rPr>
              <w:rFonts w:ascii="Gill Sans" w:hAnsi="Gill Sans"/>
              <w:sz w:val="14"/>
            </w:rPr>
          </w:pPr>
        </w:p>
        <w:p w:rsidR="00AE3829" w:rsidRDefault="0012682D" w:rsidP="001040CA">
          <w:pPr>
            <w:pStyle w:val="Encabezado"/>
            <w:rPr>
              <w:rFonts w:ascii="Gill Sans" w:hAnsi="Gill Sans"/>
              <w:sz w:val="14"/>
            </w:rPr>
          </w:pPr>
          <w:r>
            <w:rPr>
              <w:rFonts w:ascii="Gill Sans" w:hAnsi="Gill Sans"/>
              <w:sz w:val="14"/>
            </w:rPr>
            <w:t>DIRECCIÓN</w:t>
          </w:r>
          <w:r w:rsidR="00AE3829">
            <w:rPr>
              <w:rFonts w:ascii="Gill Sans" w:hAnsi="Gill Sans"/>
              <w:sz w:val="14"/>
            </w:rPr>
            <w:t xml:space="preserve"> GENERAL</w:t>
          </w:r>
        </w:p>
      </w:tc>
    </w:tr>
  </w:tbl>
  <w:p w:rsidR="006E3295" w:rsidRDefault="006E32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05D2814"/>
    <w:multiLevelType w:val="multilevel"/>
    <w:tmpl w:val="5E2069F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0F607D8"/>
    <w:multiLevelType w:val="hybridMultilevel"/>
    <w:tmpl w:val="A4EEDE8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4002503"/>
    <w:multiLevelType w:val="hybridMultilevel"/>
    <w:tmpl w:val="52AE503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52809E5"/>
    <w:multiLevelType w:val="hybridMultilevel"/>
    <w:tmpl w:val="4FD2B8DC"/>
    <w:lvl w:ilvl="0" w:tplc="DDFEDA2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1B66D8"/>
    <w:multiLevelType w:val="hybridMultilevel"/>
    <w:tmpl w:val="69A0BE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BC1D08"/>
    <w:multiLevelType w:val="hybridMultilevel"/>
    <w:tmpl w:val="2CAABBBC"/>
    <w:lvl w:ilvl="0" w:tplc="EC7047B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0FAF5F9E"/>
    <w:multiLevelType w:val="hybridMultilevel"/>
    <w:tmpl w:val="045479E0"/>
    <w:lvl w:ilvl="0" w:tplc="C2B8897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225580B"/>
    <w:multiLevelType w:val="hybridMultilevel"/>
    <w:tmpl w:val="E9502CCE"/>
    <w:lvl w:ilvl="0" w:tplc="44BE7EE6">
      <w:start w:val="3"/>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183A1346"/>
    <w:multiLevelType w:val="multilevel"/>
    <w:tmpl w:val="3F5C1E3C"/>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18A7689B"/>
    <w:multiLevelType w:val="hybridMultilevel"/>
    <w:tmpl w:val="B22CF11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1AE90829"/>
    <w:multiLevelType w:val="hybridMultilevel"/>
    <w:tmpl w:val="98E0384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1E9270AC"/>
    <w:multiLevelType w:val="hybridMultilevel"/>
    <w:tmpl w:val="8690AE0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20D41F9B"/>
    <w:multiLevelType w:val="hybridMultilevel"/>
    <w:tmpl w:val="6B90C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E502A7"/>
    <w:multiLevelType w:val="hybridMultilevel"/>
    <w:tmpl w:val="EF8EC3D2"/>
    <w:lvl w:ilvl="0" w:tplc="44BE7EE6">
      <w:start w:val="3"/>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26007566"/>
    <w:multiLevelType w:val="hybridMultilevel"/>
    <w:tmpl w:val="53C07AE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26AD698B"/>
    <w:multiLevelType w:val="hybridMultilevel"/>
    <w:tmpl w:val="85E4F4A8"/>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2C05065B"/>
    <w:multiLevelType w:val="hybridMultilevel"/>
    <w:tmpl w:val="E0246564"/>
    <w:lvl w:ilvl="0" w:tplc="B7C2270E">
      <w:start w:val="1"/>
      <w:numFmt w:val="bullet"/>
      <w:lvlText w:val=""/>
      <w:lvlPicBulletId w:val="0"/>
      <w:lvlJc w:val="left"/>
      <w:pPr>
        <w:ind w:left="1800" w:hanging="360"/>
      </w:pPr>
      <w:rPr>
        <w:rFonts w:ascii="Symbol" w:hAnsi="Symbol" w:hint="default"/>
        <w:color w:val="auto"/>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30F739C5"/>
    <w:multiLevelType w:val="hybridMultilevel"/>
    <w:tmpl w:val="CE4605E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329D5C9C"/>
    <w:multiLevelType w:val="hybridMultilevel"/>
    <w:tmpl w:val="3D9E49D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3C1D6CD2"/>
    <w:multiLevelType w:val="hybridMultilevel"/>
    <w:tmpl w:val="0BFC459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45464B4F"/>
    <w:multiLevelType w:val="hybridMultilevel"/>
    <w:tmpl w:val="931293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4BED7530"/>
    <w:multiLevelType w:val="hybridMultilevel"/>
    <w:tmpl w:val="40FEA238"/>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887FA2"/>
    <w:multiLevelType w:val="hybridMultilevel"/>
    <w:tmpl w:val="753E6FB8"/>
    <w:lvl w:ilvl="0" w:tplc="44BE7EE6">
      <w:start w:val="3"/>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343951"/>
    <w:multiLevelType w:val="hybridMultilevel"/>
    <w:tmpl w:val="43C8DD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4F3F662D"/>
    <w:multiLevelType w:val="hybridMultilevel"/>
    <w:tmpl w:val="1C52BEC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50BD3B28"/>
    <w:multiLevelType w:val="hybridMultilevel"/>
    <w:tmpl w:val="F35A7B2E"/>
    <w:lvl w:ilvl="0" w:tplc="A420091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56B17C97"/>
    <w:multiLevelType w:val="hybridMultilevel"/>
    <w:tmpl w:val="A366F65C"/>
    <w:lvl w:ilvl="0" w:tplc="BDB0A80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59E73E5F"/>
    <w:multiLevelType w:val="hybridMultilevel"/>
    <w:tmpl w:val="1684225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62203302"/>
    <w:multiLevelType w:val="hybridMultilevel"/>
    <w:tmpl w:val="F9BE99EC"/>
    <w:lvl w:ilvl="0" w:tplc="BB9279AA">
      <w:start w:val="1"/>
      <w:numFmt w:val="upp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2" w15:restartNumberingAfterBreak="0">
    <w:nsid w:val="64DA3F7F"/>
    <w:multiLevelType w:val="hybridMultilevel"/>
    <w:tmpl w:val="5E3221A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659E2FE7"/>
    <w:multiLevelType w:val="hybridMultilevel"/>
    <w:tmpl w:val="E2D6EC2C"/>
    <w:lvl w:ilvl="0" w:tplc="44BE7EE6">
      <w:start w:val="3"/>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6DBB010D"/>
    <w:multiLevelType w:val="hybridMultilevel"/>
    <w:tmpl w:val="0742ABAC"/>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701112FC"/>
    <w:multiLevelType w:val="hybridMultilevel"/>
    <w:tmpl w:val="00C4D01C"/>
    <w:lvl w:ilvl="0" w:tplc="44BE7EE6">
      <w:start w:val="3"/>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70A11FCC"/>
    <w:multiLevelType w:val="hybridMultilevel"/>
    <w:tmpl w:val="FD4ACD1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15:restartNumberingAfterBreak="0">
    <w:nsid w:val="73606A4F"/>
    <w:multiLevelType w:val="hybridMultilevel"/>
    <w:tmpl w:val="5F54B0D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74BF076F"/>
    <w:multiLevelType w:val="hybridMultilevel"/>
    <w:tmpl w:val="CF98B6D0"/>
    <w:lvl w:ilvl="0" w:tplc="44BE7EE6">
      <w:start w:val="3"/>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74CB6030"/>
    <w:multiLevelType w:val="hybridMultilevel"/>
    <w:tmpl w:val="C428CC36"/>
    <w:lvl w:ilvl="0" w:tplc="B7C2270E">
      <w:start w:val="1"/>
      <w:numFmt w:val="bullet"/>
      <w:lvlText w:val=""/>
      <w:lvlPicBulletId w:val="0"/>
      <w:lvlJc w:val="left"/>
      <w:pPr>
        <w:ind w:left="2694" w:hanging="360"/>
      </w:pPr>
      <w:rPr>
        <w:rFonts w:ascii="Symbol" w:hAnsi="Symbol" w:hint="default"/>
        <w:color w:val="auto"/>
      </w:rPr>
    </w:lvl>
    <w:lvl w:ilvl="1" w:tplc="0C0A0003" w:tentative="1">
      <w:start w:val="1"/>
      <w:numFmt w:val="bullet"/>
      <w:lvlText w:val="o"/>
      <w:lvlJc w:val="left"/>
      <w:pPr>
        <w:ind w:left="3414" w:hanging="360"/>
      </w:pPr>
      <w:rPr>
        <w:rFonts w:ascii="Courier New" w:hAnsi="Courier New" w:cs="Courier New" w:hint="default"/>
      </w:rPr>
    </w:lvl>
    <w:lvl w:ilvl="2" w:tplc="0C0A0005" w:tentative="1">
      <w:start w:val="1"/>
      <w:numFmt w:val="bullet"/>
      <w:lvlText w:val=""/>
      <w:lvlJc w:val="left"/>
      <w:pPr>
        <w:ind w:left="4134" w:hanging="360"/>
      </w:pPr>
      <w:rPr>
        <w:rFonts w:ascii="Wingdings" w:hAnsi="Wingdings" w:hint="default"/>
      </w:rPr>
    </w:lvl>
    <w:lvl w:ilvl="3" w:tplc="0C0A0001" w:tentative="1">
      <w:start w:val="1"/>
      <w:numFmt w:val="bullet"/>
      <w:lvlText w:val=""/>
      <w:lvlJc w:val="left"/>
      <w:pPr>
        <w:ind w:left="4854" w:hanging="360"/>
      </w:pPr>
      <w:rPr>
        <w:rFonts w:ascii="Symbol" w:hAnsi="Symbol" w:hint="default"/>
      </w:rPr>
    </w:lvl>
    <w:lvl w:ilvl="4" w:tplc="0C0A0003" w:tentative="1">
      <w:start w:val="1"/>
      <w:numFmt w:val="bullet"/>
      <w:lvlText w:val="o"/>
      <w:lvlJc w:val="left"/>
      <w:pPr>
        <w:ind w:left="5574" w:hanging="360"/>
      </w:pPr>
      <w:rPr>
        <w:rFonts w:ascii="Courier New" w:hAnsi="Courier New" w:cs="Courier New" w:hint="default"/>
      </w:rPr>
    </w:lvl>
    <w:lvl w:ilvl="5" w:tplc="0C0A0005" w:tentative="1">
      <w:start w:val="1"/>
      <w:numFmt w:val="bullet"/>
      <w:lvlText w:val=""/>
      <w:lvlJc w:val="left"/>
      <w:pPr>
        <w:ind w:left="6294" w:hanging="360"/>
      </w:pPr>
      <w:rPr>
        <w:rFonts w:ascii="Wingdings" w:hAnsi="Wingdings" w:hint="default"/>
      </w:rPr>
    </w:lvl>
    <w:lvl w:ilvl="6" w:tplc="0C0A0001" w:tentative="1">
      <w:start w:val="1"/>
      <w:numFmt w:val="bullet"/>
      <w:lvlText w:val=""/>
      <w:lvlJc w:val="left"/>
      <w:pPr>
        <w:ind w:left="7014" w:hanging="360"/>
      </w:pPr>
      <w:rPr>
        <w:rFonts w:ascii="Symbol" w:hAnsi="Symbol" w:hint="default"/>
      </w:rPr>
    </w:lvl>
    <w:lvl w:ilvl="7" w:tplc="0C0A0003" w:tentative="1">
      <w:start w:val="1"/>
      <w:numFmt w:val="bullet"/>
      <w:lvlText w:val="o"/>
      <w:lvlJc w:val="left"/>
      <w:pPr>
        <w:ind w:left="7734" w:hanging="360"/>
      </w:pPr>
      <w:rPr>
        <w:rFonts w:ascii="Courier New" w:hAnsi="Courier New" w:cs="Courier New" w:hint="default"/>
      </w:rPr>
    </w:lvl>
    <w:lvl w:ilvl="8" w:tplc="0C0A0005" w:tentative="1">
      <w:start w:val="1"/>
      <w:numFmt w:val="bullet"/>
      <w:lvlText w:val=""/>
      <w:lvlJc w:val="left"/>
      <w:pPr>
        <w:ind w:left="8454" w:hanging="360"/>
      </w:pPr>
      <w:rPr>
        <w:rFonts w:ascii="Wingdings" w:hAnsi="Wingdings" w:hint="default"/>
      </w:rPr>
    </w:lvl>
  </w:abstractNum>
  <w:abstractNum w:abstractNumId="40" w15:restartNumberingAfterBreak="0">
    <w:nsid w:val="74D61923"/>
    <w:multiLevelType w:val="hybridMultilevel"/>
    <w:tmpl w:val="47782CB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9EC365E"/>
    <w:multiLevelType w:val="hybridMultilevel"/>
    <w:tmpl w:val="D30AD64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31"/>
  </w:num>
  <w:num w:numId="2">
    <w:abstractNumId w:val="0"/>
  </w:num>
  <w:num w:numId="3">
    <w:abstractNumId w:val="3"/>
  </w:num>
  <w:num w:numId="4">
    <w:abstractNumId w:val="20"/>
  </w:num>
  <w:num w:numId="5">
    <w:abstractNumId w:val="37"/>
  </w:num>
  <w:num w:numId="6">
    <w:abstractNumId w:val="40"/>
  </w:num>
  <w:num w:numId="7">
    <w:abstractNumId w:val="13"/>
  </w:num>
  <w:num w:numId="8">
    <w:abstractNumId w:val="26"/>
  </w:num>
  <w:num w:numId="9">
    <w:abstractNumId w:val="19"/>
  </w:num>
  <w:num w:numId="10">
    <w:abstractNumId w:val="21"/>
  </w:num>
  <w:num w:numId="11">
    <w:abstractNumId w:val="8"/>
  </w:num>
  <w:num w:numId="12">
    <w:abstractNumId w:val="35"/>
  </w:num>
  <w:num w:numId="13">
    <w:abstractNumId w:val="14"/>
  </w:num>
  <w:num w:numId="14">
    <w:abstractNumId w:val="38"/>
  </w:num>
  <w:num w:numId="15">
    <w:abstractNumId w:val="24"/>
  </w:num>
  <w:num w:numId="16">
    <w:abstractNumId w:val="36"/>
  </w:num>
  <w:num w:numId="17">
    <w:abstractNumId w:val="32"/>
  </w:num>
  <w:num w:numId="18">
    <w:abstractNumId w:val="41"/>
  </w:num>
  <w:num w:numId="19">
    <w:abstractNumId w:val="2"/>
  </w:num>
  <w:num w:numId="20">
    <w:abstractNumId w:val="12"/>
  </w:num>
  <w:num w:numId="21">
    <w:abstractNumId w:val="11"/>
  </w:num>
  <w:num w:numId="22">
    <w:abstractNumId w:val="33"/>
  </w:num>
  <w:num w:numId="23">
    <w:abstractNumId w:val="10"/>
  </w:num>
  <w:num w:numId="24">
    <w:abstractNumId w:val="6"/>
  </w:num>
  <w:num w:numId="25">
    <w:abstractNumId w:val="15"/>
  </w:num>
  <w:num w:numId="26">
    <w:abstractNumId w:val="1"/>
  </w:num>
  <w:num w:numId="27">
    <w:abstractNumId w:val="27"/>
  </w:num>
  <w:num w:numId="28">
    <w:abstractNumId w:val="28"/>
  </w:num>
  <w:num w:numId="29">
    <w:abstractNumId w:val="5"/>
  </w:num>
  <w:num w:numId="30">
    <w:abstractNumId w:val="18"/>
  </w:num>
  <w:num w:numId="31">
    <w:abstractNumId w:val="30"/>
  </w:num>
  <w:num w:numId="32">
    <w:abstractNumId w:val="7"/>
  </w:num>
  <w:num w:numId="33">
    <w:abstractNumId w:val="9"/>
  </w:num>
  <w:num w:numId="34">
    <w:abstractNumId w:val="22"/>
  </w:num>
  <w:num w:numId="35">
    <w:abstractNumId w:val="29"/>
  </w:num>
  <w:num w:numId="36">
    <w:abstractNumId w:val="16"/>
  </w:num>
  <w:num w:numId="37">
    <w:abstractNumId w:val="34"/>
  </w:num>
  <w:num w:numId="38">
    <w:abstractNumId w:val="25"/>
  </w:num>
  <w:num w:numId="39">
    <w:abstractNumId w:val="23"/>
  </w:num>
  <w:num w:numId="40">
    <w:abstractNumId w:val="17"/>
  </w:num>
  <w:num w:numId="41">
    <w:abstractNumId w:val="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4D"/>
    <w:rsid w:val="00000B4A"/>
    <w:rsid w:val="0000645B"/>
    <w:rsid w:val="00010ABB"/>
    <w:rsid w:val="00045207"/>
    <w:rsid w:val="000468A2"/>
    <w:rsid w:val="000527B9"/>
    <w:rsid w:val="000548F1"/>
    <w:rsid w:val="00054B55"/>
    <w:rsid w:val="0005609B"/>
    <w:rsid w:val="000566D6"/>
    <w:rsid w:val="000635B2"/>
    <w:rsid w:val="00067B38"/>
    <w:rsid w:val="00076FFE"/>
    <w:rsid w:val="00080585"/>
    <w:rsid w:val="000950CC"/>
    <w:rsid w:val="000B69F1"/>
    <w:rsid w:val="000C3766"/>
    <w:rsid w:val="000D3E7E"/>
    <w:rsid w:val="000D5ECD"/>
    <w:rsid w:val="000E57B3"/>
    <w:rsid w:val="000E5B8C"/>
    <w:rsid w:val="000E6851"/>
    <w:rsid w:val="001040CA"/>
    <w:rsid w:val="00110661"/>
    <w:rsid w:val="00117849"/>
    <w:rsid w:val="00120BE5"/>
    <w:rsid w:val="00124BDE"/>
    <w:rsid w:val="00124BE5"/>
    <w:rsid w:val="0012682D"/>
    <w:rsid w:val="00132FC9"/>
    <w:rsid w:val="0015116C"/>
    <w:rsid w:val="00155B01"/>
    <w:rsid w:val="00156F30"/>
    <w:rsid w:val="00162A68"/>
    <w:rsid w:val="00177F54"/>
    <w:rsid w:val="00182ECF"/>
    <w:rsid w:val="00184F37"/>
    <w:rsid w:val="00197691"/>
    <w:rsid w:val="001A41D8"/>
    <w:rsid w:val="001A7B62"/>
    <w:rsid w:val="001B79A5"/>
    <w:rsid w:val="001C7A5E"/>
    <w:rsid w:val="001D1621"/>
    <w:rsid w:val="001D33F9"/>
    <w:rsid w:val="001D4DAA"/>
    <w:rsid w:val="001E473B"/>
    <w:rsid w:val="001E7D8D"/>
    <w:rsid w:val="001F3186"/>
    <w:rsid w:val="001F4B26"/>
    <w:rsid w:val="00202007"/>
    <w:rsid w:val="00213698"/>
    <w:rsid w:val="00213D41"/>
    <w:rsid w:val="002166F9"/>
    <w:rsid w:val="00224B29"/>
    <w:rsid w:val="002404AC"/>
    <w:rsid w:val="00247DFF"/>
    <w:rsid w:val="0025496D"/>
    <w:rsid w:val="0025756E"/>
    <w:rsid w:val="002763FD"/>
    <w:rsid w:val="00281184"/>
    <w:rsid w:val="00291232"/>
    <w:rsid w:val="00292FF4"/>
    <w:rsid w:val="002A211D"/>
    <w:rsid w:val="002B104C"/>
    <w:rsid w:val="002B28BA"/>
    <w:rsid w:val="002B3545"/>
    <w:rsid w:val="002C0C80"/>
    <w:rsid w:val="002C2182"/>
    <w:rsid w:val="002D2F0E"/>
    <w:rsid w:val="002E16E7"/>
    <w:rsid w:val="002F2632"/>
    <w:rsid w:val="00305F02"/>
    <w:rsid w:val="003139F3"/>
    <w:rsid w:val="00315AE2"/>
    <w:rsid w:val="003356CD"/>
    <w:rsid w:val="00351688"/>
    <w:rsid w:val="003530A8"/>
    <w:rsid w:val="00360F19"/>
    <w:rsid w:val="00395B9C"/>
    <w:rsid w:val="003A3A75"/>
    <w:rsid w:val="003C23C3"/>
    <w:rsid w:val="003C7FD3"/>
    <w:rsid w:val="003D6337"/>
    <w:rsid w:val="003F6ACF"/>
    <w:rsid w:val="00416C86"/>
    <w:rsid w:val="00417C7D"/>
    <w:rsid w:val="00420BAF"/>
    <w:rsid w:val="00425AD5"/>
    <w:rsid w:val="00433DFD"/>
    <w:rsid w:val="004575F7"/>
    <w:rsid w:val="004678DE"/>
    <w:rsid w:val="00471A19"/>
    <w:rsid w:val="004738E8"/>
    <w:rsid w:val="004844B3"/>
    <w:rsid w:val="00487272"/>
    <w:rsid w:val="00493ABF"/>
    <w:rsid w:val="004A028C"/>
    <w:rsid w:val="004A0C8B"/>
    <w:rsid w:val="004A1254"/>
    <w:rsid w:val="004A690E"/>
    <w:rsid w:val="004D602D"/>
    <w:rsid w:val="004E446E"/>
    <w:rsid w:val="005000A0"/>
    <w:rsid w:val="00502250"/>
    <w:rsid w:val="00505755"/>
    <w:rsid w:val="00533FDC"/>
    <w:rsid w:val="00541146"/>
    <w:rsid w:val="00550BF0"/>
    <w:rsid w:val="00554BCA"/>
    <w:rsid w:val="00570873"/>
    <w:rsid w:val="005744D9"/>
    <w:rsid w:val="00575126"/>
    <w:rsid w:val="00576E6A"/>
    <w:rsid w:val="0059390C"/>
    <w:rsid w:val="005B044A"/>
    <w:rsid w:val="005B45CB"/>
    <w:rsid w:val="005B4BD8"/>
    <w:rsid w:val="005B562C"/>
    <w:rsid w:val="005E4282"/>
    <w:rsid w:val="0061048A"/>
    <w:rsid w:val="006134F7"/>
    <w:rsid w:val="00644B7D"/>
    <w:rsid w:val="0064574A"/>
    <w:rsid w:val="00645B15"/>
    <w:rsid w:val="00653DE3"/>
    <w:rsid w:val="00661CE2"/>
    <w:rsid w:val="0067287E"/>
    <w:rsid w:val="00683FBA"/>
    <w:rsid w:val="006874B7"/>
    <w:rsid w:val="006B1A53"/>
    <w:rsid w:val="006B461B"/>
    <w:rsid w:val="006C0A4A"/>
    <w:rsid w:val="006C40AB"/>
    <w:rsid w:val="006E1119"/>
    <w:rsid w:val="006E3295"/>
    <w:rsid w:val="006F195A"/>
    <w:rsid w:val="006F4D66"/>
    <w:rsid w:val="006F6BC5"/>
    <w:rsid w:val="00712A64"/>
    <w:rsid w:val="00713BFC"/>
    <w:rsid w:val="00740D40"/>
    <w:rsid w:val="007412CB"/>
    <w:rsid w:val="0074367C"/>
    <w:rsid w:val="00750E17"/>
    <w:rsid w:val="0075793D"/>
    <w:rsid w:val="007717DB"/>
    <w:rsid w:val="00773D62"/>
    <w:rsid w:val="007940B0"/>
    <w:rsid w:val="00796D7D"/>
    <w:rsid w:val="007A0E86"/>
    <w:rsid w:val="007A4FD3"/>
    <w:rsid w:val="007A6CB7"/>
    <w:rsid w:val="007A6CCF"/>
    <w:rsid w:val="007A78FF"/>
    <w:rsid w:val="007B17E6"/>
    <w:rsid w:val="007C7073"/>
    <w:rsid w:val="007C7AC1"/>
    <w:rsid w:val="007F6E4D"/>
    <w:rsid w:val="00816D34"/>
    <w:rsid w:val="008371A2"/>
    <w:rsid w:val="00853822"/>
    <w:rsid w:val="00853ADA"/>
    <w:rsid w:val="008563F8"/>
    <w:rsid w:val="0085733F"/>
    <w:rsid w:val="008710EA"/>
    <w:rsid w:val="008A27B8"/>
    <w:rsid w:val="008B580D"/>
    <w:rsid w:val="008C625F"/>
    <w:rsid w:val="008D37B8"/>
    <w:rsid w:val="00920E5B"/>
    <w:rsid w:val="00934B10"/>
    <w:rsid w:val="00934FB2"/>
    <w:rsid w:val="00952AA6"/>
    <w:rsid w:val="00961731"/>
    <w:rsid w:val="00961799"/>
    <w:rsid w:val="00962861"/>
    <w:rsid w:val="0098151B"/>
    <w:rsid w:val="00984C45"/>
    <w:rsid w:val="009851C5"/>
    <w:rsid w:val="0098727F"/>
    <w:rsid w:val="00991E26"/>
    <w:rsid w:val="009A2F47"/>
    <w:rsid w:val="009B0CAE"/>
    <w:rsid w:val="009B5101"/>
    <w:rsid w:val="009C2650"/>
    <w:rsid w:val="009D0CFB"/>
    <w:rsid w:val="009D0FD4"/>
    <w:rsid w:val="009E521A"/>
    <w:rsid w:val="009E6F2A"/>
    <w:rsid w:val="009F0198"/>
    <w:rsid w:val="009F6EC6"/>
    <w:rsid w:val="00A029E2"/>
    <w:rsid w:val="00A03844"/>
    <w:rsid w:val="00A27D03"/>
    <w:rsid w:val="00A3794C"/>
    <w:rsid w:val="00A53340"/>
    <w:rsid w:val="00A55938"/>
    <w:rsid w:val="00A605A4"/>
    <w:rsid w:val="00A737E3"/>
    <w:rsid w:val="00A7659D"/>
    <w:rsid w:val="00A770D3"/>
    <w:rsid w:val="00A81667"/>
    <w:rsid w:val="00A9467F"/>
    <w:rsid w:val="00AA47A9"/>
    <w:rsid w:val="00AB70CA"/>
    <w:rsid w:val="00AC2BB7"/>
    <w:rsid w:val="00AD6D7E"/>
    <w:rsid w:val="00AD72FC"/>
    <w:rsid w:val="00AE3829"/>
    <w:rsid w:val="00AF1602"/>
    <w:rsid w:val="00AF666B"/>
    <w:rsid w:val="00AF6DE5"/>
    <w:rsid w:val="00B12EF9"/>
    <w:rsid w:val="00B12F47"/>
    <w:rsid w:val="00B15A0D"/>
    <w:rsid w:val="00B22440"/>
    <w:rsid w:val="00B26A41"/>
    <w:rsid w:val="00B32575"/>
    <w:rsid w:val="00B34042"/>
    <w:rsid w:val="00B35271"/>
    <w:rsid w:val="00B367B0"/>
    <w:rsid w:val="00B52AD2"/>
    <w:rsid w:val="00B632CA"/>
    <w:rsid w:val="00B86FDC"/>
    <w:rsid w:val="00B910E4"/>
    <w:rsid w:val="00BC4357"/>
    <w:rsid w:val="00BC7D00"/>
    <w:rsid w:val="00C03935"/>
    <w:rsid w:val="00C10E80"/>
    <w:rsid w:val="00C15EE2"/>
    <w:rsid w:val="00C55CFE"/>
    <w:rsid w:val="00C6797D"/>
    <w:rsid w:val="00CA5210"/>
    <w:rsid w:val="00CB05FB"/>
    <w:rsid w:val="00CB5261"/>
    <w:rsid w:val="00CC3DFA"/>
    <w:rsid w:val="00CC4EBC"/>
    <w:rsid w:val="00CC6032"/>
    <w:rsid w:val="00CC6F39"/>
    <w:rsid w:val="00CD4099"/>
    <w:rsid w:val="00CD6315"/>
    <w:rsid w:val="00CE0160"/>
    <w:rsid w:val="00CE7914"/>
    <w:rsid w:val="00CF17B8"/>
    <w:rsid w:val="00D029A6"/>
    <w:rsid w:val="00D02C7C"/>
    <w:rsid w:val="00D043B5"/>
    <w:rsid w:val="00D06BAE"/>
    <w:rsid w:val="00D17541"/>
    <w:rsid w:val="00D21AD9"/>
    <w:rsid w:val="00D32784"/>
    <w:rsid w:val="00D34662"/>
    <w:rsid w:val="00D354AA"/>
    <w:rsid w:val="00D42EE1"/>
    <w:rsid w:val="00D50675"/>
    <w:rsid w:val="00D63E7B"/>
    <w:rsid w:val="00D90639"/>
    <w:rsid w:val="00DB296E"/>
    <w:rsid w:val="00DB4070"/>
    <w:rsid w:val="00DB70E6"/>
    <w:rsid w:val="00DC2DE8"/>
    <w:rsid w:val="00DC3B81"/>
    <w:rsid w:val="00DE420A"/>
    <w:rsid w:val="00DE5FE3"/>
    <w:rsid w:val="00DE7B79"/>
    <w:rsid w:val="00DF310A"/>
    <w:rsid w:val="00E01EDC"/>
    <w:rsid w:val="00E0259D"/>
    <w:rsid w:val="00E214E4"/>
    <w:rsid w:val="00E51403"/>
    <w:rsid w:val="00E516A1"/>
    <w:rsid w:val="00E52EFC"/>
    <w:rsid w:val="00E73FC0"/>
    <w:rsid w:val="00E83FF6"/>
    <w:rsid w:val="00EA23DF"/>
    <w:rsid w:val="00EA2475"/>
    <w:rsid w:val="00EA6661"/>
    <w:rsid w:val="00EA6ED8"/>
    <w:rsid w:val="00EB0264"/>
    <w:rsid w:val="00ED5E5F"/>
    <w:rsid w:val="00EE0FFF"/>
    <w:rsid w:val="00EF4BE4"/>
    <w:rsid w:val="00EF4F99"/>
    <w:rsid w:val="00EF56BE"/>
    <w:rsid w:val="00F06B76"/>
    <w:rsid w:val="00F169F4"/>
    <w:rsid w:val="00F27740"/>
    <w:rsid w:val="00F34EDB"/>
    <w:rsid w:val="00F35F38"/>
    <w:rsid w:val="00F4304C"/>
    <w:rsid w:val="00F4487F"/>
    <w:rsid w:val="00F46008"/>
    <w:rsid w:val="00F517AC"/>
    <w:rsid w:val="00F759B5"/>
    <w:rsid w:val="00F77FC6"/>
    <w:rsid w:val="00F87915"/>
    <w:rsid w:val="00F92D70"/>
    <w:rsid w:val="00F9473C"/>
    <w:rsid w:val="00FB153F"/>
    <w:rsid w:val="00FB277A"/>
    <w:rsid w:val="00FC725B"/>
    <w:rsid w:val="00FC7F10"/>
    <w:rsid w:val="00FD67C2"/>
    <w:rsid w:val="00FF02F3"/>
    <w:rsid w:val="00FF6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B3F9C"/>
  <w15:chartTrackingRefBased/>
  <w15:docId w15:val="{8AA1FDF2-3B4C-4582-B058-D7B053A8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lang w:val="es-ES_tradnl"/>
    </w:rPr>
  </w:style>
  <w:style w:type="paragraph" w:styleId="Ttulo1">
    <w:name w:val="heading 1"/>
    <w:basedOn w:val="Normal"/>
    <w:next w:val="Normal"/>
    <w:qFormat/>
    <w:pPr>
      <w:keepNext/>
      <w:spacing w:line="320" w:lineRule="exact"/>
      <w:outlineLvl w:val="0"/>
    </w:pPr>
    <w:rPr>
      <w:rFonts w:ascii="Arial Narrow" w:hAnsi="Arial Narrow"/>
      <w:b/>
      <w:spacing w:val="408"/>
      <w:sz w:val="16"/>
    </w:rPr>
  </w:style>
  <w:style w:type="paragraph" w:styleId="Ttulo2">
    <w:name w:val="heading 2"/>
    <w:basedOn w:val="Normal"/>
    <w:next w:val="Normal"/>
    <w:qFormat/>
    <w:pPr>
      <w:keepNext/>
      <w:spacing w:line="320" w:lineRule="exact"/>
      <w:outlineLvl w:val="1"/>
    </w:pPr>
    <w:rPr>
      <w:rFonts w:ascii="Arial Narrow" w:hAnsi="Arial Narrow"/>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customStyle="1" w:styleId="EncabezadoCar">
    <w:name w:val="Encabezado Car"/>
    <w:link w:val="Encabezado"/>
    <w:uiPriority w:val="99"/>
    <w:rsid w:val="00B26A41"/>
    <w:rPr>
      <w:sz w:val="22"/>
      <w:lang w:val="es-ES_tradnl"/>
    </w:rPr>
  </w:style>
  <w:style w:type="character" w:customStyle="1" w:styleId="PiedepginaCar">
    <w:name w:val="Pie de página Car"/>
    <w:basedOn w:val="Fuentedeprrafopredeter"/>
    <w:link w:val="Piedepgina"/>
    <w:uiPriority w:val="99"/>
    <w:rsid w:val="005B4BD8"/>
    <w:rPr>
      <w:sz w:val="22"/>
      <w:lang w:val="es-ES_tradnl"/>
    </w:rPr>
  </w:style>
  <w:style w:type="paragraph" w:styleId="Prrafodelista">
    <w:name w:val="List Paragraph"/>
    <w:basedOn w:val="Normal"/>
    <w:link w:val="PrrafodelistaCar"/>
    <w:uiPriority w:val="34"/>
    <w:qFormat/>
    <w:rsid w:val="005B4BD8"/>
    <w:pPr>
      <w:ind w:left="720"/>
      <w:contextualSpacing/>
    </w:pPr>
  </w:style>
  <w:style w:type="table" w:styleId="Tablaconcuadrcula">
    <w:name w:val="Table Grid"/>
    <w:basedOn w:val="Tablanormal"/>
    <w:uiPriority w:val="59"/>
    <w:rsid w:val="005B4B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B4B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5B4BD8"/>
    <w:rPr>
      <w:color w:val="0563C1" w:themeColor="hyperlink"/>
      <w:u w:val="single"/>
    </w:rPr>
  </w:style>
  <w:style w:type="character" w:customStyle="1" w:styleId="PrrafodelistaCar">
    <w:name w:val="Párrafo de lista Car"/>
    <w:link w:val="Prrafodelista"/>
    <w:uiPriority w:val="34"/>
    <w:locked/>
    <w:rsid w:val="005B4BD8"/>
    <w:rPr>
      <w:sz w:val="22"/>
      <w:lang w:val="es-ES_tradnl"/>
    </w:rPr>
  </w:style>
  <w:style w:type="character" w:styleId="Hipervnculovisitado">
    <w:name w:val="FollowedHyperlink"/>
    <w:basedOn w:val="Fuentedeprrafopredeter"/>
    <w:rsid w:val="005B4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326A-AAD3-4460-858C-23A56900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1482</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NOTA INTERIOR</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INTERIOR</dc:title>
  <dc:subject/>
  <dc:creator>SECR238</dc:creator>
  <cp:keywords/>
  <dc:description/>
  <cp:lastModifiedBy>Morillas González. María Antonia</cp:lastModifiedBy>
  <cp:revision>9</cp:revision>
  <cp:lastPrinted>2020-10-30T08:23:00Z</cp:lastPrinted>
  <dcterms:created xsi:type="dcterms:W3CDTF">2021-07-19T16:19:00Z</dcterms:created>
  <dcterms:modified xsi:type="dcterms:W3CDTF">2021-07-19T17:34:00Z</dcterms:modified>
</cp:coreProperties>
</file>