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8C" w:rsidRPr="0059441A" w:rsidRDefault="00903596" w:rsidP="00B11F6F">
      <w:pPr>
        <w:spacing w:after="120"/>
        <w:jc w:val="right"/>
        <w:rPr>
          <w:rFonts w:ascii="Tahoma" w:hAnsi="Tahoma" w:cs="Tahoma"/>
        </w:rPr>
      </w:pPr>
      <w:bookmarkStart w:id="0" w:name="_GoBack"/>
      <w:bookmarkEnd w:id="0"/>
      <w:r w:rsidRPr="0059441A">
        <w:rPr>
          <w:rFonts w:ascii="Tahoma" w:hAnsi="Tahoma" w:cs="Tahoma"/>
        </w:rPr>
        <w:t xml:space="preserve">Madrid, </w:t>
      </w:r>
      <w:r w:rsidR="0081490E">
        <w:rPr>
          <w:rFonts w:ascii="Tahoma" w:hAnsi="Tahoma" w:cs="Tahoma"/>
        </w:rPr>
        <w:t>9</w:t>
      </w:r>
      <w:r w:rsidR="00243747" w:rsidRPr="0059441A">
        <w:rPr>
          <w:rFonts w:ascii="Tahoma" w:hAnsi="Tahoma" w:cs="Tahoma"/>
        </w:rPr>
        <w:t xml:space="preserve"> de ju</w:t>
      </w:r>
      <w:r w:rsidR="00BF6F18" w:rsidRPr="0059441A">
        <w:rPr>
          <w:rFonts w:ascii="Tahoma" w:hAnsi="Tahoma" w:cs="Tahoma"/>
        </w:rPr>
        <w:t>l</w:t>
      </w:r>
      <w:r w:rsidR="00243747" w:rsidRPr="0059441A">
        <w:rPr>
          <w:rFonts w:ascii="Tahoma" w:hAnsi="Tahoma" w:cs="Tahoma"/>
        </w:rPr>
        <w:t>io</w:t>
      </w:r>
      <w:r w:rsidRPr="0059441A">
        <w:rPr>
          <w:rFonts w:ascii="Tahoma" w:hAnsi="Tahoma" w:cs="Tahoma"/>
        </w:rPr>
        <w:t xml:space="preserve"> de 2021</w:t>
      </w:r>
    </w:p>
    <w:p w:rsidR="00390E8C" w:rsidRPr="0059441A" w:rsidRDefault="00390E8C" w:rsidP="00B11F6F">
      <w:pPr>
        <w:spacing w:after="120"/>
        <w:jc w:val="both"/>
        <w:rPr>
          <w:rFonts w:ascii="Tahoma" w:hAnsi="Tahoma" w:cs="Tahoma"/>
          <w:b/>
        </w:rPr>
      </w:pPr>
    </w:p>
    <w:p w:rsidR="00390E8C" w:rsidRPr="0059441A" w:rsidRDefault="00835310" w:rsidP="00B11F6F">
      <w:pPr>
        <w:spacing w:after="120"/>
        <w:jc w:val="both"/>
        <w:rPr>
          <w:rFonts w:ascii="Tahoma" w:hAnsi="Tahoma" w:cs="Tahoma"/>
          <w:b/>
        </w:rPr>
      </w:pPr>
      <w:r w:rsidRPr="0059441A">
        <w:rPr>
          <w:rFonts w:ascii="Tahoma" w:hAnsi="Tahoma" w:cs="Tahoma"/>
          <w:b/>
        </w:rPr>
        <w:t>OBSERVACIONES</w:t>
      </w:r>
      <w:r w:rsidR="004341F2" w:rsidRPr="0059441A">
        <w:rPr>
          <w:rFonts w:ascii="Tahoma" w:hAnsi="Tahoma" w:cs="Tahoma"/>
          <w:b/>
        </w:rPr>
        <w:t xml:space="preserve"> AL INFORME DE EVALUACIÓN SOBRE EL CUMPLIMIENTO DE LAS OB</w:t>
      </w:r>
      <w:r w:rsidR="00DB103D" w:rsidRPr="0059441A">
        <w:rPr>
          <w:rFonts w:ascii="Tahoma" w:hAnsi="Tahoma" w:cs="Tahoma"/>
          <w:b/>
        </w:rPr>
        <w:t>LIGACIONES DE PUBLICIDAD ACTIVA</w:t>
      </w:r>
    </w:p>
    <w:p w:rsidR="00DB103D" w:rsidRPr="0059441A" w:rsidRDefault="00DB103D" w:rsidP="00B11F6F">
      <w:pPr>
        <w:spacing w:after="120"/>
        <w:jc w:val="both"/>
        <w:rPr>
          <w:rFonts w:ascii="Tahoma" w:hAnsi="Tahoma" w:cs="Tahoma"/>
          <w:b/>
        </w:rPr>
      </w:pPr>
    </w:p>
    <w:p w:rsidR="00790245" w:rsidRPr="0059441A" w:rsidRDefault="00790245" w:rsidP="00E22430">
      <w:pPr>
        <w:tabs>
          <w:tab w:val="left" w:pos="0"/>
        </w:tabs>
        <w:suppressAutoHyphens/>
        <w:spacing w:after="120"/>
        <w:jc w:val="both"/>
        <w:rPr>
          <w:rFonts w:ascii="Tahoma" w:hAnsi="Tahoma" w:cs="Tahoma"/>
          <w:b/>
          <w:color w:val="000000" w:themeColor="text1"/>
        </w:rPr>
      </w:pPr>
      <w:r w:rsidRPr="0059441A">
        <w:rPr>
          <w:rFonts w:ascii="Tahoma" w:hAnsi="Tahoma" w:cs="Tahoma"/>
          <w:color w:val="000000" w:themeColor="text1"/>
        </w:rPr>
        <w:t>Se ha recibido el pasado 28 de junio informe de evaluaci</w:t>
      </w:r>
      <w:r w:rsidR="007759EF" w:rsidRPr="0059441A">
        <w:rPr>
          <w:rFonts w:ascii="Tahoma" w:hAnsi="Tahoma" w:cs="Tahoma"/>
          <w:color w:val="000000" w:themeColor="text1"/>
        </w:rPr>
        <w:t xml:space="preserve">ón sobre el cumplimiento </w:t>
      </w:r>
      <w:r w:rsidR="0085799A" w:rsidRPr="0059441A">
        <w:rPr>
          <w:rFonts w:ascii="Tahoma" w:hAnsi="Tahoma" w:cs="Tahoma"/>
          <w:color w:val="000000" w:themeColor="text1"/>
        </w:rPr>
        <w:t>de las obligaciones de publicida</w:t>
      </w:r>
      <w:r w:rsidRPr="0059441A">
        <w:rPr>
          <w:rFonts w:ascii="Tahoma" w:hAnsi="Tahoma" w:cs="Tahoma"/>
          <w:color w:val="000000" w:themeColor="text1"/>
        </w:rPr>
        <w:t xml:space="preserve">d Activa </w:t>
      </w:r>
      <w:r w:rsidR="007759EF" w:rsidRPr="0059441A">
        <w:rPr>
          <w:rFonts w:ascii="Tahoma" w:hAnsi="Tahoma" w:cs="Tahoma"/>
          <w:color w:val="000000" w:themeColor="text1"/>
        </w:rPr>
        <w:t>de SEPES</w:t>
      </w:r>
      <w:r w:rsidR="00835310" w:rsidRPr="0059441A">
        <w:rPr>
          <w:rFonts w:ascii="Tahoma" w:hAnsi="Tahoma" w:cs="Tahoma"/>
          <w:color w:val="000000" w:themeColor="text1"/>
        </w:rPr>
        <w:t>, remitido por el Subdirector General de Transparencia y Buen Gobierno</w:t>
      </w:r>
      <w:r w:rsidR="007759EF" w:rsidRPr="0059441A">
        <w:rPr>
          <w:rFonts w:ascii="Tahoma" w:hAnsi="Tahoma" w:cs="Tahoma"/>
          <w:color w:val="000000" w:themeColor="text1"/>
        </w:rPr>
        <w:t xml:space="preserve">. Una vez analizado el citado informe, </w:t>
      </w:r>
      <w:r w:rsidR="00617282" w:rsidRPr="0059441A">
        <w:rPr>
          <w:rFonts w:ascii="Tahoma" w:hAnsi="Tahoma" w:cs="Tahoma"/>
          <w:color w:val="000000" w:themeColor="text1"/>
        </w:rPr>
        <w:t xml:space="preserve">y dentro del plazo concedido al efecto, </w:t>
      </w:r>
      <w:r w:rsidR="007759EF" w:rsidRPr="0059441A">
        <w:rPr>
          <w:rFonts w:ascii="Tahoma" w:hAnsi="Tahoma" w:cs="Tahoma"/>
          <w:color w:val="000000" w:themeColor="text1"/>
        </w:rPr>
        <w:t xml:space="preserve">se redacta </w:t>
      </w:r>
      <w:r w:rsidR="00617282" w:rsidRPr="0059441A">
        <w:rPr>
          <w:rFonts w:ascii="Tahoma" w:hAnsi="Tahoma" w:cs="Tahoma"/>
          <w:color w:val="000000" w:themeColor="text1"/>
        </w:rPr>
        <w:t xml:space="preserve">y envía </w:t>
      </w:r>
      <w:r w:rsidR="007759EF" w:rsidRPr="0059441A">
        <w:rPr>
          <w:rFonts w:ascii="Tahoma" w:hAnsi="Tahoma" w:cs="Tahoma"/>
          <w:color w:val="000000" w:themeColor="text1"/>
        </w:rPr>
        <w:t xml:space="preserve">el presente </w:t>
      </w:r>
      <w:r w:rsidR="00617282" w:rsidRPr="0059441A">
        <w:rPr>
          <w:rFonts w:ascii="Tahoma" w:hAnsi="Tahoma" w:cs="Tahoma"/>
          <w:color w:val="000000" w:themeColor="text1"/>
        </w:rPr>
        <w:t xml:space="preserve">documento </w:t>
      </w:r>
      <w:r w:rsidR="007759EF" w:rsidRPr="0059441A">
        <w:rPr>
          <w:rFonts w:ascii="Tahoma" w:hAnsi="Tahoma" w:cs="Tahoma"/>
          <w:color w:val="000000" w:themeColor="text1"/>
        </w:rPr>
        <w:t>con los comentarios y observaciones al mismo que a continuación se detallan:</w:t>
      </w:r>
    </w:p>
    <w:p w:rsidR="00790245" w:rsidRPr="0059441A" w:rsidRDefault="00790245" w:rsidP="00E22430">
      <w:pPr>
        <w:tabs>
          <w:tab w:val="left" w:pos="0"/>
        </w:tabs>
        <w:suppressAutoHyphens/>
        <w:spacing w:after="120"/>
        <w:jc w:val="both"/>
        <w:rPr>
          <w:rFonts w:ascii="Tahoma" w:hAnsi="Tahoma" w:cs="Tahoma"/>
          <w:b/>
          <w:color w:val="000000" w:themeColor="text1"/>
        </w:rPr>
      </w:pPr>
    </w:p>
    <w:p w:rsidR="00B64E67" w:rsidRPr="0059441A" w:rsidRDefault="00617282" w:rsidP="00E22430">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Siguiendo la estructura del informe</w:t>
      </w:r>
      <w:r w:rsidR="00A37395" w:rsidRPr="0059441A">
        <w:rPr>
          <w:rFonts w:ascii="Tahoma" w:hAnsi="Tahoma" w:cs="Tahoma"/>
          <w:color w:val="000000" w:themeColor="text1"/>
        </w:rPr>
        <w:t xml:space="preserve">, se analizan las carencias que han motivado que el </w:t>
      </w:r>
      <w:r w:rsidR="00B64E67" w:rsidRPr="0059441A">
        <w:rPr>
          <w:rFonts w:ascii="Tahoma" w:hAnsi="Tahoma" w:cs="Tahoma"/>
          <w:color w:val="000000" w:themeColor="text1"/>
        </w:rPr>
        <w:t>Í</w:t>
      </w:r>
      <w:r w:rsidR="00A37395" w:rsidRPr="0059441A">
        <w:rPr>
          <w:rFonts w:ascii="Tahoma" w:hAnsi="Tahoma" w:cs="Tahoma"/>
          <w:color w:val="000000" w:themeColor="text1"/>
        </w:rPr>
        <w:t xml:space="preserve">ndice de Cumplimiento de la </w:t>
      </w:r>
      <w:r w:rsidR="0081490E" w:rsidRPr="0059441A">
        <w:rPr>
          <w:rFonts w:ascii="Tahoma" w:hAnsi="Tahoma" w:cs="Tahoma"/>
          <w:color w:val="000000" w:themeColor="text1"/>
        </w:rPr>
        <w:t>Información</w:t>
      </w:r>
      <w:r w:rsidR="00A37395" w:rsidRPr="0059441A">
        <w:rPr>
          <w:rFonts w:ascii="Tahoma" w:hAnsi="Tahoma" w:cs="Tahoma"/>
          <w:color w:val="000000" w:themeColor="text1"/>
        </w:rPr>
        <w:t xml:space="preserve"> Obligatoria (ICIO) </w:t>
      </w:r>
      <w:r w:rsidR="00B64E67" w:rsidRPr="0059441A">
        <w:rPr>
          <w:rFonts w:ascii="Tahoma" w:hAnsi="Tahoma" w:cs="Tahoma"/>
          <w:color w:val="000000" w:themeColor="text1"/>
        </w:rPr>
        <w:t xml:space="preserve">no alcance el 100% de cumplimiento, distinguiendo en primer lugar las cuestiones que, a juicio de la Entidad, suponen un error material o de apreciación incorrecta de </w:t>
      </w:r>
      <w:r w:rsidR="0081490E" w:rsidRPr="0059441A">
        <w:rPr>
          <w:rFonts w:ascii="Tahoma" w:hAnsi="Tahoma" w:cs="Tahoma"/>
          <w:color w:val="000000" w:themeColor="text1"/>
        </w:rPr>
        <w:t>circunstancias</w:t>
      </w:r>
      <w:r w:rsidR="00B64E67" w:rsidRPr="0059441A">
        <w:rPr>
          <w:rFonts w:ascii="Tahoma" w:hAnsi="Tahoma" w:cs="Tahoma"/>
          <w:color w:val="000000" w:themeColor="text1"/>
        </w:rPr>
        <w:t xml:space="preserve"> de hecho, susceptibles de revisión.</w:t>
      </w:r>
    </w:p>
    <w:p w:rsidR="00B64E67" w:rsidRPr="0059441A" w:rsidRDefault="00B64E67" w:rsidP="00E22430">
      <w:pPr>
        <w:tabs>
          <w:tab w:val="left" w:pos="0"/>
        </w:tabs>
        <w:suppressAutoHyphens/>
        <w:spacing w:after="120"/>
        <w:jc w:val="both"/>
        <w:rPr>
          <w:rFonts w:ascii="Tahoma" w:hAnsi="Tahoma" w:cs="Tahoma"/>
          <w:color w:val="000000" w:themeColor="text1"/>
        </w:rPr>
      </w:pPr>
    </w:p>
    <w:p w:rsidR="00B64E67" w:rsidRPr="0059441A" w:rsidRDefault="00B64E67" w:rsidP="00E22430">
      <w:pPr>
        <w:tabs>
          <w:tab w:val="left" w:pos="0"/>
        </w:tabs>
        <w:suppressAutoHyphens/>
        <w:spacing w:after="120"/>
        <w:jc w:val="both"/>
        <w:rPr>
          <w:rFonts w:ascii="Tahoma" w:hAnsi="Tahoma" w:cs="Tahoma"/>
          <w:color w:val="000000" w:themeColor="text1"/>
        </w:rPr>
      </w:pPr>
      <w:r w:rsidRPr="0059441A">
        <w:rPr>
          <w:rFonts w:ascii="Tahoma" w:hAnsi="Tahoma" w:cs="Tahoma"/>
          <w:b/>
          <w:color w:val="000000" w:themeColor="text1"/>
        </w:rPr>
        <w:t xml:space="preserve">Error material en la determinación del Índice de Cumplimiento de la </w:t>
      </w:r>
      <w:r w:rsidR="0081490E" w:rsidRPr="0059441A">
        <w:rPr>
          <w:rFonts w:ascii="Tahoma" w:hAnsi="Tahoma" w:cs="Tahoma"/>
          <w:b/>
          <w:color w:val="000000" w:themeColor="text1"/>
        </w:rPr>
        <w:t>Información</w:t>
      </w:r>
      <w:r w:rsidRPr="0059441A">
        <w:rPr>
          <w:rFonts w:ascii="Tahoma" w:hAnsi="Tahoma" w:cs="Tahoma"/>
          <w:b/>
          <w:color w:val="000000" w:themeColor="text1"/>
        </w:rPr>
        <w:t xml:space="preserve"> Obligatoria (ICIO</w:t>
      </w:r>
      <w:r w:rsidRPr="0059441A">
        <w:rPr>
          <w:rFonts w:ascii="Tahoma" w:hAnsi="Tahoma" w:cs="Tahoma"/>
          <w:color w:val="000000" w:themeColor="text1"/>
        </w:rPr>
        <w:t>):</w:t>
      </w:r>
    </w:p>
    <w:p w:rsidR="00B64E67" w:rsidRPr="0059441A" w:rsidRDefault="00B64E67" w:rsidP="00E22430">
      <w:pPr>
        <w:tabs>
          <w:tab w:val="left" w:pos="0"/>
        </w:tabs>
        <w:suppressAutoHyphens/>
        <w:spacing w:after="120"/>
        <w:jc w:val="both"/>
        <w:rPr>
          <w:rFonts w:ascii="Tahoma" w:hAnsi="Tahoma" w:cs="Tahoma"/>
          <w:color w:val="000000" w:themeColor="text1"/>
        </w:rPr>
      </w:pPr>
    </w:p>
    <w:p w:rsidR="00B64E67" w:rsidRPr="0059441A" w:rsidRDefault="00B64E67" w:rsidP="00E22430">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El apartado III del informe incorpora una tabla que resume los porcentajes de cumplimiento en atención a cuatro bloques de información, distinguiendo valores en fu</w:t>
      </w:r>
      <w:r w:rsidR="00EE3A0C" w:rsidRPr="0059441A">
        <w:rPr>
          <w:rFonts w:ascii="Tahoma" w:hAnsi="Tahoma" w:cs="Tahoma"/>
          <w:color w:val="000000" w:themeColor="text1"/>
        </w:rPr>
        <w:t>n</w:t>
      </w:r>
      <w:r w:rsidRPr="0059441A">
        <w:rPr>
          <w:rFonts w:ascii="Tahoma" w:hAnsi="Tahoma" w:cs="Tahoma"/>
          <w:color w:val="000000" w:themeColor="text1"/>
        </w:rPr>
        <w:t>ción del contenido, la forma, la estructuración, la accesibilidad, la claridad, la reutilización y la actualización, obteniendo un porcentaje total de cumplimiento (por bloques de información y en su conjunto).</w:t>
      </w:r>
    </w:p>
    <w:p w:rsidR="00DB103D" w:rsidRPr="0059441A" w:rsidRDefault="00DB103D" w:rsidP="00E22430">
      <w:pPr>
        <w:tabs>
          <w:tab w:val="left" w:pos="0"/>
        </w:tabs>
        <w:suppressAutoHyphens/>
        <w:spacing w:after="120"/>
        <w:jc w:val="both"/>
        <w:rPr>
          <w:rFonts w:ascii="Tahoma" w:hAnsi="Tahoma" w:cs="Tahoma"/>
          <w:color w:val="000000" w:themeColor="text1"/>
        </w:rPr>
      </w:pPr>
    </w:p>
    <w:tbl>
      <w:tblPr>
        <w:tblStyle w:val="Sombreadomedio2-nfasis3"/>
        <w:tblW w:w="9381" w:type="dxa"/>
        <w:tblLook w:val="04A0" w:firstRow="1" w:lastRow="0" w:firstColumn="1" w:lastColumn="0" w:noHBand="0" w:noVBand="1"/>
      </w:tblPr>
      <w:tblGrid>
        <w:gridCol w:w="3261"/>
        <w:gridCol w:w="765"/>
        <w:gridCol w:w="765"/>
        <w:gridCol w:w="765"/>
        <w:gridCol w:w="765"/>
        <w:gridCol w:w="765"/>
        <w:gridCol w:w="765"/>
        <w:gridCol w:w="765"/>
        <w:gridCol w:w="765"/>
      </w:tblGrid>
      <w:tr w:rsidR="00DB103D" w:rsidRPr="0059441A" w:rsidTr="00DB103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3261" w:type="dxa"/>
            <w:tcBorders>
              <w:top w:val="single" w:sz="18" w:space="0" w:color="FFFFFF" w:themeColor="background1"/>
              <w:bottom w:val="single" w:sz="18" w:space="0" w:color="FFFFFF" w:themeColor="background1"/>
            </w:tcBorders>
            <w:shd w:val="clear" w:color="auto" w:fill="00642D"/>
            <w:noWrap/>
            <w:textDirection w:val="btLr"/>
            <w:hideMark/>
          </w:tcPr>
          <w:p w:rsidR="00DB103D" w:rsidRPr="0059441A" w:rsidRDefault="00DB103D" w:rsidP="008D422C">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DB103D" w:rsidRPr="0059441A" w:rsidRDefault="00DB103D" w:rsidP="008D422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DB103D" w:rsidRPr="0059441A" w:rsidRDefault="00DB103D" w:rsidP="008D422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DB103D" w:rsidRPr="0059441A" w:rsidRDefault="00DB103D" w:rsidP="008D422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DB103D" w:rsidRPr="0059441A" w:rsidRDefault="00DB103D" w:rsidP="008D422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DB103D" w:rsidRPr="0059441A" w:rsidRDefault="00DB103D" w:rsidP="008D422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DB103D" w:rsidRPr="0059441A" w:rsidRDefault="00DB103D" w:rsidP="008D422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DB103D" w:rsidRPr="0059441A" w:rsidRDefault="00DB103D" w:rsidP="008D422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DB103D" w:rsidRPr="0059441A" w:rsidRDefault="00DB103D" w:rsidP="008D422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Total</w:t>
            </w:r>
          </w:p>
        </w:tc>
      </w:tr>
      <w:tr w:rsidR="00DB103D" w:rsidRPr="0059441A" w:rsidTr="00DB103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B103D" w:rsidRPr="0059441A" w:rsidRDefault="00DB103D" w:rsidP="008D422C">
            <w:pPr>
              <w:spacing w:before="120" w:after="120" w:line="312" w:lineRule="auto"/>
              <w:rPr>
                <w:rFonts w:cs="Calibri"/>
                <w:sz w:val="16"/>
                <w:szCs w:val="16"/>
              </w:rPr>
            </w:pPr>
            <w:r w:rsidRPr="0059441A">
              <w:rPr>
                <w:rFonts w:cs="Calibri"/>
                <w:sz w:val="16"/>
                <w:szCs w:val="16"/>
              </w:rPr>
              <w:t>Institucional, Organizativa y de Planificación</w:t>
            </w:r>
          </w:p>
        </w:tc>
        <w:tc>
          <w:tcPr>
            <w:tcW w:w="0" w:type="auto"/>
            <w:tcBorders>
              <w:left w:val="single" w:sz="18" w:space="0" w:color="FFFFFF" w:themeColor="background1"/>
            </w:tcBorders>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85,0%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70,0%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86,4%</w:t>
            </w:r>
          </w:p>
        </w:tc>
      </w:tr>
      <w:tr w:rsidR="00DB103D" w:rsidRPr="0059441A" w:rsidTr="00DB103D">
        <w:trPr>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B103D" w:rsidRPr="0059441A" w:rsidRDefault="00DB103D" w:rsidP="008D422C">
            <w:pPr>
              <w:spacing w:before="120" w:after="120" w:line="312" w:lineRule="auto"/>
              <w:jc w:val="both"/>
              <w:rPr>
                <w:rFonts w:cs="Calibri"/>
                <w:sz w:val="16"/>
                <w:szCs w:val="16"/>
              </w:rPr>
            </w:pPr>
            <w:r w:rsidRPr="0059441A">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DB103D" w:rsidRPr="0059441A" w:rsidRDefault="00DB103D" w:rsidP="008D422C">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59441A">
              <w:rPr>
                <w:sz w:val="16"/>
                <w:szCs w:val="16"/>
              </w:rPr>
              <w:t>NO APLICABLE</w:t>
            </w:r>
          </w:p>
        </w:tc>
      </w:tr>
      <w:tr w:rsidR="00DB103D" w:rsidRPr="0059441A" w:rsidTr="00DB103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B103D" w:rsidRPr="0059441A" w:rsidRDefault="00DB103D" w:rsidP="008D422C">
            <w:pPr>
              <w:spacing w:before="120" w:after="120" w:line="312" w:lineRule="auto"/>
              <w:rPr>
                <w:rFonts w:cs="Calibri"/>
                <w:sz w:val="16"/>
                <w:szCs w:val="16"/>
              </w:rPr>
            </w:pPr>
            <w:r w:rsidRPr="0059441A">
              <w:rPr>
                <w:rFonts w:cs="Calibri"/>
                <w:sz w:val="16"/>
                <w:szCs w:val="16"/>
              </w:rPr>
              <w:t>Económica , Presupuestaria y Estadística</w:t>
            </w:r>
          </w:p>
        </w:tc>
        <w:tc>
          <w:tcPr>
            <w:tcW w:w="0" w:type="auto"/>
            <w:tcBorders>
              <w:left w:val="single" w:sz="18" w:space="0" w:color="FFFFFF" w:themeColor="background1"/>
            </w:tcBorders>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76,1%</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71,4%</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78,6%</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71,4%</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78,6%</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78,6%</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75,0%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75,7%</w:t>
            </w:r>
          </w:p>
        </w:tc>
      </w:tr>
      <w:tr w:rsidR="00DB103D" w:rsidRPr="0059441A" w:rsidTr="00DB103D">
        <w:trPr>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B103D" w:rsidRPr="0059441A" w:rsidRDefault="00DB103D" w:rsidP="008D422C">
            <w:pPr>
              <w:spacing w:before="120" w:after="120" w:line="312" w:lineRule="auto"/>
              <w:rPr>
                <w:rFonts w:cs="Calibri"/>
                <w:sz w:val="16"/>
                <w:szCs w:val="16"/>
              </w:rPr>
            </w:pPr>
            <w:r w:rsidRPr="0059441A">
              <w:rPr>
                <w:rFonts w:cs="Calibri"/>
                <w:sz w:val="16"/>
                <w:szCs w:val="16"/>
              </w:rPr>
              <w:t>Información patrimonial</w:t>
            </w:r>
          </w:p>
        </w:tc>
        <w:tc>
          <w:tcPr>
            <w:tcW w:w="0" w:type="auto"/>
            <w:tcBorders>
              <w:left w:val="single" w:sz="18" w:space="0" w:color="FFFFFF" w:themeColor="background1"/>
            </w:tcBorders>
            <w:noWrap/>
            <w:vAlign w:val="center"/>
          </w:tcPr>
          <w:p w:rsidR="00DB103D" w:rsidRPr="0059441A" w:rsidRDefault="00DB103D" w:rsidP="008D42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100,0%</w:t>
            </w:r>
          </w:p>
        </w:tc>
        <w:tc>
          <w:tcPr>
            <w:tcW w:w="0" w:type="auto"/>
            <w:noWrap/>
            <w:vAlign w:val="center"/>
          </w:tcPr>
          <w:p w:rsidR="00DB103D" w:rsidRPr="0059441A" w:rsidRDefault="00DB103D" w:rsidP="008D42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100,0%</w:t>
            </w:r>
          </w:p>
        </w:tc>
        <w:tc>
          <w:tcPr>
            <w:tcW w:w="0" w:type="auto"/>
            <w:noWrap/>
            <w:vAlign w:val="center"/>
          </w:tcPr>
          <w:p w:rsidR="00DB103D" w:rsidRPr="0059441A" w:rsidRDefault="00DB103D" w:rsidP="008D42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100,0%</w:t>
            </w:r>
          </w:p>
        </w:tc>
        <w:tc>
          <w:tcPr>
            <w:tcW w:w="0" w:type="auto"/>
            <w:noWrap/>
            <w:vAlign w:val="center"/>
          </w:tcPr>
          <w:p w:rsidR="00DB103D" w:rsidRPr="0059441A" w:rsidRDefault="00DB103D" w:rsidP="008D42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100,0%</w:t>
            </w:r>
          </w:p>
        </w:tc>
        <w:tc>
          <w:tcPr>
            <w:tcW w:w="0" w:type="auto"/>
            <w:noWrap/>
            <w:vAlign w:val="center"/>
          </w:tcPr>
          <w:p w:rsidR="00DB103D" w:rsidRPr="0059441A" w:rsidRDefault="00DB103D" w:rsidP="008D42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100,0%</w:t>
            </w:r>
          </w:p>
        </w:tc>
        <w:tc>
          <w:tcPr>
            <w:tcW w:w="0" w:type="auto"/>
            <w:noWrap/>
            <w:vAlign w:val="center"/>
          </w:tcPr>
          <w:p w:rsidR="00DB103D" w:rsidRPr="0059441A" w:rsidRDefault="00DB103D" w:rsidP="008D42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100,0%</w:t>
            </w:r>
          </w:p>
        </w:tc>
        <w:tc>
          <w:tcPr>
            <w:tcW w:w="0" w:type="auto"/>
            <w:noWrap/>
            <w:vAlign w:val="center"/>
          </w:tcPr>
          <w:p w:rsidR="00DB103D" w:rsidRPr="0059441A" w:rsidRDefault="00DB103D" w:rsidP="008D42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100,0%</w:t>
            </w:r>
          </w:p>
        </w:tc>
        <w:tc>
          <w:tcPr>
            <w:tcW w:w="0" w:type="auto"/>
            <w:noWrap/>
            <w:vAlign w:val="center"/>
          </w:tcPr>
          <w:p w:rsidR="00DB103D" w:rsidRPr="0059441A" w:rsidRDefault="00DB103D" w:rsidP="008D42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100,0%</w:t>
            </w:r>
          </w:p>
        </w:tc>
      </w:tr>
      <w:tr w:rsidR="00DB103D" w:rsidRPr="0059441A" w:rsidTr="00DB103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B103D" w:rsidRPr="0059441A" w:rsidRDefault="00DB103D" w:rsidP="008D422C">
            <w:pPr>
              <w:spacing w:before="120" w:after="120" w:line="312" w:lineRule="auto"/>
              <w:jc w:val="right"/>
              <w:rPr>
                <w:rFonts w:cs="Calibri"/>
                <w:i/>
                <w:sz w:val="16"/>
                <w:szCs w:val="16"/>
              </w:rPr>
            </w:pPr>
            <w:r w:rsidRPr="0059441A">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81,0%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80,0%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84,0%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80,0%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84,0%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84,0%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74,0%</w:t>
            </w:r>
          </w:p>
        </w:tc>
        <w:tc>
          <w:tcPr>
            <w:tcW w:w="0" w:type="auto"/>
            <w:noWrap/>
            <w:vAlign w:val="center"/>
          </w:tcPr>
          <w:p w:rsidR="00DB103D" w:rsidRPr="0059441A" w:rsidRDefault="00DB103D" w:rsidP="008D422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81,0%</w:t>
            </w:r>
          </w:p>
        </w:tc>
      </w:tr>
    </w:tbl>
    <w:p w:rsidR="009460C7" w:rsidRPr="0059441A" w:rsidRDefault="00DB103D" w:rsidP="00E22430">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lastRenderedPageBreak/>
        <w:t>Como puede observarse en la tabla</w:t>
      </w:r>
      <w:r w:rsidR="009460C7" w:rsidRPr="0059441A">
        <w:rPr>
          <w:rFonts w:ascii="Tahoma" w:hAnsi="Tahoma" w:cs="Tahoma"/>
          <w:color w:val="000000" w:themeColor="text1"/>
        </w:rPr>
        <w:t>,</w:t>
      </w:r>
      <w:r w:rsidRPr="0059441A">
        <w:rPr>
          <w:rFonts w:ascii="Tahoma" w:hAnsi="Tahoma" w:cs="Tahoma"/>
          <w:color w:val="000000" w:themeColor="text1"/>
        </w:rPr>
        <w:t xml:space="preserve"> en el c</w:t>
      </w:r>
      <w:r w:rsidR="009460C7" w:rsidRPr="0059441A">
        <w:rPr>
          <w:rFonts w:ascii="Tahoma" w:hAnsi="Tahoma" w:cs="Tahoma"/>
          <w:color w:val="000000" w:themeColor="text1"/>
        </w:rPr>
        <w:t>á</w:t>
      </w:r>
      <w:r w:rsidRPr="0059441A">
        <w:rPr>
          <w:rFonts w:ascii="Tahoma" w:hAnsi="Tahoma" w:cs="Tahoma"/>
          <w:color w:val="000000" w:themeColor="text1"/>
        </w:rPr>
        <w:t xml:space="preserve">lculo de los </w:t>
      </w:r>
      <w:r w:rsidR="009460C7" w:rsidRPr="0059441A">
        <w:rPr>
          <w:rFonts w:ascii="Tahoma" w:hAnsi="Tahoma" w:cs="Tahoma"/>
          <w:color w:val="000000" w:themeColor="text1"/>
        </w:rPr>
        <w:t>Í</w:t>
      </w:r>
      <w:r w:rsidRPr="0059441A">
        <w:rPr>
          <w:rFonts w:ascii="Tahoma" w:hAnsi="Tahoma" w:cs="Tahoma"/>
          <w:color w:val="000000" w:themeColor="text1"/>
        </w:rPr>
        <w:t xml:space="preserve">ndices </w:t>
      </w:r>
      <w:r w:rsidR="009460C7" w:rsidRPr="0059441A">
        <w:rPr>
          <w:rFonts w:ascii="Tahoma" w:hAnsi="Tahoma" w:cs="Tahoma"/>
          <w:color w:val="000000" w:themeColor="text1"/>
        </w:rPr>
        <w:t xml:space="preserve">de Cumplimiento de la Información Obligatoria, </w:t>
      </w:r>
      <w:r w:rsidRPr="0059441A">
        <w:rPr>
          <w:rFonts w:ascii="Tahoma" w:hAnsi="Tahoma" w:cs="Tahoma"/>
          <w:color w:val="000000" w:themeColor="text1"/>
        </w:rPr>
        <w:t>ún</w:t>
      </w:r>
      <w:r w:rsidR="009460C7" w:rsidRPr="0059441A">
        <w:rPr>
          <w:rFonts w:ascii="Tahoma" w:hAnsi="Tahoma" w:cs="Tahoma"/>
          <w:color w:val="000000" w:themeColor="text1"/>
        </w:rPr>
        <w:t>i</w:t>
      </w:r>
      <w:r w:rsidRPr="0059441A">
        <w:rPr>
          <w:rFonts w:ascii="Tahoma" w:hAnsi="Tahoma" w:cs="Tahoma"/>
          <w:color w:val="000000" w:themeColor="text1"/>
        </w:rPr>
        <w:t xml:space="preserve">camente se han tenido en cuenta las medias de los </w:t>
      </w:r>
      <w:r w:rsidR="009460C7" w:rsidRPr="0059441A">
        <w:rPr>
          <w:rFonts w:ascii="Tahoma" w:hAnsi="Tahoma" w:cs="Tahoma"/>
          <w:color w:val="000000" w:themeColor="text1"/>
        </w:rPr>
        <w:t xml:space="preserve">2 primeros </w:t>
      </w:r>
      <w:r w:rsidRPr="0059441A">
        <w:rPr>
          <w:rFonts w:ascii="Tahoma" w:hAnsi="Tahoma" w:cs="Tahoma"/>
          <w:color w:val="000000" w:themeColor="text1"/>
        </w:rPr>
        <w:t>apartados</w:t>
      </w:r>
      <w:r w:rsidR="009460C7" w:rsidRPr="0059441A">
        <w:rPr>
          <w:rFonts w:ascii="Tahoma" w:hAnsi="Tahoma" w:cs="Tahoma"/>
          <w:color w:val="000000" w:themeColor="text1"/>
        </w:rPr>
        <w:t>: “Institucional, Organizativa y de Planificación”</w:t>
      </w:r>
      <w:r w:rsidRPr="0059441A">
        <w:rPr>
          <w:rFonts w:ascii="Tahoma" w:hAnsi="Tahoma" w:cs="Tahoma"/>
          <w:color w:val="000000" w:themeColor="text1"/>
        </w:rPr>
        <w:t xml:space="preserve"> </w:t>
      </w:r>
      <w:r w:rsidR="009460C7" w:rsidRPr="0059441A">
        <w:rPr>
          <w:rFonts w:ascii="Tahoma" w:hAnsi="Tahoma" w:cs="Tahoma"/>
          <w:color w:val="000000" w:themeColor="text1"/>
        </w:rPr>
        <w:t>y “Económica, Presupuestaria y Estadística”, sin considerar el apartado de “Información patrimonial”.</w:t>
      </w:r>
    </w:p>
    <w:p w:rsidR="009460C7" w:rsidRPr="0059441A" w:rsidRDefault="009460C7" w:rsidP="00E22430">
      <w:pPr>
        <w:tabs>
          <w:tab w:val="left" w:pos="0"/>
        </w:tabs>
        <w:suppressAutoHyphens/>
        <w:spacing w:after="120"/>
        <w:jc w:val="both"/>
        <w:rPr>
          <w:rFonts w:ascii="Tahoma" w:hAnsi="Tahoma" w:cs="Tahoma"/>
          <w:color w:val="000000" w:themeColor="text1"/>
        </w:rPr>
      </w:pPr>
    </w:p>
    <w:p w:rsidR="00360A58" w:rsidRDefault="00561D91" w:rsidP="00E22430">
      <w:pPr>
        <w:tabs>
          <w:tab w:val="left" w:pos="0"/>
        </w:tabs>
        <w:suppressAutoHyphens/>
        <w:spacing w:after="120"/>
        <w:jc w:val="both"/>
        <w:rPr>
          <w:rFonts w:ascii="Tahoma" w:hAnsi="Tahoma" w:cs="Tahoma"/>
          <w:color w:val="000000" w:themeColor="text1"/>
        </w:rPr>
      </w:pPr>
      <w:r>
        <w:rPr>
          <w:rFonts w:ascii="Tahoma" w:hAnsi="Tahoma" w:cs="Tahoma"/>
          <w:color w:val="000000" w:themeColor="text1"/>
        </w:rPr>
        <w:t>Así las</w:t>
      </w:r>
      <w:r w:rsidR="009460C7" w:rsidRPr="0059441A">
        <w:rPr>
          <w:rFonts w:ascii="Tahoma" w:hAnsi="Tahoma" w:cs="Tahoma"/>
          <w:color w:val="000000" w:themeColor="text1"/>
        </w:rPr>
        <w:t xml:space="preserve"> medias de los apartados “Institucional, Organizativa y de Planificación” y “Económica, Presupuestaria y Estadística”, alcanzan </w:t>
      </w:r>
      <w:r w:rsidR="0081490E" w:rsidRPr="0059441A">
        <w:rPr>
          <w:rFonts w:ascii="Tahoma" w:hAnsi="Tahoma" w:cs="Tahoma"/>
          <w:color w:val="000000" w:themeColor="text1"/>
        </w:rPr>
        <w:t>erróneamente</w:t>
      </w:r>
      <w:r w:rsidR="009460C7" w:rsidRPr="0059441A">
        <w:rPr>
          <w:rFonts w:ascii="Tahoma" w:hAnsi="Tahoma" w:cs="Tahoma"/>
          <w:color w:val="000000" w:themeColor="text1"/>
        </w:rPr>
        <w:t xml:space="preserve"> </w:t>
      </w:r>
      <w:r w:rsidR="00EE3A0C" w:rsidRPr="0059441A">
        <w:rPr>
          <w:rFonts w:ascii="Tahoma" w:hAnsi="Tahoma" w:cs="Tahoma"/>
          <w:color w:val="000000" w:themeColor="text1"/>
        </w:rPr>
        <w:t xml:space="preserve">los porcentajes </w:t>
      </w:r>
      <w:r w:rsidR="009460C7" w:rsidRPr="0059441A">
        <w:rPr>
          <w:rFonts w:ascii="Tahoma" w:hAnsi="Tahoma" w:cs="Tahoma"/>
          <w:color w:val="000000" w:themeColor="text1"/>
        </w:rPr>
        <w:t>considerados en el informe de evaluación:</w:t>
      </w:r>
    </w:p>
    <w:tbl>
      <w:tblPr>
        <w:tblStyle w:val="Sombreadomedio2-nfasis3"/>
        <w:tblW w:w="9381" w:type="dxa"/>
        <w:tblLook w:val="04A0" w:firstRow="1" w:lastRow="0" w:firstColumn="1" w:lastColumn="0" w:noHBand="0" w:noVBand="1"/>
      </w:tblPr>
      <w:tblGrid>
        <w:gridCol w:w="3261"/>
        <w:gridCol w:w="765"/>
        <w:gridCol w:w="765"/>
        <w:gridCol w:w="765"/>
        <w:gridCol w:w="765"/>
        <w:gridCol w:w="765"/>
        <w:gridCol w:w="765"/>
        <w:gridCol w:w="765"/>
        <w:gridCol w:w="765"/>
      </w:tblGrid>
      <w:tr w:rsidR="00360A58" w:rsidRPr="0059441A" w:rsidTr="002B616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3261" w:type="dxa"/>
            <w:tcBorders>
              <w:top w:val="single" w:sz="18" w:space="0" w:color="FFFFFF" w:themeColor="background1"/>
              <w:bottom w:val="single" w:sz="18" w:space="0" w:color="FFFFFF" w:themeColor="background1"/>
            </w:tcBorders>
            <w:shd w:val="clear" w:color="auto" w:fill="00642D"/>
            <w:noWrap/>
            <w:textDirection w:val="btLr"/>
            <w:hideMark/>
          </w:tcPr>
          <w:p w:rsidR="00360A58" w:rsidRPr="0059441A" w:rsidRDefault="00360A58" w:rsidP="002B6168">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360A58" w:rsidRPr="0059441A" w:rsidRDefault="00360A58" w:rsidP="002B616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360A58" w:rsidRPr="0059441A" w:rsidRDefault="00360A58" w:rsidP="002B616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360A58" w:rsidRPr="0059441A" w:rsidRDefault="00360A58" w:rsidP="002B616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360A58" w:rsidRPr="0059441A" w:rsidRDefault="00360A58" w:rsidP="002B616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360A58" w:rsidRPr="0059441A" w:rsidRDefault="00360A58" w:rsidP="002B616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360A58" w:rsidRPr="0059441A" w:rsidRDefault="00360A58" w:rsidP="002B616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360A58" w:rsidRPr="0059441A" w:rsidRDefault="00360A58" w:rsidP="002B616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360A58" w:rsidRPr="0059441A" w:rsidRDefault="00360A58" w:rsidP="002B616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59441A">
              <w:rPr>
                <w:rFonts w:cs="Calibri"/>
                <w:sz w:val="16"/>
                <w:szCs w:val="16"/>
              </w:rPr>
              <w:t>Total</w:t>
            </w:r>
          </w:p>
        </w:tc>
      </w:tr>
      <w:tr w:rsidR="00360A58" w:rsidRPr="0059441A" w:rsidTr="002B616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60A58" w:rsidRPr="0059441A" w:rsidRDefault="00360A58" w:rsidP="002B6168">
            <w:pPr>
              <w:spacing w:before="120" w:after="120" w:line="312" w:lineRule="auto"/>
              <w:rPr>
                <w:rFonts w:cs="Calibri"/>
                <w:sz w:val="16"/>
                <w:szCs w:val="16"/>
              </w:rPr>
            </w:pPr>
            <w:r w:rsidRPr="0059441A">
              <w:rPr>
                <w:rFonts w:cs="Calibri"/>
                <w:sz w:val="16"/>
                <w:szCs w:val="16"/>
              </w:rPr>
              <w:t>Institucional, Organizativa y de Planificación</w:t>
            </w:r>
          </w:p>
        </w:tc>
        <w:tc>
          <w:tcPr>
            <w:tcW w:w="0" w:type="auto"/>
            <w:tcBorders>
              <w:left w:val="single" w:sz="18" w:space="0" w:color="FFFFFF" w:themeColor="background1"/>
            </w:tcBorders>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85,0%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90,0%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70,0%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59441A">
              <w:rPr>
                <w:sz w:val="16"/>
                <w:szCs w:val="16"/>
              </w:rPr>
              <w:t>86,4%</w:t>
            </w:r>
          </w:p>
        </w:tc>
      </w:tr>
      <w:tr w:rsidR="00360A58" w:rsidRPr="0059441A" w:rsidTr="002B6168">
        <w:trPr>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60A58" w:rsidRPr="0059441A" w:rsidRDefault="00360A58" w:rsidP="002B6168">
            <w:pPr>
              <w:spacing w:before="120" w:after="120" w:line="312" w:lineRule="auto"/>
              <w:rPr>
                <w:rFonts w:cs="Calibri"/>
                <w:sz w:val="16"/>
                <w:szCs w:val="16"/>
              </w:rPr>
            </w:pPr>
            <w:r w:rsidRPr="0059441A">
              <w:rPr>
                <w:rFonts w:cs="Calibri"/>
                <w:sz w:val="16"/>
                <w:szCs w:val="16"/>
              </w:rPr>
              <w:t>Económica , Presupuestaria y Estadística</w:t>
            </w:r>
          </w:p>
        </w:tc>
        <w:tc>
          <w:tcPr>
            <w:tcW w:w="0" w:type="auto"/>
            <w:tcBorders>
              <w:left w:val="single" w:sz="18" w:space="0" w:color="FFFFFF" w:themeColor="background1"/>
            </w:tcBorders>
            <w:noWrap/>
            <w:vAlign w:val="center"/>
          </w:tcPr>
          <w:p w:rsidR="00360A58" w:rsidRPr="0059441A" w:rsidRDefault="00360A58" w:rsidP="002B61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76,1%</w:t>
            </w:r>
          </w:p>
        </w:tc>
        <w:tc>
          <w:tcPr>
            <w:tcW w:w="0" w:type="auto"/>
            <w:noWrap/>
            <w:vAlign w:val="center"/>
          </w:tcPr>
          <w:p w:rsidR="00360A58" w:rsidRPr="0059441A" w:rsidRDefault="00360A58" w:rsidP="002B61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71,4%</w:t>
            </w:r>
          </w:p>
        </w:tc>
        <w:tc>
          <w:tcPr>
            <w:tcW w:w="0" w:type="auto"/>
            <w:noWrap/>
            <w:vAlign w:val="center"/>
          </w:tcPr>
          <w:p w:rsidR="00360A58" w:rsidRPr="0059441A" w:rsidRDefault="00360A58" w:rsidP="002B61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78,6%</w:t>
            </w:r>
          </w:p>
        </w:tc>
        <w:tc>
          <w:tcPr>
            <w:tcW w:w="0" w:type="auto"/>
            <w:noWrap/>
            <w:vAlign w:val="center"/>
          </w:tcPr>
          <w:p w:rsidR="00360A58" w:rsidRPr="0059441A" w:rsidRDefault="00360A58" w:rsidP="002B61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71,4%</w:t>
            </w:r>
          </w:p>
        </w:tc>
        <w:tc>
          <w:tcPr>
            <w:tcW w:w="0" w:type="auto"/>
            <w:noWrap/>
            <w:vAlign w:val="center"/>
          </w:tcPr>
          <w:p w:rsidR="00360A58" w:rsidRPr="0059441A" w:rsidRDefault="00360A58" w:rsidP="002B61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78,6%</w:t>
            </w:r>
          </w:p>
        </w:tc>
        <w:tc>
          <w:tcPr>
            <w:tcW w:w="0" w:type="auto"/>
            <w:noWrap/>
            <w:vAlign w:val="center"/>
          </w:tcPr>
          <w:p w:rsidR="00360A58" w:rsidRPr="0059441A" w:rsidRDefault="00360A58" w:rsidP="002B61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78,6%</w:t>
            </w:r>
          </w:p>
        </w:tc>
        <w:tc>
          <w:tcPr>
            <w:tcW w:w="0" w:type="auto"/>
            <w:noWrap/>
            <w:vAlign w:val="center"/>
          </w:tcPr>
          <w:p w:rsidR="00360A58" w:rsidRPr="0059441A" w:rsidRDefault="00360A58" w:rsidP="002B61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75,0%</w:t>
            </w:r>
          </w:p>
        </w:tc>
        <w:tc>
          <w:tcPr>
            <w:tcW w:w="0" w:type="auto"/>
            <w:noWrap/>
            <w:vAlign w:val="center"/>
          </w:tcPr>
          <w:p w:rsidR="00360A58" w:rsidRPr="0059441A" w:rsidRDefault="00360A58" w:rsidP="002B61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441A">
              <w:rPr>
                <w:sz w:val="16"/>
                <w:szCs w:val="16"/>
              </w:rPr>
              <w:t>75,7%</w:t>
            </w:r>
          </w:p>
        </w:tc>
      </w:tr>
      <w:tr w:rsidR="00220679" w:rsidRPr="0059441A" w:rsidTr="002B616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60A58" w:rsidRPr="0059441A" w:rsidRDefault="00360A58" w:rsidP="002B6168">
            <w:pPr>
              <w:spacing w:before="120" w:after="120" w:line="312" w:lineRule="auto"/>
              <w:jc w:val="right"/>
              <w:rPr>
                <w:rFonts w:cs="Calibri"/>
                <w:i/>
                <w:sz w:val="16"/>
                <w:szCs w:val="16"/>
              </w:rPr>
            </w:pPr>
            <w:r w:rsidRPr="0059441A">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81,0%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80,0%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84,0%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80,0%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84,0%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84,0%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74,0%</w:t>
            </w:r>
          </w:p>
        </w:tc>
        <w:tc>
          <w:tcPr>
            <w:tcW w:w="0" w:type="auto"/>
            <w:noWrap/>
            <w:vAlign w:val="center"/>
          </w:tcPr>
          <w:p w:rsidR="00360A58" w:rsidRPr="0059441A" w:rsidRDefault="00360A58" w:rsidP="002B61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9441A">
              <w:rPr>
                <w:b/>
                <w:i/>
                <w:sz w:val="16"/>
                <w:szCs w:val="16"/>
              </w:rPr>
              <w:t>81,0%</w:t>
            </w:r>
          </w:p>
        </w:tc>
      </w:tr>
    </w:tbl>
    <w:p w:rsidR="00360A58" w:rsidRDefault="00360A58" w:rsidP="00E22430">
      <w:pPr>
        <w:tabs>
          <w:tab w:val="left" w:pos="0"/>
        </w:tabs>
        <w:suppressAutoHyphens/>
        <w:spacing w:after="120"/>
        <w:jc w:val="both"/>
        <w:rPr>
          <w:rFonts w:ascii="Tahoma" w:hAnsi="Tahoma" w:cs="Tahoma"/>
          <w:color w:val="000000" w:themeColor="text1"/>
        </w:rPr>
      </w:pPr>
    </w:p>
    <w:p w:rsidR="001E14C3" w:rsidRPr="0059441A" w:rsidRDefault="009460C7" w:rsidP="00E22430">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 xml:space="preserve">Siendo el </w:t>
      </w:r>
      <w:r w:rsidR="0081490E" w:rsidRPr="0059441A">
        <w:rPr>
          <w:rFonts w:ascii="Tahoma" w:hAnsi="Tahoma" w:cs="Tahoma"/>
          <w:color w:val="000000" w:themeColor="text1"/>
        </w:rPr>
        <w:t>cálculo</w:t>
      </w:r>
      <w:r w:rsidR="001E14C3" w:rsidRPr="0059441A">
        <w:rPr>
          <w:rFonts w:ascii="Tahoma" w:hAnsi="Tahoma" w:cs="Tahoma"/>
          <w:color w:val="000000" w:themeColor="text1"/>
        </w:rPr>
        <w:t xml:space="preserve"> correcto, el resultado de considerar los 3 apartados objeto de valoración: “Institucional, Organizativa y de Planificación” y “Económica, Presupuestaria y Estadística”</w:t>
      </w:r>
      <w:r w:rsidR="00EE3A0C" w:rsidRPr="0059441A">
        <w:rPr>
          <w:rFonts w:ascii="Tahoma" w:hAnsi="Tahoma" w:cs="Tahoma"/>
          <w:color w:val="000000" w:themeColor="text1"/>
        </w:rPr>
        <w:t xml:space="preserve"> y el omitido en el informe de </w:t>
      </w:r>
      <w:r w:rsidR="001E14C3" w:rsidRPr="0059441A">
        <w:rPr>
          <w:rFonts w:ascii="Tahoma" w:hAnsi="Tahoma" w:cs="Tahoma"/>
          <w:color w:val="000000" w:themeColor="text1"/>
        </w:rPr>
        <w:t>“Información patrimonial”:</w:t>
      </w:r>
    </w:p>
    <w:p w:rsidR="001E14C3" w:rsidRPr="0059441A" w:rsidRDefault="001E14C3" w:rsidP="00E22430">
      <w:pPr>
        <w:tabs>
          <w:tab w:val="left" w:pos="0"/>
        </w:tabs>
        <w:suppressAutoHyphens/>
        <w:spacing w:after="120"/>
        <w:jc w:val="both"/>
        <w:rPr>
          <w:rFonts w:ascii="Tahoma" w:hAnsi="Tahoma" w:cs="Tahoma"/>
          <w:color w:val="000000" w:themeColor="text1"/>
        </w:rPr>
      </w:pPr>
    </w:p>
    <w:tbl>
      <w:tblPr>
        <w:tblW w:w="9436" w:type="dxa"/>
        <w:tblCellMar>
          <w:left w:w="70" w:type="dxa"/>
          <w:right w:w="70" w:type="dxa"/>
        </w:tblCellMar>
        <w:tblLook w:val="04A0" w:firstRow="1" w:lastRow="0" w:firstColumn="1" w:lastColumn="0" w:noHBand="0" w:noVBand="1"/>
      </w:tblPr>
      <w:tblGrid>
        <w:gridCol w:w="3544"/>
        <w:gridCol w:w="992"/>
        <w:gridCol w:w="700"/>
        <w:gridCol w:w="700"/>
        <w:gridCol w:w="700"/>
        <w:gridCol w:w="700"/>
        <w:gridCol w:w="700"/>
        <w:gridCol w:w="700"/>
        <w:gridCol w:w="700"/>
      </w:tblGrid>
      <w:tr w:rsidR="001E14C3" w:rsidRPr="0059441A" w:rsidTr="00EE3A0C">
        <w:trPr>
          <w:trHeight w:val="1191"/>
        </w:trPr>
        <w:tc>
          <w:tcPr>
            <w:tcW w:w="3544" w:type="dxa"/>
            <w:tcBorders>
              <w:top w:val="single" w:sz="12" w:space="0" w:color="FFFFFF"/>
              <w:left w:val="nil"/>
              <w:bottom w:val="single" w:sz="12" w:space="0" w:color="FFFFFF"/>
              <w:right w:val="nil"/>
            </w:tcBorders>
            <w:shd w:val="clear" w:color="000000" w:fill="00642D"/>
            <w:noWrap/>
            <w:textDirection w:val="btL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 </w:t>
            </w:r>
          </w:p>
        </w:tc>
        <w:tc>
          <w:tcPr>
            <w:tcW w:w="992" w:type="dxa"/>
            <w:tcBorders>
              <w:top w:val="single" w:sz="12" w:space="0" w:color="FFFFFF"/>
              <w:left w:val="nil"/>
              <w:bottom w:val="single" w:sz="12" w:space="0" w:color="auto"/>
              <w:right w:val="nil"/>
            </w:tcBorders>
            <w:shd w:val="clear" w:color="000000" w:fill="00642D"/>
            <w:noWrap/>
            <w:textDirection w:val="btLr"/>
            <w:vAlign w:val="center"/>
            <w:hideMark/>
          </w:tcPr>
          <w:p w:rsidR="001E14C3" w:rsidRPr="0059441A" w:rsidRDefault="001E14C3" w:rsidP="008D422C">
            <w:pPr>
              <w:jc w:val="both"/>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Contenido</w:t>
            </w:r>
          </w:p>
        </w:tc>
        <w:tc>
          <w:tcPr>
            <w:tcW w:w="700" w:type="dxa"/>
            <w:tcBorders>
              <w:top w:val="single" w:sz="12" w:space="0" w:color="FFFFFF"/>
              <w:left w:val="nil"/>
              <w:bottom w:val="single" w:sz="12" w:space="0" w:color="auto"/>
              <w:right w:val="nil"/>
            </w:tcBorders>
            <w:shd w:val="clear" w:color="000000" w:fill="00642D"/>
            <w:noWrap/>
            <w:textDirection w:val="btLr"/>
            <w:vAlign w:val="center"/>
            <w:hideMark/>
          </w:tcPr>
          <w:p w:rsidR="001E14C3" w:rsidRPr="0059441A" w:rsidRDefault="001E14C3" w:rsidP="008D422C">
            <w:pPr>
              <w:jc w:val="both"/>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Forma</w:t>
            </w:r>
          </w:p>
        </w:tc>
        <w:tc>
          <w:tcPr>
            <w:tcW w:w="700" w:type="dxa"/>
            <w:tcBorders>
              <w:top w:val="single" w:sz="12" w:space="0" w:color="FFFFFF"/>
              <w:left w:val="nil"/>
              <w:bottom w:val="single" w:sz="12" w:space="0" w:color="auto"/>
              <w:right w:val="nil"/>
            </w:tcBorders>
            <w:shd w:val="clear" w:color="000000" w:fill="00642D"/>
            <w:noWrap/>
            <w:textDirection w:val="btLr"/>
            <w:vAlign w:val="center"/>
            <w:hideMark/>
          </w:tcPr>
          <w:p w:rsidR="001E14C3" w:rsidRPr="0059441A" w:rsidRDefault="001E14C3" w:rsidP="008D422C">
            <w:pPr>
              <w:jc w:val="both"/>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Estructuración</w:t>
            </w:r>
          </w:p>
        </w:tc>
        <w:tc>
          <w:tcPr>
            <w:tcW w:w="700" w:type="dxa"/>
            <w:tcBorders>
              <w:top w:val="single" w:sz="12" w:space="0" w:color="FFFFFF"/>
              <w:left w:val="nil"/>
              <w:bottom w:val="single" w:sz="12" w:space="0" w:color="auto"/>
              <w:right w:val="nil"/>
            </w:tcBorders>
            <w:shd w:val="clear" w:color="000000" w:fill="00642D"/>
            <w:noWrap/>
            <w:textDirection w:val="btLr"/>
            <w:vAlign w:val="center"/>
            <w:hideMark/>
          </w:tcPr>
          <w:p w:rsidR="001E14C3" w:rsidRPr="0059441A" w:rsidRDefault="001E14C3" w:rsidP="008D422C">
            <w:pPr>
              <w:jc w:val="both"/>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Accesibilidad</w:t>
            </w:r>
          </w:p>
        </w:tc>
        <w:tc>
          <w:tcPr>
            <w:tcW w:w="700" w:type="dxa"/>
            <w:tcBorders>
              <w:top w:val="single" w:sz="12" w:space="0" w:color="FFFFFF"/>
              <w:left w:val="nil"/>
              <w:bottom w:val="single" w:sz="12" w:space="0" w:color="auto"/>
              <w:right w:val="nil"/>
            </w:tcBorders>
            <w:shd w:val="clear" w:color="000000" w:fill="00642D"/>
            <w:noWrap/>
            <w:textDirection w:val="btLr"/>
            <w:vAlign w:val="center"/>
            <w:hideMark/>
          </w:tcPr>
          <w:p w:rsidR="001E14C3" w:rsidRPr="0059441A" w:rsidRDefault="001E14C3" w:rsidP="008D422C">
            <w:pPr>
              <w:jc w:val="both"/>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Claridad</w:t>
            </w:r>
          </w:p>
        </w:tc>
        <w:tc>
          <w:tcPr>
            <w:tcW w:w="700" w:type="dxa"/>
            <w:tcBorders>
              <w:top w:val="single" w:sz="12" w:space="0" w:color="FFFFFF"/>
              <w:left w:val="nil"/>
              <w:bottom w:val="single" w:sz="12" w:space="0" w:color="auto"/>
              <w:right w:val="nil"/>
            </w:tcBorders>
            <w:shd w:val="clear" w:color="000000" w:fill="00642D"/>
            <w:noWrap/>
            <w:textDirection w:val="btLr"/>
            <w:vAlign w:val="center"/>
            <w:hideMark/>
          </w:tcPr>
          <w:p w:rsidR="001E14C3" w:rsidRPr="0059441A" w:rsidRDefault="001E14C3" w:rsidP="008D422C">
            <w:pPr>
              <w:jc w:val="both"/>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Reutilización</w:t>
            </w:r>
          </w:p>
        </w:tc>
        <w:tc>
          <w:tcPr>
            <w:tcW w:w="700" w:type="dxa"/>
            <w:tcBorders>
              <w:top w:val="single" w:sz="12" w:space="0" w:color="FFFFFF"/>
              <w:left w:val="nil"/>
              <w:bottom w:val="single" w:sz="12" w:space="0" w:color="auto"/>
              <w:right w:val="nil"/>
            </w:tcBorders>
            <w:shd w:val="clear" w:color="000000" w:fill="00642D"/>
            <w:noWrap/>
            <w:textDirection w:val="btLr"/>
            <w:vAlign w:val="center"/>
            <w:hideMark/>
          </w:tcPr>
          <w:p w:rsidR="001E14C3" w:rsidRPr="0059441A" w:rsidRDefault="001E14C3" w:rsidP="008D422C">
            <w:pPr>
              <w:jc w:val="both"/>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Actualización</w:t>
            </w:r>
          </w:p>
        </w:tc>
        <w:tc>
          <w:tcPr>
            <w:tcW w:w="700" w:type="dxa"/>
            <w:tcBorders>
              <w:top w:val="single" w:sz="12" w:space="0" w:color="FFFFFF"/>
              <w:left w:val="nil"/>
              <w:bottom w:val="single" w:sz="12" w:space="0" w:color="auto"/>
              <w:right w:val="nil"/>
            </w:tcBorders>
            <w:shd w:val="clear" w:color="000000" w:fill="00642D"/>
            <w:noWrap/>
            <w:textDirection w:val="btLr"/>
            <w:vAlign w:val="center"/>
            <w:hideMark/>
          </w:tcPr>
          <w:p w:rsidR="001E14C3" w:rsidRPr="0059441A" w:rsidRDefault="001E14C3" w:rsidP="008D422C">
            <w:pPr>
              <w:jc w:val="both"/>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Total</w:t>
            </w:r>
          </w:p>
        </w:tc>
      </w:tr>
      <w:tr w:rsidR="001E14C3" w:rsidRPr="0059441A" w:rsidTr="008D422C">
        <w:trPr>
          <w:trHeight w:val="628"/>
        </w:trPr>
        <w:tc>
          <w:tcPr>
            <w:tcW w:w="3544" w:type="dxa"/>
            <w:tcBorders>
              <w:top w:val="nil"/>
              <w:left w:val="single" w:sz="12" w:space="0" w:color="FFFFFF"/>
              <w:bottom w:val="single" w:sz="12" w:space="0" w:color="FFFFFF"/>
              <w:right w:val="single" w:sz="12" w:space="0" w:color="FFFFFF"/>
            </w:tcBorders>
            <w:shd w:val="clear" w:color="000000" w:fill="00642D"/>
            <w:noWrap/>
            <w:vAlign w:val="center"/>
            <w:hideMark/>
          </w:tcPr>
          <w:p w:rsidR="001E14C3" w:rsidRPr="0059441A" w:rsidRDefault="001E14C3" w:rsidP="008D422C">
            <w:pPr>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Institucional, Organizativa y de Planificación</w:t>
            </w:r>
          </w:p>
        </w:tc>
        <w:tc>
          <w:tcPr>
            <w:tcW w:w="992"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85,00%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90,00%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90,00%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90,00%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90,00%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90,00%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70,00%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86,40%</w:t>
            </w:r>
          </w:p>
        </w:tc>
      </w:tr>
      <w:tr w:rsidR="001E14C3" w:rsidRPr="0059441A" w:rsidTr="008D422C">
        <w:trPr>
          <w:trHeight w:val="525"/>
        </w:trPr>
        <w:tc>
          <w:tcPr>
            <w:tcW w:w="3544" w:type="dxa"/>
            <w:tcBorders>
              <w:top w:val="nil"/>
              <w:left w:val="single" w:sz="12" w:space="0" w:color="FFFFFF"/>
              <w:bottom w:val="single" w:sz="12" w:space="0" w:color="FFFFFF"/>
              <w:right w:val="single" w:sz="12" w:space="0" w:color="FFFFFF"/>
            </w:tcBorders>
            <w:shd w:val="clear" w:color="000000" w:fill="00642D"/>
            <w:noWrap/>
            <w:vAlign w:val="center"/>
            <w:hideMark/>
          </w:tcPr>
          <w:p w:rsidR="001E14C3" w:rsidRPr="0059441A" w:rsidRDefault="001E14C3" w:rsidP="008D422C">
            <w:pPr>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Económica , Presupuestaria y Estadística</w:t>
            </w:r>
          </w:p>
        </w:tc>
        <w:tc>
          <w:tcPr>
            <w:tcW w:w="992"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76,10%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71,40%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78,60%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71,40%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78,60%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78,60%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75,00%</w:t>
            </w:r>
          </w:p>
        </w:tc>
        <w:tc>
          <w:tcPr>
            <w:tcW w:w="700" w:type="dxa"/>
            <w:tcBorders>
              <w:top w:val="nil"/>
              <w:left w:val="nil"/>
              <w:bottom w:val="nil"/>
              <w:right w:val="nil"/>
            </w:tcBorders>
            <w:shd w:val="clear" w:color="000000" w:fill="D8D8D8"/>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75,70%</w:t>
            </w:r>
          </w:p>
        </w:tc>
      </w:tr>
      <w:tr w:rsidR="001E14C3" w:rsidRPr="0059441A" w:rsidTr="008D422C">
        <w:trPr>
          <w:trHeight w:val="547"/>
        </w:trPr>
        <w:tc>
          <w:tcPr>
            <w:tcW w:w="3544" w:type="dxa"/>
            <w:tcBorders>
              <w:top w:val="nil"/>
              <w:left w:val="single" w:sz="12" w:space="0" w:color="FFFFFF"/>
              <w:bottom w:val="single" w:sz="12" w:space="0" w:color="FFFFFF"/>
              <w:right w:val="single" w:sz="12" w:space="0" w:color="FFFFFF"/>
            </w:tcBorders>
            <w:shd w:val="clear" w:color="000000" w:fill="00642D"/>
            <w:noWrap/>
            <w:vAlign w:val="center"/>
            <w:hideMark/>
          </w:tcPr>
          <w:p w:rsidR="001E14C3" w:rsidRPr="0059441A" w:rsidRDefault="001E14C3" w:rsidP="008D422C">
            <w:pPr>
              <w:rPr>
                <w:rFonts w:eastAsia="Times New Roman" w:cstheme="minorHAnsi"/>
                <w:b/>
                <w:bCs/>
                <w:color w:val="FFFFFF"/>
                <w:sz w:val="16"/>
                <w:szCs w:val="16"/>
                <w:lang w:eastAsia="es-ES"/>
              </w:rPr>
            </w:pPr>
            <w:r w:rsidRPr="0059441A">
              <w:rPr>
                <w:rFonts w:eastAsia="Times New Roman" w:cstheme="minorHAnsi"/>
                <w:b/>
                <w:bCs/>
                <w:color w:val="FFFFFF"/>
                <w:sz w:val="16"/>
                <w:szCs w:val="16"/>
                <w:lang w:eastAsia="es-ES"/>
              </w:rPr>
              <w:t>Información patrimonial</w:t>
            </w:r>
          </w:p>
        </w:tc>
        <w:tc>
          <w:tcPr>
            <w:tcW w:w="992" w:type="dxa"/>
            <w:tcBorders>
              <w:top w:val="nil"/>
              <w:left w:val="nil"/>
              <w:bottom w:val="nil"/>
              <w:right w:val="nil"/>
            </w:tcBorders>
            <w:shd w:val="clear" w:color="auto" w:fill="auto"/>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100,00%</w:t>
            </w:r>
          </w:p>
        </w:tc>
        <w:tc>
          <w:tcPr>
            <w:tcW w:w="700" w:type="dxa"/>
            <w:tcBorders>
              <w:top w:val="nil"/>
              <w:left w:val="nil"/>
              <w:bottom w:val="nil"/>
              <w:right w:val="nil"/>
            </w:tcBorders>
            <w:shd w:val="clear" w:color="auto" w:fill="auto"/>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100,00%</w:t>
            </w:r>
          </w:p>
        </w:tc>
        <w:tc>
          <w:tcPr>
            <w:tcW w:w="700" w:type="dxa"/>
            <w:tcBorders>
              <w:top w:val="nil"/>
              <w:left w:val="nil"/>
              <w:bottom w:val="nil"/>
              <w:right w:val="nil"/>
            </w:tcBorders>
            <w:shd w:val="clear" w:color="auto" w:fill="auto"/>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100,00%</w:t>
            </w:r>
          </w:p>
        </w:tc>
        <w:tc>
          <w:tcPr>
            <w:tcW w:w="700" w:type="dxa"/>
            <w:tcBorders>
              <w:top w:val="nil"/>
              <w:left w:val="nil"/>
              <w:bottom w:val="nil"/>
              <w:right w:val="nil"/>
            </w:tcBorders>
            <w:shd w:val="clear" w:color="auto" w:fill="auto"/>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100,00%</w:t>
            </w:r>
          </w:p>
        </w:tc>
        <w:tc>
          <w:tcPr>
            <w:tcW w:w="700" w:type="dxa"/>
            <w:tcBorders>
              <w:top w:val="nil"/>
              <w:left w:val="nil"/>
              <w:bottom w:val="nil"/>
              <w:right w:val="nil"/>
            </w:tcBorders>
            <w:shd w:val="clear" w:color="auto" w:fill="auto"/>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100,00%</w:t>
            </w:r>
          </w:p>
        </w:tc>
        <w:tc>
          <w:tcPr>
            <w:tcW w:w="700" w:type="dxa"/>
            <w:tcBorders>
              <w:top w:val="nil"/>
              <w:left w:val="nil"/>
              <w:bottom w:val="nil"/>
              <w:right w:val="nil"/>
            </w:tcBorders>
            <w:shd w:val="clear" w:color="auto" w:fill="auto"/>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100,00%</w:t>
            </w:r>
          </w:p>
        </w:tc>
        <w:tc>
          <w:tcPr>
            <w:tcW w:w="700" w:type="dxa"/>
            <w:tcBorders>
              <w:top w:val="nil"/>
              <w:left w:val="nil"/>
              <w:bottom w:val="nil"/>
              <w:right w:val="nil"/>
            </w:tcBorders>
            <w:shd w:val="clear" w:color="auto" w:fill="auto"/>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100,00%</w:t>
            </w:r>
          </w:p>
        </w:tc>
        <w:tc>
          <w:tcPr>
            <w:tcW w:w="700" w:type="dxa"/>
            <w:tcBorders>
              <w:top w:val="nil"/>
              <w:left w:val="nil"/>
              <w:bottom w:val="nil"/>
              <w:right w:val="nil"/>
            </w:tcBorders>
            <w:shd w:val="clear" w:color="auto" w:fill="auto"/>
            <w:noWrap/>
            <w:vAlign w:val="center"/>
            <w:hideMark/>
          </w:tcPr>
          <w:p w:rsidR="001E14C3" w:rsidRPr="0059441A" w:rsidRDefault="001E14C3" w:rsidP="008D422C">
            <w:pPr>
              <w:rPr>
                <w:rFonts w:eastAsia="Times New Roman" w:cstheme="minorHAnsi"/>
                <w:color w:val="000000"/>
                <w:sz w:val="16"/>
                <w:szCs w:val="16"/>
                <w:lang w:eastAsia="es-ES"/>
              </w:rPr>
            </w:pPr>
            <w:r w:rsidRPr="0059441A">
              <w:rPr>
                <w:rFonts w:eastAsia="Times New Roman" w:cstheme="minorHAnsi"/>
                <w:color w:val="000000"/>
                <w:sz w:val="16"/>
                <w:szCs w:val="16"/>
                <w:lang w:eastAsia="es-ES"/>
              </w:rPr>
              <w:t>100,00%</w:t>
            </w:r>
          </w:p>
        </w:tc>
      </w:tr>
      <w:tr w:rsidR="001E14C3" w:rsidRPr="0059441A" w:rsidTr="008D422C">
        <w:trPr>
          <w:trHeight w:val="683"/>
        </w:trPr>
        <w:tc>
          <w:tcPr>
            <w:tcW w:w="3544" w:type="dxa"/>
            <w:tcBorders>
              <w:top w:val="nil"/>
              <w:left w:val="single" w:sz="12" w:space="0" w:color="FFFFFF"/>
              <w:bottom w:val="single" w:sz="12" w:space="0" w:color="FFFFFF"/>
              <w:right w:val="single" w:sz="12" w:space="0" w:color="FFFFFF"/>
            </w:tcBorders>
            <w:shd w:val="clear" w:color="000000" w:fill="00642D"/>
            <w:noWrap/>
            <w:vAlign w:val="center"/>
            <w:hideMark/>
          </w:tcPr>
          <w:p w:rsidR="001E14C3" w:rsidRPr="0059441A" w:rsidRDefault="001E14C3" w:rsidP="008D422C">
            <w:pPr>
              <w:jc w:val="right"/>
              <w:rPr>
                <w:rFonts w:eastAsia="Times New Roman" w:cstheme="minorHAnsi"/>
                <w:b/>
                <w:bCs/>
                <w:i/>
                <w:iCs/>
                <w:color w:val="FFFFFF"/>
                <w:sz w:val="16"/>
                <w:szCs w:val="16"/>
                <w:lang w:eastAsia="es-ES"/>
              </w:rPr>
            </w:pPr>
            <w:r w:rsidRPr="0059441A">
              <w:rPr>
                <w:rFonts w:eastAsia="Times New Roman" w:cstheme="minorHAnsi"/>
                <w:b/>
                <w:bCs/>
                <w:i/>
                <w:iCs/>
                <w:color w:val="FFFFFF"/>
                <w:sz w:val="16"/>
                <w:szCs w:val="16"/>
                <w:lang w:eastAsia="es-ES"/>
              </w:rPr>
              <w:t>Índice de Cumplimiento de la Información Obligatoria</w:t>
            </w:r>
          </w:p>
        </w:tc>
        <w:tc>
          <w:tcPr>
            <w:tcW w:w="992" w:type="dxa"/>
            <w:tcBorders>
              <w:top w:val="nil"/>
              <w:left w:val="nil"/>
              <w:bottom w:val="single" w:sz="12" w:space="0" w:color="auto"/>
              <w:right w:val="nil"/>
            </w:tcBorders>
            <w:shd w:val="clear" w:color="000000" w:fill="D8D8D8"/>
            <w:noWrap/>
            <w:vAlign w:val="center"/>
            <w:hideMark/>
          </w:tcPr>
          <w:p w:rsidR="001E14C3" w:rsidRPr="0059441A" w:rsidRDefault="001E14C3" w:rsidP="008D422C">
            <w:pPr>
              <w:rPr>
                <w:rFonts w:eastAsia="Times New Roman" w:cstheme="minorHAnsi"/>
                <w:b/>
                <w:bCs/>
                <w:i/>
                <w:iCs/>
                <w:color w:val="000000"/>
                <w:sz w:val="16"/>
                <w:szCs w:val="16"/>
                <w:lang w:eastAsia="es-ES"/>
              </w:rPr>
            </w:pPr>
            <w:r w:rsidRPr="0059441A">
              <w:rPr>
                <w:rFonts w:eastAsia="Times New Roman" w:cstheme="minorHAnsi"/>
                <w:b/>
                <w:bCs/>
                <w:i/>
                <w:iCs/>
                <w:color w:val="000000"/>
                <w:sz w:val="16"/>
                <w:szCs w:val="16"/>
                <w:lang w:eastAsia="es-ES"/>
              </w:rPr>
              <w:t>87,03%</w:t>
            </w:r>
          </w:p>
        </w:tc>
        <w:tc>
          <w:tcPr>
            <w:tcW w:w="700" w:type="dxa"/>
            <w:tcBorders>
              <w:top w:val="nil"/>
              <w:left w:val="nil"/>
              <w:bottom w:val="single" w:sz="12" w:space="0" w:color="auto"/>
              <w:right w:val="nil"/>
            </w:tcBorders>
            <w:shd w:val="clear" w:color="000000" w:fill="D8D8D8"/>
            <w:noWrap/>
            <w:vAlign w:val="center"/>
            <w:hideMark/>
          </w:tcPr>
          <w:p w:rsidR="001E14C3" w:rsidRPr="0059441A" w:rsidRDefault="001E14C3" w:rsidP="008D422C">
            <w:pPr>
              <w:rPr>
                <w:rFonts w:eastAsia="Times New Roman" w:cstheme="minorHAnsi"/>
                <w:b/>
                <w:bCs/>
                <w:i/>
                <w:iCs/>
                <w:color w:val="000000"/>
                <w:sz w:val="16"/>
                <w:szCs w:val="16"/>
                <w:lang w:eastAsia="es-ES"/>
              </w:rPr>
            </w:pPr>
            <w:r w:rsidRPr="0059441A">
              <w:rPr>
                <w:rFonts w:eastAsia="Times New Roman" w:cstheme="minorHAnsi"/>
                <w:b/>
                <w:bCs/>
                <w:i/>
                <w:iCs/>
                <w:color w:val="000000"/>
                <w:sz w:val="16"/>
                <w:szCs w:val="16"/>
                <w:lang w:eastAsia="es-ES"/>
              </w:rPr>
              <w:t>87,13%</w:t>
            </w:r>
          </w:p>
        </w:tc>
        <w:tc>
          <w:tcPr>
            <w:tcW w:w="700" w:type="dxa"/>
            <w:tcBorders>
              <w:top w:val="nil"/>
              <w:left w:val="nil"/>
              <w:bottom w:val="single" w:sz="12" w:space="0" w:color="auto"/>
              <w:right w:val="nil"/>
            </w:tcBorders>
            <w:shd w:val="clear" w:color="000000" w:fill="D8D8D8"/>
            <w:noWrap/>
            <w:vAlign w:val="center"/>
            <w:hideMark/>
          </w:tcPr>
          <w:p w:rsidR="001E14C3" w:rsidRPr="0059441A" w:rsidRDefault="001E14C3" w:rsidP="008D422C">
            <w:pPr>
              <w:rPr>
                <w:rFonts w:eastAsia="Times New Roman" w:cstheme="minorHAnsi"/>
                <w:b/>
                <w:bCs/>
                <w:i/>
                <w:iCs/>
                <w:color w:val="000000"/>
                <w:sz w:val="16"/>
                <w:szCs w:val="16"/>
                <w:lang w:eastAsia="es-ES"/>
              </w:rPr>
            </w:pPr>
            <w:r w:rsidRPr="0059441A">
              <w:rPr>
                <w:rFonts w:eastAsia="Times New Roman" w:cstheme="minorHAnsi"/>
                <w:b/>
                <w:bCs/>
                <w:i/>
                <w:iCs/>
                <w:color w:val="000000"/>
                <w:sz w:val="16"/>
                <w:szCs w:val="16"/>
                <w:lang w:eastAsia="es-ES"/>
              </w:rPr>
              <w:t>89,53%</w:t>
            </w:r>
          </w:p>
        </w:tc>
        <w:tc>
          <w:tcPr>
            <w:tcW w:w="700" w:type="dxa"/>
            <w:tcBorders>
              <w:top w:val="nil"/>
              <w:left w:val="nil"/>
              <w:bottom w:val="single" w:sz="12" w:space="0" w:color="auto"/>
              <w:right w:val="nil"/>
            </w:tcBorders>
            <w:shd w:val="clear" w:color="000000" w:fill="D8D8D8"/>
            <w:noWrap/>
            <w:vAlign w:val="center"/>
            <w:hideMark/>
          </w:tcPr>
          <w:p w:rsidR="001E14C3" w:rsidRPr="0059441A" w:rsidRDefault="001E14C3" w:rsidP="008D422C">
            <w:pPr>
              <w:rPr>
                <w:rFonts w:eastAsia="Times New Roman" w:cstheme="minorHAnsi"/>
                <w:b/>
                <w:bCs/>
                <w:i/>
                <w:iCs/>
                <w:color w:val="000000"/>
                <w:sz w:val="16"/>
                <w:szCs w:val="16"/>
                <w:lang w:eastAsia="es-ES"/>
              </w:rPr>
            </w:pPr>
            <w:r w:rsidRPr="0059441A">
              <w:rPr>
                <w:rFonts w:eastAsia="Times New Roman" w:cstheme="minorHAnsi"/>
                <w:b/>
                <w:bCs/>
                <w:i/>
                <w:iCs/>
                <w:color w:val="000000"/>
                <w:sz w:val="16"/>
                <w:szCs w:val="16"/>
                <w:lang w:eastAsia="es-ES"/>
              </w:rPr>
              <w:t>87,13%</w:t>
            </w:r>
          </w:p>
        </w:tc>
        <w:tc>
          <w:tcPr>
            <w:tcW w:w="700" w:type="dxa"/>
            <w:tcBorders>
              <w:top w:val="nil"/>
              <w:left w:val="nil"/>
              <w:bottom w:val="single" w:sz="12" w:space="0" w:color="auto"/>
              <w:right w:val="nil"/>
            </w:tcBorders>
            <w:shd w:val="clear" w:color="000000" w:fill="D8D8D8"/>
            <w:noWrap/>
            <w:vAlign w:val="center"/>
            <w:hideMark/>
          </w:tcPr>
          <w:p w:rsidR="001E14C3" w:rsidRPr="0059441A" w:rsidRDefault="001E14C3" w:rsidP="008D422C">
            <w:pPr>
              <w:rPr>
                <w:rFonts w:eastAsia="Times New Roman" w:cstheme="minorHAnsi"/>
                <w:b/>
                <w:bCs/>
                <w:i/>
                <w:iCs/>
                <w:color w:val="000000"/>
                <w:sz w:val="16"/>
                <w:szCs w:val="16"/>
                <w:lang w:eastAsia="es-ES"/>
              </w:rPr>
            </w:pPr>
            <w:r w:rsidRPr="0059441A">
              <w:rPr>
                <w:rFonts w:eastAsia="Times New Roman" w:cstheme="minorHAnsi"/>
                <w:b/>
                <w:bCs/>
                <w:i/>
                <w:iCs/>
                <w:color w:val="000000"/>
                <w:sz w:val="16"/>
                <w:szCs w:val="16"/>
                <w:lang w:eastAsia="es-ES"/>
              </w:rPr>
              <w:t>89,53%</w:t>
            </w:r>
          </w:p>
        </w:tc>
        <w:tc>
          <w:tcPr>
            <w:tcW w:w="700" w:type="dxa"/>
            <w:tcBorders>
              <w:top w:val="nil"/>
              <w:left w:val="nil"/>
              <w:bottom w:val="single" w:sz="12" w:space="0" w:color="auto"/>
              <w:right w:val="nil"/>
            </w:tcBorders>
            <w:shd w:val="clear" w:color="000000" w:fill="D8D8D8"/>
            <w:noWrap/>
            <w:vAlign w:val="center"/>
            <w:hideMark/>
          </w:tcPr>
          <w:p w:rsidR="001E14C3" w:rsidRPr="0059441A" w:rsidRDefault="001E14C3" w:rsidP="008D422C">
            <w:pPr>
              <w:rPr>
                <w:rFonts w:eastAsia="Times New Roman" w:cstheme="minorHAnsi"/>
                <w:b/>
                <w:bCs/>
                <w:i/>
                <w:iCs/>
                <w:color w:val="000000"/>
                <w:sz w:val="16"/>
                <w:szCs w:val="16"/>
                <w:lang w:eastAsia="es-ES"/>
              </w:rPr>
            </w:pPr>
            <w:r w:rsidRPr="0059441A">
              <w:rPr>
                <w:rFonts w:eastAsia="Times New Roman" w:cstheme="minorHAnsi"/>
                <w:b/>
                <w:bCs/>
                <w:i/>
                <w:iCs/>
                <w:color w:val="000000"/>
                <w:sz w:val="16"/>
                <w:szCs w:val="16"/>
                <w:lang w:eastAsia="es-ES"/>
              </w:rPr>
              <w:t>89,53%</w:t>
            </w:r>
          </w:p>
        </w:tc>
        <w:tc>
          <w:tcPr>
            <w:tcW w:w="700" w:type="dxa"/>
            <w:tcBorders>
              <w:top w:val="nil"/>
              <w:left w:val="nil"/>
              <w:bottom w:val="single" w:sz="12" w:space="0" w:color="auto"/>
              <w:right w:val="nil"/>
            </w:tcBorders>
            <w:shd w:val="clear" w:color="000000" w:fill="D8D8D8"/>
            <w:noWrap/>
            <w:vAlign w:val="center"/>
            <w:hideMark/>
          </w:tcPr>
          <w:p w:rsidR="001E14C3" w:rsidRPr="0059441A" w:rsidRDefault="001E14C3" w:rsidP="008D422C">
            <w:pPr>
              <w:rPr>
                <w:rFonts w:eastAsia="Times New Roman" w:cstheme="minorHAnsi"/>
                <w:b/>
                <w:bCs/>
                <w:i/>
                <w:iCs/>
                <w:color w:val="000000"/>
                <w:sz w:val="16"/>
                <w:szCs w:val="16"/>
                <w:lang w:eastAsia="es-ES"/>
              </w:rPr>
            </w:pPr>
            <w:r w:rsidRPr="0059441A">
              <w:rPr>
                <w:rFonts w:eastAsia="Times New Roman" w:cstheme="minorHAnsi"/>
                <w:b/>
                <w:bCs/>
                <w:i/>
                <w:iCs/>
                <w:color w:val="000000"/>
                <w:sz w:val="16"/>
                <w:szCs w:val="16"/>
                <w:lang w:eastAsia="es-ES"/>
              </w:rPr>
              <w:t>81,67%</w:t>
            </w:r>
          </w:p>
        </w:tc>
        <w:tc>
          <w:tcPr>
            <w:tcW w:w="700" w:type="dxa"/>
            <w:tcBorders>
              <w:top w:val="nil"/>
              <w:left w:val="nil"/>
              <w:bottom w:val="single" w:sz="12" w:space="0" w:color="auto"/>
              <w:right w:val="nil"/>
            </w:tcBorders>
            <w:shd w:val="clear" w:color="000000" w:fill="D8D8D8"/>
            <w:noWrap/>
            <w:vAlign w:val="center"/>
            <w:hideMark/>
          </w:tcPr>
          <w:p w:rsidR="001E14C3" w:rsidRPr="0059441A" w:rsidRDefault="001E14C3" w:rsidP="008D422C">
            <w:pPr>
              <w:rPr>
                <w:rFonts w:eastAsia="Times New Roman" w:cstheme="minorHAnsi"/>
                <w:b/>
                <w:bCs/>
                <w:i/>
                <w:iCs/>
                <w:color w:val="000000"/>
                <w:sz w:val="16"/>
                <w:szCs w:val="16"/>
                <w:lang w:eastAsia="es-ES"/>
              </w:rPr>
            </w:pPr>
            <w:r w:rsidRPr="0059441A">
              <w:rPr>
                <w:rFonts w:eastAsia="Times New Roman" w:cstheme="minorHAnsi"/>
                <w:b/>
                <w:bCs/>
                <w:i/>
                <w:iCs/>
                <w:color w:val="000000"/>
                <w:sz w:val="16"/>
                <w:szCs w:val="16"/>
                <w:lang w:eastAsia="es-ES"/>
              </w:rPr>
              <w:t>87,37%</w:t>
            </w:r>
          </w:p>
        </w:tc>
      </w:tr>
    </w:tbl>
    <w:p w:rsidR="00EE3A0C" w:rsidRPr="0059441A" w:rsidRDefault="00EE3A0C" w:rsidP="00E22430">
      <w:pPr>
        <w:tabs>
          <w:tab w:val="left" w:pos="0"/>
        </w:tabs>
        <w:suppressAutoHyphens/>
        <w:spacing w:after="120"/>
        <w:jc w:val="both"/>
        <w:rPr>
          <w:rFonts w:ascii="Tahoma" w:hAnsi="Tahoma" w:cs="Tahoma"/>
          <w:color w:val="000000" w:themeColor="text1"/>
        </w:rPr>
      </w:pPr>
    </w:p>
    <w:p w:rsidR="00EE3A0C" w:rsidRPr="0059441A" w:rsidRDefault="001E14C3" w:rsidP="00E22430">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 xml:space="preserve">En </w:t>
      </w:r>
      <w:r w:rsidR="0081490E" w:rsidRPr="0059441A">
        <w:rPr>
          <w:rFonts w:ascii="Tahoma" w:hAnsi="Tahoma" w:cs="Tahoma"/>
          <w:color w:val="000000" w:themeColor="text1"/>
        </w:rPr>
        <w:t>defini</w:t>
      </w:r>
      <w:r w:rsidR="0081490E">
        <w:rPr>
          <w:rFonts w:ascii="Tahoma" w:hAnsi="Tahoma" w:cs="Tahoma"/>
          <w:color w:val="000000" w:themeColor="text1"/>
        </w:rPr>
        <w:t>ti</w:t>
      </w:r>
      <w:r w:rsidR="0081490E" w:rsidRPr="0059441A">
        <w:rPr>
          <w:rFonts w:ascii="Tahoma" w:hAnsi="Tahoma" w:cs="Tahoma"/>
          <w:color w:val="000000" w:themeColor="text1"/>
        </w:rPr>
        <w:t>va</w:t>
      </w:r>
      <w:r w:rsidRPr="0059441A">
        <w:rPr>
          <w:rFonts w:ascii="Tahoma" w:hAnsi="Tahoma" w:cs="Tahoma"/>
          <w:color w:val="000000" w:themeColor="text1"/>
        </w:rPr>
        <w:t xml:space="preserve">, existe un </w:t>
      </w:r>
      <w:r w:rsidR="00843949" w:rsidRPr="0059441A">
        <w:rPr>
          <w:rFonts w:ascii="Tahoma" w:hAnsi="Tahoma" w:cs="Tahoma"/>
          <w:color w:val="000000" w:themeColor="text1"/>
        </w:rPr>
        <w:t xml:space="preserve">error material en el cálculo del Índice de Cumplimiento de la </w:t>
      </w:r>
      <w:r w:rsidR="0081490E" w:rsidRPr="0059441A">
        <w:rPr>
          <w:rFonts w:ascii="Tahoma" w:hAnsi="Tahoma" w:cs="Tahoma"/>
          <w:color w:val="000000" w:themeColor="text1"/>
        </w:rPr>
        <w:t>Información</w:t>
      </w:r>
      <w:r w:rsidR="00843949" w:rsidRPr="0059441A">
        <w:rPr>
          <w:rFonts w:ascii="Tahoma" w:hAnsi="Tahoma" w:cs="Tahoma"/>
          <w:color w:val="000000" w:themeColor="text1"/>
        </w:rPr>
        <w:t xml:space="preserve"> Obligatoria (ICIO), </w:t>
      </w:r>
      <w:r w:rsidR="00843949" w:rsidRPr="0059441A">
        <w:rPr>
          <w:rFonts w:ascii="Tahoma" w:hAnsi="Tahoma" w:cs="Tahoma"/>
          <w:b/>
          <w:color w:val="000000" w:themeColor="text1"/>
        </w:rPr>
        <w:t>siendo el índice correcto 87,37%</w:t>
      </w:r>
      <w:r w:rsidR="00843949" w:rsidRPr="0059441A">
        <w:rPr>
          <w:rFonts w:ascii="Tahoma" w:hAnsi="Tahoma" w:cs="Tahoma"/>
          <w:color w:val="000000" w:themeColor="text1"/>
        </w:rPr>
        <w:t xml:space="preserve">, </w:t>
      </w:r>
      <w:r w:rsidR="00EE3A0C" w:rsidRPr="0059441A">
        <w:rPr>
          <w:rFonts w:ascii="Tahoma" w:hAnsi="Tahoma" w:cs="Tahoma"/>
          <w:color w:val="000000" w:themeColor="text1"/>
        </w:rPr>
        <w:t>con el detalle</w:t>
      </w:r>
      <w:r w:rsidR="00843949" w:rsidRPr="0059441A">
        <w:rPr>
          <w:rFonts w:ascii="Tahoma" w:hAnsi="Tahoma" w:cs="Tahoma"/>
          <w:color w:val="000000" w:themeColor="text1"/>
        </w:rPr>
        <w:t xml:space="preserve"> de la tabla anterior, dado que en el informe sobre el cumplimiento de las obligaciones de </w:t>
      </w:r>
      <w:r w:rsidR="00843949" w:rsidRPr="0059441A">
        <w:rPr>
          <w:rFonts w:ascii="Tahoma" w:hAnsi="Tahoma" w:cs="Tahoma"/>
          <w:color w:val="000000" w:themeColor="text1"/>
        </w:rPr>
        <w:lastRenderedPageBreak/>
        <w:t>publicidad activa</w:t>
      </w:r>
      <w:r w:rsidR="00EE3A0C" w:rsidRPr="0059441A">
        <w:rPr>
          <w:rFonts w:ascii="Tahoma" w:hAnsi="Tahoma" w:cs="Tahoma"/>
          <w:color w:val="000000" w:themeColor="text1"/>
        </w:rPr>
        <w:t xml:space="preserve">, no se han </w:t>
      </w:r>
      <w:r w:rsidR="0081490E" w:rsidRPr="0059441A">
        <w:rPr>
          <w:rFonts w:ascii="Tahoma" w:hAnsi="Tahoma" w:cs="Tahoma"/>
          <w:color w:val="000000" w:themeColor="text1"/>
        </w:rPr>
        <w:t>considerado</w:t>
      </w:r>
      <w:r w:rsidR="00EE3A0C" w:rsidRPr="0059441A">
        <w:rPr>
          <w:rFonts w:ascii="Tahoma" w:hAnsi="Tahoma" w:cs="Tahoma"/>
          <w:color w:val="000000" w:themeColor="text1"/>
        </w:rPr>
        <w:t>, en la ponderación, los tres apartados objeto valoración.</w:t>
      </w:r>
    </w:p>
    <w:p w:rsidR="00B64E67" w:rsidRPr="0059441A" w:rsidRDefault="00EE3A0C" w:rsidP="00E22430">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En consecuencia, se solicita</w:t>
      </w:r>
      <w:r w:rsidR="00B90E8A" w:rsidRPr="0059441A">
        <w:rPr>
          <w:rFonts w:ascii="Tahoma" w:hAnsi="Tahoma" w:cs="Tahoma"/>
          <w:color w:val="000000" w:themeColor="text1"/>
        </w:rPr>
        <w:t xml:space="preserve"> la revisión y consiguiente </w:t>
      </w:r>
      <w:r w:rsidRPr="0059441A">
        <w:rPr>
          <w:rFonts w:ascii="Tahoma" w:hAnsi="Tahoma" w:cs="Tahoma"/>
          <w:color w:val="000000" w:themeColor="text1"/>
        </w:rPr>
        <w:t>modificación del resultado el informe en atención a lo expuesto</w:t>
      </w:r>
      <w:r w:rsidR="00B90E8A" w:rsidRPr="0059441A">
        <w:rPr>
          <w:rFonts w:ascii="Tahoma" w:hAnsi="Tahoma" w:cs="Tahoma"/>
          <w:color w:val="000000" w:themeColor="text1"/>
        </w:rPr>
        <w:t>, por encontrarnos ante un error material en el mismo</w:t>
      </w:r>
      <w:r w:rsidRPr="0059441A">
        <w:rPr>
          <w:rFonts w:ascii="Tahoma" w:hAnsi="Tahoma" w:cs="Tahoma"/>
          <w:color w:val="000000" w:themeColor="text1"/>
        </w:rPr>
        <w:t>.</w:t>
      </w:r>
      <w:r w:rsidR="00843949" w:rsidRPr="0059441A">
        <w:rPr>
          <w:rFonts w:ascii="Tahoma" w:hAnsi="Tahoma" w:cs="Tahoma"/>
          <w:color w:val="000000" w:themeColor="text1"/>
        </w:rPr>
        <w:t xml:space="preserve"> </w:t>
      </w:r>
    </w:p>
    <w:p w:rsidR="00EE3A0C" w:rsidRPr="0059441A" w:rsidRDefault="00EE3A0C" w:rsidP="00E22430">
      <w:pPr>
        <w:tabs>
          <w:tab w:val="left" w:pos="0"/>
        </w:tabs>
        <w:suppressAutoHyphens/>
        <w:spacing w:after="120"/>
        <w:jc w:val="both"/>
        <w:rPr>
          <w:rFonts w:ascii="Tahoma" w:hAnsi="Tahoma" w:cs="Tahoma"/>
          <w:color w:val="000000" w:themeColor="text1"/>
        </w:rPr>
      </w:pPr>
    </w:p>
    <w:p w:rsidR="00EE3A0C" w:rsidRPr="0059441A" w:rsidRDefault="00EE3A0C" w:rsidP="00EE3A0C">
      <w:pPr>
        <w:tabs>
          <w:tab w:val="left" w:pos="0"/>
        </w:tabs>
        <w:suppressAutoHyphens/>
        <w:spacing w:after="120"/>
        <w:jc w:val="both"/>
        <w:rPr>
          <w:rFonts w:ascii="Tahoma" w:hAnsi="Tahoma" w:cs="Tahoma"/>
          <w:color w:val="000000" w:themeColor="text1"/>
        </w:rPr>
      </w:pPr>
      <w:r w:rsidRPr="0059441A">
        <w:rPr>
          <w:rFonts w:ascii="Tahoma" w:hAnsi="Tahoma" w:cs="Tahoma"/>
          <w:b/>
          <w:color w:val="000000" w:themeColor="text1"/>
        </w:rPr>
        <w:t xml:space="preserve">Apreciación incorrecta de la información publicada relativa </w:t>
      </w:r>
      <w:r w:rsidR="00B90E8A" w:rsidRPr="0059441A">
        <w:rPr>
          <w:rFonts w:ascii="Tahoma" w:hAnsi="Tahoma" w:cs="Tahoma"/>
          <w:b/>
          <w:color w:val="000000" w:themeColor="text1"/>
        </w:rPr>
        <w:t xml:space="preserve">las autorizaciones para la compatibilidad con actividades públicas o privadas concedidas a los </w:t>
      </w:r>
      <w:r w:rsidR="0081490E" w:rsidRPr="0059441A">
        <w:rPr>
          <w:rFonts w:ascii="Tahoma" w:hAnsi="Tahoma" w:cs="Tahoma"/>
          <w:b/>
          <w:color w:val="000000" w:themeColor="text1"/>
        </w:rPr>
        <w:t>empleados</w:t>
      </w:r>
      <w:r w:rsidR="00B90E8A" w:rsidRPr="0059441A">
        <w:rPr>
          <w:rFonts w:ascii="Tahoma" w:hAnsi="Tahoma" w:cs="Tahoma"/>
          <w:b/>
          <w:color w:val="000000" w:themeColor="text1"/>
        </w:rPr>
        <w:t xml:space="preserve"> de SEPES.</w:t>
      </w:r>
    </w:p>
    <w:p w:rsidR="00B90E8A" w:rsidRPr="0059441A" w:rsidRDefault="00B90E8A" w:rsidP="00E22430">
      <w:pPr>
        <w:tabs>
          <w:tab w:val="left" w:pos="0"/>
        </w:tabs>
        <w:suppressAutoHyphens/>
        <w:spacing w:after="120"/>
        <w:jc w:val="both"/>
        <w:rPr>
          <w:rFonts w:ascii="Tahoma" w:hAnsi="Tahoma" w:cs="Tahoma"/>
          <w:color w:val="000000" w:themeColor="text1"/>
        </w:rPr>
      </w:pPr>
    </w:p>
    <w:p w:rsidR="00B90E8A" w:rsidRPr="0059441A" w:rsidRDefault="00B90E8A" w:rsidP="00E22430">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 xml:space="preserve">El informe recomienda en sus conclusiones, el deber de publicar las autorizaciones para la compatibilidad con actividades públicas o privadas concedidas a los </w:t>
      </w:r>
      <w:r w:rsidR="0081490E" w:rsidRPr="0059441A">
        <w:rPr>
          <w:rFonts w:ascii="Tahoma" w:hAnsi="Tahoma" w:cs="Tahoma"/>
          <w:color w:val="000000" w:themeColor="text1"/>
        </w:rPr>
        <w:t>empleados</w:t>
      </w:r>
      <w:r w:rsidRPr="0059441A">
        <w:rPr>
          <w:rFonts w:ascii="Tahoma" w:hAnsi="Tahoma" w:cs="Tahoma"/>
          <w:color w:val="000000" w:themeColor="text1"/>
        </w:rPr>
        <w:t xml:space="preserve"> de SEPES.  </w:t>
      </w:r>
    </w:p>
    <w:p w:rsidR="00B90E8A" w:rsidRPr="0059441A" w:rsidRDefault="00B90E8A" w:rsidP="00B90E8A">
      <w:pPr>
        <w:tabs>
          <w:tab w:val="left" w:pos="0"/>
        </w:tabs>
        <w:suppressAutoHyphens/>
        <w:spacing w:after="120"/>
        <w:jc w:val="both"/>
        <w:rPr>
          <w:rFonts w:ascii="Tahoma" w:hAnsi="Tahoma" w:cs="Tahoma"/>
          <w:color w:val="000000" w:themeColor="text1"/>
        </w:rPr>
      </w:pPr>
    </w:p>
    <w:p w:rsidR="00B90E8A" w:rsidRPr="0059441A" w:rsidRDefault="00B90E8A" w:rsidP="00B90E8A">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 xml:space="preserve">Incurre por tanto en un error de apreciación, susceptible de revisión, por cuanto las </w:t>
      </w:r>
      <w:hyperlink r:id="rId9" w:tgtFrame="_blank" w:history="1">
        <w:r w:rsidRPr="0059441A">
          <w:rPr>
            <w:rFonts w:ascii="Tahoma" w:hAnsi="Tahoma" w:cs="Tahoma"/>
            <w:color w:val="000000" w:themeColor="text1"/>
          </w:rPr>
          <w:t>compatibilidades de empleados de SEPES</w:t>
        </w:r>
      </w:hyperlink>
      <w:r w:rsidRPr="0059441A">
        <w:rPr>
          <w:rFonts w:ascii="Tahoma" w:hAnsi="Tahoma" w:cs="Tahoma"/>
          <w:color w:val="000000" w:themeColor="text1"/>
        </w:rPr>
        <w:t xml:space="preserve"> se encontraban publicadas</w:t>
      </w:r>
      <w:r w:rsidR="004C30B1">
        <w:rPr>
          <w:rFonts w:ascii="Tahoma" w:hAnsi="Tahoma" w:cs="Tahoma"/>
          <w:color w:val="000000" w:themeColor="text1"/>
        </w:rPr>
        <w:t xml:space="preserve"> en el documento “</w:t>
      </w:r>
      <w:hyperlink r:id="rId10" w:tgtFrame="_blank" w:history="1">
        <w:r w:rsidR="004C30B1" w:rsidRPr="004C30B1">
          <w:rPr>
            <w:rFonts w:ascii="Tahoma" w:hAnsi="Tahoma" w:cs="Tahoma"/>
            <w:color w:val="000000" w:themeColor="text1"/>
          </w:rPr>
          <w:t>Compatibilidades de empleados de SEPES</w:t>
        </w:r>
      </w:hyperlink>
      <w:r w:rsidR="004C30B1" w:rsidRPr="004C30B1">
        <w:rPr>
          <w:rFonts w:ascii="Tahoma" w:hAnsi="Tahoma" w:cs="Tahoma"/>
          <w:color w:val="000000" w:themeColor="text1"/>
        </w:rPr>
        <w:t>”</w:t>
      </w:r>
      <w:r w:rsidRPr="0059441A">
        <w:rPr>
          <w:rFonts w:ascii="Tahoma" w:hAnsi="Tahoma" w:cs="Tahoma"/>
          <w:color w:val="000000" w:themeColor="text1"/>
        </w:rPr>
        <w:t xml:space="preserve"> </w:t>
      </w:r>
      <w:r w:rsidR="004C30B1">
        <w:rPr>
          <w:rFonts w:ascii="Tahoma" w:hAnsi="Tahoma" w:cs="Tahoma"/>
          <w:color w:val="000000" w:themeColor="text1"/>
        </w:rPr>
        <w:t>(</w:t>
      </w:r>
      <w:r w:rsidRPr="0059441A">
        <w:rPr>
          <w:rFonts w:ascii="Tahoma" w:hAnsi="Tahoma" w:cs="Tahoma"/>
          <w:color w:val="000000" w:themeColor="text1"/>
        </w:rPr>
        <w:t xml:space="preserve">en formato </w:t>
      </w:r>
      <w:proofErr w:type="spellStart"/>
      <w:r w:rsidRPr="0059441A">
        <w:rPr>
          <w:rFonts w:ascii="Tahoma" w:hAnsi="Tahoma" w:cs="Tahoma"/>
          <w:color w:val="000000" w:themeColor="text1"/>
        </w:rPr>
        <w:t>pdf</w:t>
      </w:r>
      <w:proofErr w:type="spellEnd"/>
      <w:r w:rsidRPr="0059441A">
        <w:rPr>
          <w:rFonts w:ascii="Tahoma" w:hAnsi="Tahoma" w:cs="Tahoma"/>
          <w:color w:val="000000" w:themeColor="text1"/>
        </w:rPr>
        <w:t xml:space="preserve"> editable</w:t>
      </w:r>
      <w:r w:rsidR="004C30B1">
        <w:rPr>
          <w:rFonts w:ascii="Tahoma" w:hAnsi="Tahoma" w:cs="Tahoma"/>
          <w:color w:val="000000" w:themeColor="text1"/>
        </w:rPr>
        <w:t>)</w:t>
      </w:r>
      <w:r w:rsidRPr="0059441A">
        <w:rPr>
          <w:rFonts w:ascii="Tahoma" w:hAnsi="Tahoma" w:cs="Tahoma"/>
          <w:color w:val="000000" w:themeColor="text1"/>
        </w:rPr>
        <w:t xml:space="preserve"> y accesible, a través del </w:t>
      </w:r>
      <w:proofErr w:type="spellStart"/>
      <w:r w:rsidR="004C30B1">
        <w:rPr>
          <w:rFonts w:ascii="Tahoma" w:hAnsi="Tahoma" w:cs="Tahoma"/>
          <w:color w:val="000000" w:themeColor="text1"/>
        </w:rPr>
        <w:t>sub</w:t>
      </w:r>
      <w:r w:rsidRPr="0059441A">
        <w:rPr>
          <w:rFonts w:ascii="Tahoma" w:hAnsi="Tahoma" w:cs="Tahoma"/>
          <w:color w:val="000000" w:themeColor="text1"/>
        </w:rPr>
        <w:t>apartado</w:t>
      </w:r>
      <w:proofErr w:type="spellEnd"/>
      <w:r w:rsidRPr="0059441A">
        <w:rPr>
          <w:rFonts w:ascii="Tahoma" w:hAnsi="Tahoma" w:cs="Tahoma"/>
          <w:color w:val="000000" w:themeColor="text1"/>
        </w:rPr>
        <w:t xml:space="preserve"> “Organigrama y Retribuciones”</w:t>
      </w:r>
      <w:r w:rsidR="004C30B1">
        <w:rPr>
          <w:rFonts w:ascii="Tahoma" w:hAnsi="Tahoma" w:cs="Tahoma"/>
          <w:color w:val="000000" w:themeColor="text1"/>
        </w:rPr>
        <w:t xml:space="preserve"> del apartado “Organización y Gobierno”</w:t>
      </w:r>
      <w:r w:rsidRPr="0059441A">
        <w:rPr>
          <w:rFonts w:ascii="Tahoma" w:hAnsi="Tahoma" w:cs="Tahoma"/>
          <w:color w:val="000000" w:themeColor="text1"/>
        </w:rPr>
        <w:t>, con la información de los empleados que han solicitado la compatibilidad y fecha en la que la Oficina de Conflictos de Intereses emite Resolución por la que resuelve reconocer la compatibilidad.</w:t>
      </w:r>
    </w:p>
    <w:p w:rsidR="0081490E" w:rsidRDefault="0081490E" w:rsidP="00B90E8A">
      <w:pPr>
        <w:tabs>
          <w:tab w:val="left" w:pos="0"/>
        </w:tabs>
        <w:suppressAutoHyphens/>
        <w:spacing w:after="120"/>
        <w:jc w:val="both"/>
        <w:rPr>
          <w:rFonts w:ascii="Tahoma" w:hAnsi="Tahoma" w:cs="Tahoma"/>
          <w:color w:val="000000" w:themeColor="text1"/>
        </w:rPr>
      </w:pPr>
    </w:p>
    <w:p w:rsidR="00B90E8A" w:rsidRPr="0059441A" w:rsidRDefault="00B90E8A" w:rsidP="00B90E8A">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 xml:space="preserve">No se trata por tanto de una omisión de información o falta de publicación de la misma, dado que se encontraba y se encuentra publicada en un apartado </w:t>
      </w:r>
      <w:r w:rsidR="0081490E" w:rsidRPr="0059441A">
        <w:rPr>
          <w:rFonts w:ascii="Tahoma" w:hAnsi="Tahoma" w:cs="Tahoma"/>
          <w:color w:val="000000" w:themeColor="text1"/>
        </w:rPr>
        <w:t>distinto</w:t>
      </w:r>
      <w:r w:rsidRPr="0059441A">
        <w:rPr>
          <w:rFonts w:ascii="Tahoma" w:hAnsi="Tahoma" w:cs="Tahoma"/>
          <w:color w:val="000000" w:themeColor="text1"/>
        </w:rPr>
        <w:t xml:space="preserve"> al de la información económica presupuestaria y </w:t>
      </w:r>
      <w:r w:rsidR="0081490E" w:rsidRPr="0059441A">
        <w:rPr>
          <w:rFonts w:ascii="Tahoma" w:hAnsi="Tahoma" w:cs="Tahoma"/>
          <w:color w:val="000000" w:themeColor="text1"/>
        </w:rPr>
        <w:t>estadística</w:t>
      </w:r>
      <w:r w:rsidRPr="0059441A">
        <w:rPr>
          <w:rFonts w:ascii="Tahoma" w:hAnsi="Tahoma" w:cs="Tahoma"/>
          <w:color w:val="000000" w:themeColor="text1"/>
        </w:rPr>
        <w:t>, sino, en todo caso, de una estructuración de la información diferente.</w:t>
      </w:r>
    </w:p>
    <w:p w:rsidR="00B90E8A" w:rsidRPr="0059441A" w:rsidRDefault="00B90E8A" w:rsidP="00B90E8A">
      <w:pPr>
        <w:tabs>
          <w:tab w:val="left" w:pos="0"/>
        </w:tabs>
        <w:suppressAutoHyphens/>
        <w:spacing w:after="120"/>
        <w:jc w:val="both"/>
        <w:rPr>
          <w:rFonts w:ascii="Tahoma" w:hAnsi="Tahoma" w:cs="Tahoma"/>
          <w:color w:val="000000" w:themeColor="text1"/>
        </w:rPr>
      </w:pPr>
    </w:p>
    <w:p w:rsidR="00B90E8A" w:rsidRPr="0059441A" w:rsidRDefault="00B90E8A" w:rsidP="00B90E8A">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 xml:space="preserve">En consecuencia, se solicita la revisión y consiguiente modificación del resultado </w:t>
      </w:r>
      <w:r w:rsidR="00045A41" w:rsidRPr="0059441A">
        <w:rPr>
          <w:rFonts w:ascii="Tahoma" w:hAnsi="Tahoma" w:cs="Tahoma"/>
          <w:color w:val="000000" w:themeColor="text1"/>
        </w:rPr>
        <w:t>d</w:t>
      </w:r>
      <w:r w:rsidRPr="0059441A">
        <w:rPr>
          <w:rFonts w:ascii="Tahoma" w:hAnsi="Tahoma" w:cs="Tahoma"/>
          <w:color w:val="000000" w:themeColor="text1"/>
        </w:rPr>
        <w:t xml:space="preserve">el informe en atención a lo expuesto, por encontrarnos ante una apreciación incorrecta, pues la información, ubicada en un apartado diferente al que </w:t>
      </w:r>
      <w:r w:rsidR="00395617" w:rsidRPr="0059441A">
        <w:rPr>
          <w:rFonts w:ascii="Tahoma" w:hAnsi="Tahoma" w:cs="Tahoma"/>
          <w:color w:val="000000" w:themeColor="text1"/>
        </w:rPr>
        <w:t>acudió el evaluador</w:t>
      </w:r>
      <w:r w:rsidRPr="0059441A">
        <w:rPr>
          <w:rFonts w:ascii="Tahoma" w:hAnsi="Tahoma" w:cs="Tahoma"/>
          <w:color w:val="000000" w:themeColor="text1"/>
        </w:rPr>
        <w:t xml:space="preserve"> </w:t>
      </w:r>
      <w:r w:rsidR="00395617" w:rsidRPr="0059441A">
        <w:rPr>
          <w:rFonts w:ascii="Tahoma" w:hAnsi="Tahoma" w:cs="Tahoma"/>
          <w:color w:val="000000" w:themeColor="text1"/>
        </w:rPr>
        <w:t>en su búsqueda, se encontraba y encuent</w:t>
      </w:r>
      <w:r w:rsidR="00E246DD" w:rsidRPr="0059441A">
        <w:rPr>
          <w:rFonts w:ascii="Tahoma" w:hAnsi="Tahoma" w:cs="Tahoma"/>
          <w:color w:val="000000" w:themeColor="text1"/>
        </w:rPr>
        <w:t>r</w:t>
      </w:r>
      <w:r w:rsidR="00395617" w:rsidRPr="0059441A">
        <w:rPr>
          <w:rFonts w:ascii="Tahoma" w:hAnsi="Tahoma" w:cs="Tahoma"/>
          <w:color w:val="000000" w:themeColor="text1"/>
        </w:rPr>
        <w:t>a publicada por parte de SEPES</w:t>
      </w:r>
      <w:r w:rsidRPr="0059441A">
        <w:rPr>
          <w:rFonts w:ascii="Tahoma" w:hAnsi="Tahoma" w:cs="Tahoma"/>
          <w:color w:val="000000" w:themeColor="text1"/>
        </w:rPr>
        <w:t xml:space="preserve">. </w:t>
      </w:r>
    </w:p>
    <w:p w:rsidR="00395617" w:rsidRPr="0059441A" w:rsidRDefault="00395617" w:rsidP="00E22430">
      <w:pPr>
        <w:tabs>
          <w:tab w:val="left" w:pos="0"/>
        </w:tabs>
        <w:suppressAutoHyphens/>
        <w:spacing w:after="120"/>
        <w:jc w:val="both"/>
        <w:rPr>
          <w:rFonts w:ascii="Tahoma" w:hAnsi="Tahoma" w:cs="Tahoma"/>
          <w:color w:val="000000" w:themeColor="text1"/>
        </w:rPr>
      </w:pPr>
    </w:p>
    <w:p w:rsidR="00395617" w:rsidRPr="0059441A" w:rsidRDefault="00395617" w:rsidP="00E22430">
      <w:pPr>
        <w:tabs>
          <w:tab w:val="left" w:pos="0"/>
        </w:tabs>
        <w:suppressAutoHyphens/>
        <w:spacing w:after="120"/>
        <w:jc w:val="both"/>
        <w:rPr>
          <w:rFonts w:ascii="Tahoma" w:hAnsi="Tahoma" w:cs="Tahoma"/>
          <w:color w:val="000000" w:themeColor="text1"/>
        </w:rPr>
      </w:pPr>
      <w:r w:rsidRPr="0059441A">
        <w:rPr>
          <w:rFonts w:ascii="Tahoma" w:hAnsi="Tahoma" w:cs="Tahoma"/>
          <w:color w:val="000000" w:themeColor="text1"/>
        </w:rPr>
        <w:t>En cuanto a las conclusiones del informe, cabe realizar las siguientes observaciones:</w:t>
      </w:r>
    </w:p>
    <w:p w:rsidR="00395617" w:rsidRPr="0059441A" w:rsidRDefault="00395617" w:rsidP="00395617">
      <w:pPr>
        <w:pStyle w:val="Cuerpodelboletn"/>
        <w:numPr>
          <w:ilvl w:val="0"/>
          <w:numId w:val="15"/>
        </w:numPr>
        <w:spacing w:before="120" w:after="120" w:line="312" w:lineRule="auto"/>
        <w:rPr>
          <w:rFonts w:ascii="Tahoma" w:hAnsi="Tahoma" w:cs="Tahoma"/>
          <w:b/>
          <w:color w:val="00642D"/>
          <w:szCs w:val="22"/>
        </w:rPr>
      </w:pPr>
      <w:r w:rsidRPr="0059441A">
        <w:rPr>
          <w:rFonts w:ascii="Tahoma" w:hAnsi="Tahoma" w:cs="Tahoma"/>
          <w:b/>
          <w:color w:val="00642D"/>
          <w:szCs w:val="22"/>
        </w:rPr>
        <w:t>Conclusiones y Recomendaciones</w:t>
      </w:r>
    </w:p>
    <w:p w:rsidR="00395617" w:rsidRPr="0059441A" w:rsidRDefault="00395617" w:rsidP="00395617">
      <w:pPr>
        <w:spacing w:before="120" w:after="120" w:line="312" w:lineRule="auto"/>
        <w:jc w:val="both"/>
        <w:rPr>
          <w:rFonts w:ascii="Tahoma" w:hAnsi="Tahoma" w:cs="Tahoma"/>
          <w:b/>
          <w:color w:val="00642D"/>
        </w:rPr>
      </w:pPr>
      <w:r w:rsidRPr="0059441A">
        <w:rPr>
          <w:rFonts w:ascii="Tahoma" w:hAnsi="Tahoma" w:cs="Tahoma"/>
          <w:b/>
          <w:color w:val="00642D"/>
        </w:rPr>
        <w:t>Incorporación de información</w:t>
      </w:r>
    </w:p>
    <w:p w:rsidR="00395617" w:rsidRPr="0059441A" w:rsidRDefault="00395617" w:rsidP="00395617">
      <w:pPr>
        <w:spacing w:before="120" w:after="120" w:line="312" w:lineRule="auto"/>
        <w:jc w:val="both"/>
        <w:outlineLvl w:val="1"/>
        <w:rPr>
          <w:rFonts w:ascii="Tahoma" w:hAnsi="Tahoma" w:cs="Tahoma"/>
          <w:b/>
          <w:color w:val="00642D"/>
        </w:rPr>
      </w:pPr>
      <w:r w:rsidRPr="0059441A">
        <w:rPr>
          <w:rFonts w:ascii="Tahoma" w:hAnsi="Tahoma" w:cs="Tahoma"/>
          <w:b/>
          <w:color w:val="00642D"/>
        </w:rPr>
        <w:t>Información Institucional, Organizativa y de Planificación. Registro de actividades de tratamiento.</w:t>
      </w:r>
    </w:p>
    <w:p w:rsidR="0031623D" w:rsidRDefault="00395617" w:rsidP="008D422C">
      <w:pPr>
        <w:pStyle w:val="Prrafodelista"/>
        <w:numPr>
          <w:ilvl w:val="0"/>
          <w:numId w:val="11"/>
        </w:numPr>
        <w:spacing w:after="200" w:line="276" w:lineRule="auto"/>
        <w:jc w:val="both"/>
      </w:pPr>
      <w:r w:rsidRPr="0059441A">
        <w:t xml:space="preserve">Con el objeto de mejorar los resultados de la Entidad, se trabajará </w:t>
      </w:r>
      <w:r w:rsidR="0031623D" w:rsidRPr="0059441A">
        <w:t xml:space="preserve">activamente </w:t>
      </w:r>
      <w:r w:rsidRPr="0059441A">
        <w:t>en el análisis y revisión de la información publicada</w:t>
      </w:r>
      <w:r w:rsidR="0031623D" w:rsidRPr="0059441A">
        <w:t>,</w:t>
      </w:r>
      <w:r w:rsidRPr="0059441A">
        <w:t xml:space="preserve"> </w:t>
      </w:r>
      <w:r w:rsidR="0031623D" w:rsidRPr="0059441A">
        <w:t xml:space="preserve">en particular la </w:t>
      </w:r>
      <w:r w:rsidRPr="0059441A">
        <w:t xml:space="preserve">relativa al registro de actividades de tratamiento y descripción detallada de toda la estructura organizativa de SEPES, </w:t>
      </w:r>
      <w:r w:rsidR="0031623D" w:rsidRPr="0059441A">
        <w:t>e</w:t>
      </w:r>
      <w:r w:rsidRPr="0059441A">
        <w:t>n atenció</w:t>
      </w:r>
      <w:r w:rsidR="0031623D" w:rsidRPr="0059441A">
        <w:t>n</w:t>
      </w:r>
      <w:r w:rsidRPr="0059441A">
        <w:t xml:space="preserve"> a las recomendaciones del informe de cumplimiento.</w:t>
      </w:r>
    </w:p>
    <w:p w:rsidR="000B791F" w:rsidRPr="0059441A" w:rsidRDefault="000B791F" w:rsidP="000B791F">
      <w:pPr>
        <w:pStyle w:val="Prrafodelista"/>
        <w:spacing w:after="200" w:line="276" w:lineRule="auto"/>
        <w:jc w:val="both"/>
      </w:pPr>
    </w:p>
    <w:p w:rsidR="00395617" w:rsidRPr="00471269" w:rsidRDefault="0031623D" w:rsidP="001052E1">
      <w:pPr>
        <w:pStyle w:val="Prrafodelista"/>
        <w:numPr>
          <w:ilvl w:val="0"/>
          <w:numId w:val="11"/>
        </w:numPr>
        <w:spacing w:after="200" w:line="276" w:lineRule="auto"/>
        <w:contextualSpacing w:val="0"/>
        <w:jc w:val="both"/>
        <w:rPr>
          <w:color w:val="000000" w:themeColor="text1"/>
        </w:rPr>
      </w:pPr>
      <w:r w:rsidRPr="0059441A">
        <w:t xml:space="preserve">En cuanto a la recomendación relativa al </w:t>
      </w:r>
      <w:r w:rsidR="00395617" w:rsidRPr="0059441A">
        <w:t>seguimiento del cumplimento de los planes</w:t>
      </w:r>
      <w:r w:rsidRPr="0059441A">
        <w:t xml:space="preserve">, </w:t>
      </w:r>
      <w:r w:rsidR="00471269">
        <w:t xml:space="preserve">indicar que </w:t>
      </w:r>
      <w:r w:rsidR="00471269">
        <w:rPr>
          <w:color w:val="000000" w:themeColor="text1"/>
        </w:rPr>
        <w:t>e</w:t>
      </w:r>
      <w:r w:rsidR="00471269" w:rsidRPr="00471269">
        <w:rPr>
          <w:color w:val="000000" w:themeColor="text1"/>
        </w:rPr>
        <w:t>l objetivo de SEPES</w:t>
      </w:r>
      <w:r w:rsidR="00471269">
        <w:rPr>
          <w:color w:val="000000" w:themeColor="text1"/>
        </w:rPr>
        <w:t xml:space="preserve"> es</w:t>
      </w:r>
      <w:r w:rsidR="00471269" w:rsidRPr="00471269">
        <w:rPr>
          <w:color w:val="000000" w:themeColor="text1"/>
        </w:rPr>
        <w:t xml:space="preserve"> recoger la información importante y</w:t>
      </w:r>
      <w:r w:rsidR="00471269">
        <w:rPr>
          <w:color w:val="000000" w:themeColor="text1"/>
        </w:rPr>
        <w:t xml:space="preserve"> accesible a la ciudadanía</w:t>
      </w:r>
      <w:r w:rsidR="00C71C9A">
        <w:rPr>
          <w:color w:val="000000" w:themeColor="text1"/>
        </w:rPr>
        <w:t>,</w:t>
      </w:r>
      <w:r w:rsidR="00471269">
        <w:rPr>
          <w:color w:val="000000" w:themeColor="text1"/>
        </w:rPr>
        <w:t xml:space="preserve"> y</w:t>
      </w:r>
      <w:r w:rsidR="0027769D">
        <w:rPr>
          <w:color w:val="000000" w:themeColor="text1"/>
        </w:rPr>
        <w:t xml:space="preserve"> el Informe E</w:t>
      </w:r>
      <w:r w:rsidR="00471269" w:rsidRPr="00471269">
        <w:rPr>
          <w:color w:val="000000" w:themeColor="text1"/>
        </w:rPr>
        <w:t>jecutivo</w:t>
      </w:r>
      <w:r w:rsidR="0027769D">
        <w:rPr>
          <w:color w:val="000000" w:themeColor="text1"/>
        </w:rPr>
        <w:t xml:space="preserve"> publicado</w:t>
      </w:r>
      <w:r w:rsidR="00471269" w:rsidRPr="00471269">
        <w:rPr>
          <w:color w:val="000000" w:themeColor="text1"/>
        </w:rPr>
        <w:t xml:space="preserve"> recoge en su totalidad las conclusiones y resultados del informe </w:t>
      </w:r>
      <w:r w:rsidR="00C87625">
        <w:rPr>
          <w:color w:val="000000" w:themeColor="text1"/>
        </w:rPr>
        <w:t>de evaluación d</w:t>
      </w:r>
      <w:r w:rsidR="0027769D">
        <w:rPr>
          <w:color w:val="000000" w:themeColor="text1"/>
        </w:rPr>
        <w:t>el Ministerio de adscripción.</w:t>
      </w:r>
      <w:r w:rsidR="00471269" w:rsidRPr="00471269">
        <w:rPr>
          <w:color w:val="000000" w:themeColor="text1"/>
        </w:rPr>
        <w:t xml:space="preserve"> </w:t>
      </w:r>
      <w:r w:rsidR="00471269">
        <w:rPr>
          <w:color w:val="000000" w:themeColor="text1"/>
        </w:rPr>
        <w:t xml:space="preserve">Resaltar que este Informe Ejecutivo </w:t>
      </w:r>
      <w:r w:rsidR="00471269" w:rsidRPr="00471269">
        <w:rPr>
          <w:color w:val="000000" w:themeColor="text1"/>
        </w:rPr>
        <w:t>no es un documento elaborado por SEPES sino por el propio órgano Inspector</w:t>
      </w:r>
      <w:r w:rsidR="00471269">
        <w:rPr>
          <w:color w:val="000000" w:themeColor="text1"/>
        </w:rPr>
        <w:t>,</w:t>
      </w:r>
      <w:r w:rsidR="00471269" w:rsidRPr="00471269">
        <w:rPr>
          <w:color w:val="000000" w:themeColor="text1"/>
        </w:rPr>
        <w:t xml:space="preserve"> con dicha finalidad</w:t>
      </w:r>
      <w:r w:rsidR="00471269">
        <w:rPr>
          <w:color w:val="000000" w:themeColor="text1"/>
        </w:rPr>
        <w:t xml:space="preserve">. No obstante, </w:t>
      </w:r>
      <w:r w:rsidRPr="0059441A">
        <w:t xml:space="preserve">se analizará la necesidad de ampliar la información publicada </w:t>
      </w:r>
      <w:r w:rsidR="00395617" w:rsidRPr="0059441A">
        <w:t xml:space="preserve">que </w:t>
      </w:r>
      <w:r w:rsidRPr="0059441A">
        <w:t xml:space="preserve">ya </w:t>
      </w:r>
      <w:r w:rsidR="00395617" w:rsidRPr="0059441A">
        <w:t xml:space="preserve">recoge </w:t>
      </w:r>
      <w:r w:rsidRPr="0059441A">
        <w:t xml:space="preserve">en su </w:t>
      </w:r>
      <w:r w:rsidR="0081490E" w:rsidRPr="00471269">
        <w:rPr>
          <w:color w:val="000000" w:themeColor="text1"/>
        </w:rPr>
        <w:t>totalidad</w:t>
      </w:r>
      <w:r w:rsidRPr="00471269">
        <w:rPr>
          <w:color w:val="000000" w:themeColor="text1"/>
        </w:rPr>
        <w:t xml:space="preserve"> </w:t>
      </w:r>
      <w:r w:rsidR="00395617" w:rsidRPr="00471269">
        <w:rPr>
          <w:color w:val="000000" w:themeColor="text1"/>
        </w:rPr>
        <w:t xml:space="preserve">las conclusiones y resultados del </w:t>
      </w:r>
      <w:r w:rsidR="00471269">
        <w:rPr>
          <w:color w:val="000000" w:themeColor="text1"/>
        </w:rPr>
        <w:t xml:space="preserve">citado </w:t>
      </w:r>
      <w:r w:rsidR="00395617" w:rsidRPr="00471269">
        <w:rPr>
          <w:color w:val="000000" w:themeColor="text1"/>
        </w:rPr>
        <w:t>informe</w:t>
      </w:r>
      <w:r w:rsidRPr="00471269">
        <w:rPr>
          <w:color w:val="000000" w:themeColor="text1"/>
        </w:rPr>
        <w:t xml:space="preserve"> </w:t>
      </w:r>
      <w:r w:rsidR="006F6EE2" w:rsidRPr="00471269">
        <w:rPr>
          <w:color w:val="000000" w:themeColor="text1"/>
        </w:rPr>
        <w:t>eval</w:t>
      </w:r>
      <w:r w:rsidR="008D422C" w:rsidRPr="00471269">
        <w:rPr>
          <w:color w:val="000000" w:themeColor="text1"/>
        </w:rPr>
        <w:t>uado</w:t>
      </w:r>
      <w:r w:rsidR="00C71C9A">
        <w:rPr>
          <w:color w:val="000000" w:themeColor="text1"/>
        </w:rPr>
        <w:t>r</w:t>
      </w:r>
      <w:r w:rsidRPr="00471269">
        <w:rPr>
          <w:color w:val="000000" w:themeColor="text1"/>
        </w:rPr>
        <w:t>.</w:t>
      </w:r>
    </w:p>
    <w:p w:rsidR="000B791F" w:rsidRPr="00471269" w:rsidRDefault="000B791F" w:rsidP="000B791F">
      <w:pPr>
        <w:pStyle w:val="Prrafodelista"/>
        <w:spacing w:after="200" w:line="276" w:lineRule="auto"/>
        <w:jc w:val="both"/>
        <w:rPr>
          <w:color w:val="000000" w:themeColor="text1"/>
        </w:rPr>
      </w:pPr>
    </w:p>
    <w:p w:rsidR="000B791F" w:rsidRDefault="000B791F" w:rsidP="000B791F">
      <w:pPr>
        <w:pStyle w:val="Prrafodelista"/>
        <w:numPr>
          <w:ilvl w:val="0"/>
          <w:numId w:val="11"/>
        </w:numPr>
        <w:spacing w:after="200" w:line="276" w:lineRule="auto"/>
        <w:jc w:val="both"/>
        <w:rPr>
          <w:color w:val="000000" w:themeColor="text1"/>
        </w:rPr>
      </w:pPr>
      <w:r w:rsidRPr="0059441A">
        <w:rPr>
          <w:color w:val="000000" w:themeColor="text1"/>
        </w:rPr>
        <w:t xml:space="preserve">Sin formar parte de las </w:t>
      </w:r>
      <w:r>
        <w:rPr>
          <w:color w:val="000000" w:themeColor="text1"/>
        </w:rPr>
        <w:t>conclusiones</w:t>
      </w:r>
      <w:r w:rsidRPr="0059441A">
        <w:rPr>
          <w:color w:val="000000" w:themeColor="text1"/>
        </w:rPr>
        <w:t xml:space="preserve">, en el cuerpo del informe de cumplimiento se hace </w:t>
      </w:r>
      <w:r w:rsidR="007A0540">
        <w:rPr>
          <w:color w:val="000000" w:themeColor="text1"/>
        </w:rPr>
        <w:t>mención</w:t>
      </w:r>
      <w:r w:rsidRPr="0059441A">
        <w:rPr>
          <w:color w:val="000000" w:themeColor="text1"/>
        </w:rPr>
        <w:t xml:space="preserve"> a la falta de </w:t>
      </w:r>
      <w:r>
        <w:rPr>
          <w:color w:val="000000" w:themeColor="text1"/>
        </w:rPr>
        <w:t>referencias a la última fecha en que se revisó o actualizó la información relativa a la Normativa aplicable.</w:t>
      </w:r>
    </w:p>
    <w:p w:rsidR="000B791F" w:rsidRDefault="000B791F" w:rsidP="000B791F">
      <w:pPr>
        <w:pStyle w:val="Prrafodelista"/>
        <w:spacing w:after="200" w:line="276" w:lineRule="auto"/>
        <w:jc w:val="both"/>
        <w:rPr>
          <w:color w:val="000000" w:themeColor="text1"/>
        </w:rPr>
      </w:pPr>
    </w:p>
    <w:p w:rsidR="000B791F" w:rsidRDefault="000B791F" w:rsidP="000B791F">
      <w:pPr>
        <w:pStyle w:val="Prrafodelista"/>
        <w:spacing w:after="200" w:line="276" w:lineRule="auto"/>
        <w:jc w:val="both"/>
        <w:rPr>
          <w:color w:val="000000" w:themeColor="text1"/>
        </w:rPr>
      </w:pPr>
      <w:r>
        <w:rPr>
          <w:color w:val="000000" w:themeColor="text1"/>
        </w:rPr>
        <w:t xml:space="preserve">La información relativa a la fecha de publicación/actualización del documento </w:t>
      </w:r>
      <w:r w:rsidRPr="000B791F">
        <w:rPr>
          <w:color w:val="000000" w:themeColor="text1"/>
        </w:rPr>
        <w:t xml:space="preserve">“Normativa”, ubicado </w:t>
      </w:r>
      <w:r w:rsidR="003A441B">
        <w:rPr>
          <w:color w:val="000000" w:themeColor="text1"/>
        </w:rPr>
        <w:t xml:space="preserve">en el </w:t>
      </w:r>
      <w:proofErr w:type="spellStart"/>
      <w:r w:rsidR="003A441B">
        <w:rPr>
          <w:color w:val="000000" w:themeColor="text1"/>
        </w:rPr>
        <w:t>sub</w:t>
      </w:r>
      <w:r w:rsidR="007A0907">
        <w:rPr>
          <w:color w:val="000000" w:themeColor="text1"/>
        </w:rPr>
        <w:t>ap</w:t>
      </w:r>
      <w:r w:rsidR="003A441B">
        <w:rPr>
          <w:color w:val="000000" w:themeColor="text1"/>
        </w:rPr>
        <w:t>artado</w:t>
      </w:r>
      <w:proofErr w:type="spellEnd"/>
      <w:r w:rsidR="003A441B">
        <w:rPr>
          <w:color w:val="000000" w:themeColor="text1"/>
        </w:rPr>
        <w:t xml:space="preserve"> “Normativa” del apartado</w:t>
      </w:r>
      <w:r w:rsidRPr="000B791F">
        <w:rPr>
          <w:color w:val="000000" w:themeColor="text1"/>
        </w:rPr>
        <w:t xml:space="preserve"> </w:t>
      </w:r>
      <w:r w:rsidR="00291CD6">
        <w:rPr>
          <w:color w:val="000000" w:themeColor="text1"/>
        </w:rPr>
        <w:t>“</w:t>
      </w:r>
      <w:r w:rsidRPr="000B791F">
        <w:rPr>
          <w:color w:val="000000" w:themeColor="text1"/>
        </w:rPr>
        <w:t>Información General, Normativa y Funciones</w:t>
      </w:r>
      <w:r w:rsidR="00291CD6">
        <w:rPr>
          <w:color w:val="000000" w:themeColor="text1"/>
        </w:rPr>
        <w:t>”</w:t>
      </w:r>
      <w:r>
        <w:rPr>
          <w:color w:val="000000" w:themeColor="text1"/>
        </w:rPr>
        <w:t xml:space="preserve">, </w:t>
      </w:r>
      <w:r w:rsidR="003A441B">
        <w:rPr>
          <w:color w:val="000000" w:themeColor="text1"/>
        </w:rPr>
        <w:t xml:space="preserve">se ubica </w:t>
      </w:r>
      <w:r>
        <w:rPr>
          <w:color w:val="000000" w:themeColor="text1"/>
        </w:rPr>
        <w:t>en la parte superior derecha del encabezado</w:t>
      </w:r>
      <w:r w:rsidR="003A441B">
        <w:rPr>
          <w:color w:val="000000" w:themeColor="text1"/>
        </w:rPr>
        <w:t xml:space="preserve"> del documento</w:t>
      </w:r>
      <w:r>
        <w:rPr>
          <w:color w:val="000000" w:themeColor="text1"/>
        </w:rPr>
        <w:t>.</w:t>
      </w:r>
    </w:p>
    <w:p w:rsidR="006F6EE2" w:rsidRPr="0059441A" w:rsidRDefault="006F6EE2" w:rsidP="000B791F">
      <w:pPr>
        <w:pStyle w:val="Prrafodelista"/>
        <w:spacing w:after="200" w:line="276" w:lineRule="auto"/>
        <w:jc w:val="both"/>
        <w:rPr>
          <w:color w:val="000000" w:themeColor="text1"/>
        </w:rPr>
      </w:pPr>
    </w:p>
    <w:p w:rsidR="00395617" w:rsidRPr="0059441A" w:rsidRDefault="00395617" w:rsidP="00395617">
      <w:pPr>
        <w:spacing w:before="120" w:after="120" w:line="312" w:lineRule="auto"/>
        <w:jc w:val="both"/>
        <w:outlineLvl w:val="1"/>
        <w:rPr>
          <w:rFonts w:ascii="Tahoma" w:hAnsi="Tahoma" w:cs="Tahoma"/>
          <w:b/>
          <w:color w:val="00642D"/>
        </w:rPr>
      </w:pPr>
      <w:r w:rsidRPr="0059441A">
        <w:rPr>
          <w:rFonts w:ascii="Tahoma" w:hAnsi="Tahoma" w:cs="Tahoma"/>
          <w:b/>
          <w:color w:val="00642D"/>
        </w:rPr>
        <w:t>Información Económica, Presupuestaria y Estadística.</w:t>
      </w:r>
    </w:p>
    <w:p w:rsidR="006C253E" w:rsidRDefault="006C253E" w:rsidP="006C253E">
      <w:pPr>
        <w:pStyle w:val="Prrafodelista"/>
        <w:numPr>
          <w:ilvl w:val="0"/>
          <w:numId w:val="11"/>
        </w:numPr>
        <w:spacing w:after="200" w:line="276" w:lineRule="auto"/>
        <w:jc w:val="both"/>
        <w:rPr>
          <w:color w:val="000000" w:themeColor="text1"/>
        </w:rPr>
      </w:pPr>
      <w:r w:rsidRPr="0059441A">
        <w:rPr>
          <w:color w:val="000000" w:themeColor="text1"/>
        </w:rPr>
        <w:t xml:space="preserve">Sin formar parte de las </w:t>
      </w:r>
      <w:r>
        <w:rPr>
          <w:color w:val="000000" w:themeColor="text1"/>
        </w:rPr>
        <w:t>conclusiones</w:t>
      </w:r>
      <w:r w:rsidRPr="0059441A">
        <w:rPr>
          <w:color w:val="000000" w:themeColor="text1"/>
        </w:rPr>
        <w:t xml:space="preserve">, en el cuerpo del informe de cumplimiento se hace referencia a la falta de </w:t>
      </w:r>
      <w:r>
        <w:rPr>
          <w:color w:val="000000" w:themeColor="text1"/>
        </w:rPr>
        <w:t>localización de contratos modificados entre la información que ofrece SEPES</w:t>
      </w:r>
      <w:r w:rsidRPr="0059441A">
        <w:rPr>
          <w:color w:val="000000" w:themeColor="text1"/>
        </w:rPr>
        <w:t>.</w:t>
      </w:r>
    </w:p>
    <w:p w:rsidR="006C253E" w:rsidRDefault="006C253E" w:rsidP="006C253E">
      <w:pPr>
        <w:pStyle w:val="Prrafodelista"/>
        <w:spacing w:after="200" w:line="276" w:lineRule="auto"/>
        <w:jc w:val="both"/>
        <w:rPr>
          <w:color w:val="000000" w:themeColor="text1"/>
        </w:rPr>
      </w:pPr>
    </w:p>
    <w:p w:rsidR="006C253E" w:rsidRPr="0059441A" w:rsidRDefault="006C253E" w:rsidP="006C253E">
      <w:pPr>
        <w:pStyle w:val="Prrafodelista"/>
        <w:spacing w:after="200" w:line="276" w:lineRule="auto"/>
        <w:jc w:val="both"/>
        <w:rPr>
          <w:color w:val="000000" w:themeColor="text1"/>
        </w:rPr>
      </w:pPr>
      <w:r>
        <w:rPr>
          <w:color w:val="000000" w:themeColor="text1"/>
        </w:rPr>
        <w:t xml:space="preserve">Tal información existe en el </w:t>
      </w:r>
      <w:r w:rsidR="00053807">
        <w:rPr>
          <w:color w:val="000000" w:themeColor="text1"/>
        </w:rPr>
        <w:t>Espacio</w:t>
      </w:r>
      <w:r>
        <w:rPr>
          <w:color w:val="000000" w:themeColor="text1"/>
        </w:rPr>
        <w:t xml:space="preserve"> de </w:t>
      </w:r>
      <w:r w:rsidR="00053807">
        <w:rPr>
          <w:color w:val="000000" w:themeColor="text1"/>
        </w:rPr>
        <w:t>Transparencia</w:t>
      </w:r>
      <w:r>
        <w:rPr>
          <w:color w:val="000000" w:themeColor="text1"/>
        </w:rPr>
        <w:t xml:space="preserve"> de la Entidad</w:t>
      </w:r>
      <w:r w:rsidR="00AC6B5F">
        <w:rPr>
          <w:color w:val="000000" w:themeColor="text1"/>
        </w:rPr>
        <w:t xml:space="preserve">, </w:t>
      </w:r>
      <w:r w:rsidR="00117CB3">
        <w:rPr>
          <w:color w:val="000000" w:themeColor="text1"/>
        </w:rPr>
        <w:t xml:space="preserve">accesible a través de </w:t>
      </w:r>
      <w:r w:rsidR="00AC6B5F">
        <w:rPr>
          <w:color w:val="000000" w:themeColor="text1"/>
        </w:rPr>
        <w:t xml:space="preserve">los </w:t>
      </w:r>
      <w:proofErr w:type="spellStart"/>
      <w:r w:rsidR="00AC6B5F">
        <w:rPr>
          <w:color w:val="000000" w:themeColor="text1"/>
        </w:rPr>
        <w:t>subapartados</w:t>
      </w:r>
      <w:proofErr w:type="spellEnd"/>
      <w:r w:rsidR="00AC6B5F">
        <w:rPr>
          <w:color w:val="000000" w:themeColor="text1"/>
        </w:rPr>
        <w:t xml:space="preserve"> “Contratos (incluidos contratos menores)” y “Modificaciones de contratos”, del apartado “Contratos, Convenios y Subvenciones”</w:t>
      </w:r>
      <w:r>
        <w:rPr>
          <w:color w:val="000000" w:themeColor="text1"/>
        </w:rPr>
        <w:t xml:space="preserve">, tanto en fichas </w:t>
      </w:r>
      <w:r w:rsidR="0081490E">
        <w:rPr>
          <w:color w:val="000000" w:themeColor="text1"/>
        </w:rPr>
        <w:t>individuales</w:t>
      </w:r>
      <w:r>
        <w:rPr>
          <w:color w:val="000000" w:themeColor="text1"/>
        </w:rPr>
        <w:t xml:space="preserve">, con los datos anuales correspondientes a las modificaciones de los contratos, así como en los listados de contratos, también anuales, en una última columna referida a </w:t>
      </w:r>
      <w:r w:rsidR="0081490E">
        <w:rPr>
          <w:color w:val="000000" w:themeColor="text1"/>
        </w:rPr>
        <w:t>modificaciones</w:t>
      </w:r>
      <w:r>
        <w:rPr>
          <w:color w:val="000000" w:themeColor="text1"/>
        </w:rPr>
        <w:t>.</w:t>
      </w:r>
    </w:p>
    <w:p w:rsidR="006C253E" w:rsidRDefault="006C253E" w:rsidP="006C253E">
      <w:pPr>
        <w:pStyle w:val="Prrafodelista"/>
        <w:spacing w:after="200" w:line="276" w:lineRule="auto"/>
        <w:jc w:val="both"/>
      </w:pPr>
    </w:p>
    <w:p w:rsidR="008D422C" w:rsidRPr="0059441A" w:rsidRDefault="008D422C" w:rsidP="00395617">
      <w:pPr>
        <w:pStyle w:val="Prrafodelista"/>
        <w:numPr>
          <w:ilvl w:val="0"/>
          <w:numId w:val="11"/>
        </w:numPr>
        <w:spacing w:after="200" w:line="276" w:lineRule="auto"/>
        <w:jc w:val="both"/>
      </w:pPr>
      <w:r w:rsidRPr="0059441A">
        <w:t>En cuanto a la recomendación sobre la publicación de la i</w:t>
      </w:r>
      <w:r w:rsidR="00395617" w:rsidRPr="0059441A">
        <w:t>nformación sobre las encomiendas de gestión, incluyendo en su caso, las subcontrataciones derivadas, de manera individualizada e independiente de los convenios</w:t>
      </w:r>
      <w:r w:rsidRPr="0059441A">
        <w:t>, se tomará en consideración, a efectos de separar la información de estos documentos</w:t>
      </w:r>
      <w:r w:rsidR="00395617" w:rsidRPr="0059441A">
        <w:t>.</w:t>
      </w:r>
    </w:p>
    <w:p w:rsidR="008D422C" w:rsidRPr="0059441A" w:rsidRDefault="008D422C" w:rsidP="008D422C">
      <w:pPr>
        <w:pStyle w:val="Prrafodelista"/>
        <w:spacing w:after="200" w:line="276" w:lineRule="auto"/>
        <w:jc w:val="both"/>
      </w:pPr>
    </w:p>
    <w:p w:rsidR="008D422C" w:rsidRPr="0059441A" w:rsidRDefault="008D422C" w:rsidP="008D422C">
      <w:pPr>
        <w:pStyle w:val="Prrafodelista"/>
        <w:spacing w:after="200" w:line="276" w:lineRule="auto"/>
        <w:jc w:val="both"/>
      </w:pPr>
      <w:r w:rsidRPr="0059441A">
        <w:t xml:space="preserve">Cabe señalar, no obstante, que no se trata de un error involuntario, dado que la información se encuentra agrupada por tratarse de documentos que gozan de atributos coincidentes, denominándose las fichas anuales con la información: “Convenios y </w:t>
      </w:r>
      <w:r w:rsidR="0081490E" w:rsidRPr="0059441A">
        <w:t>encomiendas</w:t>
      </w:r>
      <w:r w:rsidRPr="0059441A">
        <w:t xml:space="preserve"> de gestión”. </w:t>
      </w:r>
    </w:p>
    <w:p w:rsidR="008D422C" w:rsidRPr="0059441A" w:rsidRDefault="008D422C" w:rsidP="008D422C">
      <w:pPr>
        <w:pStyle w:val="Prrafodelista"/>
        <w:spacing w:after="200" w:line="276" w:lineRule="auto"/>
        <w:jc w:val="both"/>
      </w:pPr>
    </w:p>
    <w:p w:rsidR="00395617" w:rsidRPr="0059441A" w:rsidRDefault="008D422C" w:rsidP="008D422C">
      <w:pPr>
        <w:pStyle w:val="Prrafodelista"/>
        <w:spacing w:after="200" w:line="276" w:lineRule="auto"/>
        <w:jc w:val="both"/>
        <w:rPr>
          <w:color w:val="000000" w:themeColor="text1"/>
        </w:rPr>
      </w:pPr>
      <w:r w:rsidRPr="0059441A">
        <w:rPr>
          <w:color w:val="000000" w:themeColor="text1"/>
        </w:rPr>
        <w:lastRenderedPageBreak/>
        <w:t>En definitiva, e</w:t>
      </w:r>
      <w:r w:rsidR="00395617" w:rsidRPr="0059441A">
        <w:rPr>
          <w:color w:val="000000" w:themeColor="text1"/>
        </w:rPr>
        <w:t xml:space="preserve">n la actualidad, se publica </w:t>
      </w:r>
      <w:r w:rsidRPr="0059441A">
        <w:rPr>
          <w:color w:val="000000" w:themeColor="text1"/>
        </w:rPr>
        <w:t xml:space="preserve">un </w:t>
      </w:r>
      <w:r w:rsidR="00395617" w:rsidRPr="0059441A">
        <w:rPr>
          <w:color w:val="000000" w:themeColor="text1"/>
        </w:rPr>
        <w:t xml:space="preserve">documento que incluye de manera conjunta la información </w:t>
      </w:r>
      <w:r w:rsidRPr="0059441A">
        <w:rPr>
          <w:color w:val="000000" w:themeColor="text1"/>
        </w:rPr>
        <w:t xml:space="preserve">anual </w:t>
      </w:r>
      <w:r w:rsidR="00395617" w:rsidRPr="0059441A">
        <w:rPr>
          <w:color w:val="000000" w:themeColor="text1"/>
        </w:rPr>
        <w:t xml:space="preserve">sobre los convenios y sobre las encomiendas de gestión. Se </w:t>
      </w:r>
      <w:r w:rsidRPr="0059441A">
        <w:rPr>
          <w:color w:val="000000" w:themeColor="text1"/>
        </w:rPr>
        <w:t xml:space="preserve">revisará el formato para </w:t>
      </w:r>
      <w:r w:rsidR="00395617" w:rsidRPr="0059441A">
        <w:rPr>
          <w:color w:val="000000" w:themeColor="text1"/>
        </w:rPr>
        <w:t>llevar a cabo la publicación de dos documentos, uno para convenios y otro para encomiendas de gestión, en los que se incluya información sobre el presupuesto asignado.</w:t>
      </w:r>
    </w:p>
    <w:p w:rsidR="00A55334" w:rsidRDefault="00A55334" w:rsidP="008D422C">
      <w:pPr>
        <w:pStyle w:val="Prrafodelista"/>
        <w:spacing w:after="200" w:line="276" w:lineRule="auto"/>
        <w:jc w:val="both"/>
        <w:rPr>
          <w:color w:val="000000" w:themeColor="text1"/>
        </w:rPr>
      </w:pPr>
    </w:p>
    <w:p w:rsidR="006F6B5C" w:rsidRDefault="006F6B5C" w:rsidP="008D422C">
      <w:pPr>
        <w:pStyle w:val="Prrafodelista"/>
        <w:spacing w:after="200" w:line="276" w:lineRule="auto"/>
        <w:jc w:val="both"/>
        <w:rPr>
          <w:color w:val="000000" w:themeColor="text1"/>
        </w:rPr>
      </w:pPr>
      <w:r>
        <w:rPr>
          <w:color w:val="000000" w:themeColor="text1"/>
        </w:rPr>
        <w:t>Además, respecto de la información relativa a subcontrataciones en las encomiendas de gestión, a la que se hace mención en el cuerpo del informe sin formar parte de las conclusiones, se analizará la información para en su caso mejorar la misma.</w:t>
      </w:r>
    </w:p>
    <w:p w:rsidR="009A471F" w:rsidRDefault="009A471F" w:rsidP="008D422C">
      <w:pPr>
        <w:pStyle w:val="Prrafodelista"/>
        <w:spacing w:after="200" w:line="276" w:lineRule="auto"/>
        <w:jc w:val="both"/>
        <w:rPr>
          <w:color w:val="000000" w:themeColor="text1"/>
        </w:rPr>
      </w:pPr>
    </w:p>
    <w:p w:rsidR="008D422C" w:rsidRPr="0059441A" w:rsidRDefault="00A55334" w:rsidP="00A55334">
      <w:pPr>
        <w:pStyle w:val="Prrafodelista"/>
        <w:numPr>
          <w:ilvl w:val="0"/>
          <w:numId w:val="11"/>
        </w:numPr>
        <w:spacing w:after="200" w:line="276" w:lineRule="auto"/>
        <w:jc w:val="both"/>
        <w:rPr>
          <w:color w:val="000000" w:themeColor="text1"/>
        </w:rPr>
      </w:pPr>
      <w:r w:rsidRPr="0059441A">
        <w:rPr>
          <w:color w:val="000000" w:themeColor="text1"/>
        </w:rPr>
        <w:t xml:space="preserve">Sin formar parte de las </w:t>
      </w:r>
      <w:r w:rsidR="006C253E">
        <w:rPr>
          <w:color w:val="000000" w:themeColor="text1"/>
        </w:rPr>
        <w:t>conclusiones</w:t>
      </w:r>
      <w:r w:rsidRPr="0059441A">
        <w:rPr>
          <w:color w:val="000000" w:themeColor="text1"/>
        </w:rPr>
        <w:t xml:space="preserve">, en el cuerpo del informe de cumplimiento se hace referencia a la falta de información sobre las modificaciones de convenios. </w:t>
      </w:r>
    </w:p>
    <w:p w:rsidR="00A55334" w:rsidRPr="0059441A" w:rsidRDefault="00A55334" w:rsidP="00A55334">
      <w:pPr>
        <w:pStyle w:val="Prrafodelista"/>
        <w:spacing w:after="200" w:line="276" w:lineRule="auto"/>
        <w:jc w:val="both"/>
        <w:rPr>
          <w:color w:val="000000" w:themeColor="text1"/>
        </w:rPr>
      </w:pPr>
    </w:p>
    <w:p w:rsidR="00A55334" w:rsidRPr="0059441A" w:rsidRDefault="00A55334" w:rsidP="00A55334">
      <w:pPr>
        <w:pStyle w:val="Prrafodelista"/>
        <w:spacing w:after="200" w:line="276" w:lineRule="auto"/>
        <w:jc w:val="both"/>
        <w:rPr>
          <w:color w:val="000000" w:themeColor="text1"/>
        </w:rPr>
      </w:pPr>
      <w:r w:rsidRPr="0059441A">
        <w:rPr>
          <w:color w:val="000000" w:themeColor="text1"/>
        </w:rPr>
        <w:t xml:space="preserve">En este punto cabe señalar que las modificaciones tienen la misma consideración en su publicidad que los propios convenios, por cuanto estos documentos solo pueden modificarse, conforme a la Ley 40/2015, de 1 de octubre, de </w:t>
      </w:r>
      <w:r w:rsidR="0081490E" w:rsidRPr="0059441A">
        <w:rPr>
          <w:color w:val="000000" w:themeColor="text1"/>
        </w:rPr>
        <w:t>Régimen</w:t>
      </w:r>
      <w:r w:rsidRPr="0059441A">
        <w:rPr>
          <w:color w:val="000000" w:themeColor="text1"/>
        </w:rPr>
        <w:t xml:space="preserve"> Jurídico del Sector Público, por acuerdo de las partes, requiriendo idénticos trámites para su aprobación y suscripción que los del propio convenio, articulándose </w:t>
      </w:r>
      <w:r w:rsidR="0081490E" w:rsidRPr="0059441A">
        <w:rPr>
          <w:color w:val="000000" w:themeColor="text1"/>
        </w:rPr>
        <w:t>finalmente</w:t>
      </w:r>
      <w:r w:rsidRPr="0059441A">
        <w:rPr>
          <w:color w:val="000000" w:themeColor="text1"/>
        </w:rPr>
        <w:t xml:space="preserve"> esas modificaciones mediante “adendas”.</w:t>
      </w:r>
    </w:p>
    <w:p w:rsidR="00A55334" w:rsidRPr="0059441A" w:rsidRDefault="00A55334" w:rsidP="00A55334">
      <w:pPr>
        <w:pStyle w:val="Prrafodelista"/>
        <w:spacing w:after="200" w:line="276" w:lineRule="auto"/>
        <w:jc w:val="both"/>
        <w:rPr>
          <w:color w:val="000000" w:themeColor="text1"/>
        </w:rPr>
      </w:pPr>
    </w:p>
    <w:p w:rsidR="00A55334" w:rsidRPr="0059441A" w:rsidRDefault="00A55334" w:rsidP="00A55334">
      <w:pPr>
        <w:pStyle w:val="Prrafodelista"/>
        <w:spacing w:after="200" w:line="276" w:lineRule="auto"/>
        <w:jc w:val="both"/>
        <w:rPr>
          <w:color w:val="000000" w:themeColor="text1"/>
        </w:rPr>
      </w:pPr>
      <w:r w:rsidRPr="0059441A">
        <w:rPr>
          <w:color w:val="000000" w:themeColor="text1"/>
        </w:rPr>
        <w:t xml:space="preserve">La Entidad </w:t>
      </w:r>
      <w:proofErr w:type="spellStart"/>
      <w:r w:rsidRPr="0059441A">
        <w:rPr>
          <w:color w:val="000000" w:themeColor="text1"/>
        </w:rPr>
        <w:t>publica</w:t>
      </w:r>
      <w:proofErr w:type="spellEnd"/>
      <w:r w:rsidRPr="0059441A">
        <w:rPr>
          <w:color w:val="000000" w:themeColor="text1"/>
        </w:rPr>
        <w:t xml:space="preserve"> la información relativa a las adendas (modificaciones de los convenios) de la misma manera que los propios convenios cuando aquellas tienen lugar. A modo de ejemplo</w:t>
      </w:r>
      <w:r w:rsidR="005439FF" w:rsidRPr="0059441A">
        <w:rPr>
          <w:color w:val="000000" w:themeColor="text1"/>
        </w:rPr>
        <w:t>,</w:t>
      </w:r>
      <w:r w:rsidRPr="0059441A">
        <w:rPr>
          <w:color w:val="000000" w:themeColor="text1"/>
        </w:rPr>
        <w:t xml:space="preserve"> las fichas publicadas relativas a información sobre “convenios y encomiendas” de los ejercicios 2017 y 2019 incluyen información de adendas modificativas suscritas por la Entidad, distinguiendo el objeto, </w:t>
      </w:r>
      <w:r w:rsidR="005439FF" w:rsidRPr="0059441A">
        <w:rPr>
          <w:color w:val="000000" w:themeColor="text1"/>
        </w:rPr>
        <w:t xml:space="preserve">la </w:t>
      </w:r>
      <w:r w:rsidRPr="0059441A">
        <w:rPr>
          <w:color w:val="000000" w:themeColor="text1"/>
        </w:rPr>
        <w:t xml:space="preserve">fecha, </w:t>
      </w:r>
      <w:r w:rsidR="005439FF" w:rsidRPr="0059441A">
        <w:rPr>
          <w:color w:val="000000" w:themeColor="text1"/>
        </w:rPr>
        <w:t xml:space="preserve">las </w:t>
      </w:r>
      <w:r w:rsidRPr="0059441A">
        <w:rPr>
          <w:color w:val="000000" w:themeColor="text1"/>
        </w:rPr>
        <w:t>prestaciones, etc…, en idénticos términos que los convenios.</w:t>
      </w:r>
    </w:p>
    <w:p w:rsidR="00A55334" w:rsidRPr="0059441A" w:rsidRDefault="00A55334" w:rsidP="00A55334">
      <w:pPr>
        <w:pStyle w:val="Prrafodelista"/>
        <w:spacing w:after="200" w:line="276" w:lineRule="auto"/>
        <w:jc w:val="both"/>
        <w:rPr>
          <w:color w:val="000000" w:themeColor="text1"/>
        </w:rPr>
      </w:pPr>
    </w:p>
    <w:p w:rsidR="00395617" w:rsidRDefault="00045A41" w:rsidP="00395617">
      <w:pPr>
        <w:pStyle w:val="Prrafodelista"/>
        <w:numPr>
          <w:ilvl w:val="0"/>
          <w:numId w:val="11"/>
        </w:numPr>
        <w:spacing w:after="200" w:line="276" w:lineRule="auto"/>
        <w:jc w:val="both"/>
      </w:pPr>
      <w:r w:rsidRPr="0059441A">
        <w:t xml:space="preserve">La </w:t>
      </w:r>
      <w:r w:rsidR="00395617" w:rsidRPr="0059441A">
        <w:t xml:space="preserve">información sobre </w:t>
      </w:r>
      <w:r w:rsidRPr="0059441A">
        <w:t>el</w:t>
      </w:r>
      <w:r w:rsidR="00395617" w:rsidRPr="0059441A">
        <w:t xml:space="preserve"> presupuesto </w:t>
      </w:r>
      <w:r w:rsidRPr="0059441A">
        <w:t xml:space="preserve">de </w:t>
      </w:r>
      <w:r w:rsidR="00395617" w:rsidRPr="0059441A">
        <w:t xml:space="preserve">2021 </w:t>
      </w:r>
      <w:r w:rsidRPr="0059441A">
        <w:t>ya ha sido objeto de publicación.</w:t>
      </w:r>
    </w:p>
    <w:p w:rsidR="00452DF6" w:rsidRPr="0059441A" w:rsidRDefault="00452DF6" w:rsidP="00452DF6">
      <w:pPr>
        <w:pStyle w:val="Prrafodelista"/>
        <w:spacing w:after="200" w:line="276" w:lineRule="auto"/>
        <w:jc w:val="both"/>
      </w:pPr>
    </w:p>
    <w:p w:rsidR="00395617" w:rsidRPr="0059441A" w:rsidRDefault="00045A41" w:rsidP="00045A41">
      <w:pPr>
        <w:pStyle w:val="Prrafodelista"/>
        <w:spacing w:after="200" w:line="276" w:lineRule="auto"/>
        <w:jc w:val="both"/>
        <w:rPr>
          <w:color w:val="000000" w:themeColor="text1"/>
        </w:rPr>
      </w:pPr>
      <w:r w:rsidRPr="0059441A">
        <w:rPr>
          <w:color w:val="000000" w:themeColor="text1"/>
        </w:rPr>
        <w:t>Al estar relacionada</w:t>
      </w:r>
      <w:r w:rsidR="00395617" w:rsidRPr="0059441A">
        <w:rPr>
          <w:color w:val="000000" w:themeColor="text1"/>
        </w:rPr>
        <w:t xml:space="preserve"> </w:t>
      </w:r>
      <w:r w:rsidRPr="0059441A">
        <w:rPr>
          <w:color w:val="000000" w:themeColor="text1"/>
        </w:rPr>
        <w:t xml:space="preserve">esta información con </w:t>
      </w:r>
      <w:r w:rsidR="00395617" w:rsidRPr="0059441A">
        <w:rPr>
          <w:color w:val="000000" w:themeColor="text1"/>
        </w:rPr>
        <w:t xml:space="preserve">otros indicadores que tenían fecha de actualización posterior, este indicador se actualizaba a mediados de año. </w:t>
      </w:r>
      <w:r w:rsidRPr="0059441A">
        <w:rPr>
          <w:color w:val="000000" w:themeColor="text1"/>
        </w:rPr>
        <w:t>Al objeto de mejorar la publicidad de esta información, se revisará esta circunstancia.</w:t>
      </w:r>
    </w:p>
    <w:p w:rsidR="00045A41" w:rsidRDefault="00045A41" w:rsidP="00045A41">
      <w:pPr>
        <w:pStyle w:val="Prrafodelista"/>
        <w:spacing w:after="200" w:line="276" w:lineRule="auto"/>
        <w:jc w:val="both"/>
        <w:rPr>
          <w:color w:val="000000" w:themeColor="text1"/>
        </w:rPr>
      </w:pPr>
    </w:p>
    <w:p w:rsidR="00452DF6" w:rsidRDefault="00452DF6" w:rsidP="00045A41">
      <w:pPr>
        <w:pStyle w:val="Prrafodelista"/>
        <w:spacing w:after="200" w:line="276" w:lineRule="auto"/>
        <w:jc w:val="both"/>
        <w:rPr>
          <w:color w:val="000000" w:themeColor="text1"/>
        </w:rPr>
      </w:pPr>
      <w:r>
        <w:rPr>
          <w:color w:val="000000" w:themeColor="text1"/>
        </w:rPr>
        <w:t>En este punto, respecto de la ejecución presupuestaria, sin formar parte de las conclusiones, se recomienda explicitar la circunstancia de que el presupuesto de SEPES es estimativo. Dicha recomendación se tendrá en consideración a efectos de mejorar la calidad de la información publicada.</w:t>
      </w:r>
    </w:p>
    <w:p w:rsidR="00452DF6" w:rsidRPr="0059441A" w:rsidRDefault="00452DF6" w:rsidP="00045A41">
      <w:pPr>
        <w:pStyle w:val="Prrafodelista"/>
        <w:spacing w:after="200" w:line="276" w:lineRule="auto"/>
        <w:jc w:val="both"/>
        <w:rPr>
          <w:color w:val="000000" w:themeColor="text1"/>
        </w:rPr>
      </w:pPr>
    </w:p>
    <w:p w:rsidR="00045A41" w:rsidRPr="0059441A" w:rsidRDefault="00045A41" w:rsidP="00045A41">
      <w:pPr>
        <w:pStyle w:val="Prrafodelista"/>
        <w:numPr>
          <w:ilvl w:val="0"/>
          <w:numId w:val="11"/>
        </w:numPr>
        <w:spacing w:after="200" w:line="276" w:lineRule="auto"/>
        <w:jc w:val="both"/>
      </w:pPr>
      <w:r w:rsidRPr="0059441A">
        <w:t xml:space="preserve">En cuanto a la publicación de las </w:t>
      </w:r>
      <w:r w:rsidR="00395617" w:rsidRPr="0059441A">
        <w:t>autorizaciones para la compatibilidad con actividades públicas o privadas concedidas a los empleados de SEPES</w:t>
      </w:r>
      <w:r w:rsidRPr="0059441A">
        <w:t xml:space="preserve">, ya nos hemos referido anteriormente a ellas, solicitando la revisión y consiguiente modificación del resultado del informe, por encontrarnos ante una apreciación incorrecta, pues la </w:t>
      </w:r>
      <w:r w:rsidRPr="0059441A">
        <w:lastRenderedPageBreak/>
        <w:t xml:space="preserve">información, ubicada en un apartado diferente al que acudió el evaluador en su búsqueda, se encontraba y encuentra publicada. </w:t>
      </w:r>
    </w:p>
    <w:p w:rsidR="00C735A3" w:rsidRPr="0059441A" w:rsidRDefault="00C735A3" w:rsidP="00C735A3">
      <w:pPr>
        <w:pStyle w:val="Prrafodelista"/>
        <w:spacing w:after="200" w:line="276" w:lineRule="auto"/>
        <w:jc w:val="both"/>
      </w:pPr>
    </w:p>
    <w:p w:rsidR="00395617" w:rsidRDefault="00C735A3" w:rsidP="009B4532">
      <w:pPr>
        <w:pStyle w:val="Prrafodelista"/>
        <w:numPr>
          <w:ilvl w:val="0"/>
          <w:numId w:val="17"/>
        </w:numPr>
        <w:tabs>
          <w:tab w:val="left" w:pos="0"/>
        </w:tabs>
        <w:suppressAutoHyphens/>
        <w:spacing w:before="120" w:after="120" w:line="312" w:lineRule="auto"/>
        <w:jc w:val="both"/>
        <w:rPr>
          <w:color w:val="000000" w:themeColor="text1"/>
        </w:rPr>
      </w:pPr>
      <w:r w:rsidRPr="0059441A">
        <w:t xml:space="preserve">En cuanto a la publicación de las </w:t>
      </w:r>
      <w:r w:rsidR="00395617" w:rsidRPr="0059441A">
        <w:t>autorizaciones para el ejercicio de actividades p</w:t>
      </w:r>
      <w:r w:rsidRPr="0059441A">
        <w:t>rivadas al cese de altos cargos, h</w:t>
      </w:r>
      <w:r w:rsidR="00395617" w:rsidRPr="0059441A">
        <w:rPr>
          <w:color w:val="000000" w:themeColor="text1"/>
        </w:rPr>
        <w:t xml:space="preserve">asta la fecha no se ha recibido ninguna comunicación de la Oficina de Conflictos de Intereses de autorización para actividad privada al cese de los altos cargos, por lo que no se ha hecho ninguna publicación al respecto. </w:t>
      </w:r>
    </w:p>
    <w:p w:rsidR="0078420B" w:rsidRDefault="0078420B" w:rsidP="0078420B">
      <w:pPr>
        <w:pStyle w:val="Prrafodelista"/>
        <w:tabs>
          <w:tab w:val="left" w:pos="0"/>
        </w:tabs>
        <w:suppressAutoHyphens/>
        <w:spacing w:before="120" w:after="120" w:line="312" w:lineRule="auto"/>
        <w:jc w:val="both"/>
        <w:rPr>
          <w:color w:val="000000" w:themeColor="text1"/>
        </w:rPr>
      </w:pPr>
    </w:p>
    <w:p w:rsidR="00395617" w:rsidRPr="0059441A" w:rsidRDefault="00395617" w:rsidP="00395617">
      <w:pPr>
        <w:spacing w:before="120" w:after="120" w:line="312" w:lineRule="auto"/>
        <w:jc w:val="both"/>
        <w:outlineLvl w:val="1"/>
        <w:rPr>
          <w:rFonts w:ascii="Tahoma" w:hAnsi="Tahoma" w:cs="Tahoma"/>
          <w:b/>
          <w:color w:val="00642D"/>
        </w:rPr>
      </w:pPr>
      <w:r w:rsidRPr="0059441A">
        <w:rPr>
          <w:rFonts w:ascii="Tahoma" w:hAnsi="Tahoma" w:cs="Tahoma"/>
          <w:b/>
          <w:color w:val="00642D"/>
        </w:rPr>
        <w:t>Calidad de la Información.</w:t>
      </w:r>
    </w:p>
    <w:p w:rsidR="0059441A" w:rsidRDefault="0059441A" w:rsidP="003853F1">
      <w:pPr>
        <w:pStyle w:val="Sinespaciado"/>
        <w:numPr>
          <w:ilvl w:val="0"/>
          <w:numId w:val="16"/>
        </w:numPr>
        <w:spacing w:before="120" w:after="200" w:line="276" w:lineRule="auto"/>
        <w:jc w:val="both"/>
        <w:rPr>
          <w:rFonts w:ascii="Tahoma" w:hAnsi="Tahoma" w:cs="Tahoma"/>
          <w:color w:val="000000" w:themeColor="text1"/>
        </w:rPr>
      </w:pPr>
      <w:r w:rsidRPr="0059441A">
        <w:rPr>
          <w:rFonts w:ascii="Tahoma" w:hAnsi="Tahoma" w:cs="Tahoma"/>
          <w:lang w:bidi="es-ES"/>
        </w:rPr>
        <w:t>Respecto de la recomendación relativa a la ampliación de</w:t>
      </w:r>
      <w:r w:rsidR="00395617" w:rsidRPr="0059441A">
        <w:rPr>
          <w:rFonts w:ascii="Tahoma" w:hAnsi="Tahoma" w:cs="Tahoma"/>
          <w:lang w:bidi="es-ES"/>
        </w:rPr>
        <w:t xml:space="preserve"> la práctica de SEPES de informar sobre la última fecha en </w:t>
      </w:r>
      <w:r w:rsidR="00DA227B">
        <w:rPr>
          <w:rFonts w:ascii="Tahoma" w:hAnsi="Tahoma" w:cs="Tahoma"/>
          <w:lang w:bidi="es-ES"/>
        </w:rPr>
        <w:t xml:space="preserve">la </w:t>
      </w:r>
      <w:r w:rsidR="00395617" w:rsidRPr="0059441A">
        <w:rPr>
          <w:rFonts w:ascii="Tahoma" w:hAnsi="Tahoma" w:cs="Tahoma"/>
          <w:lang w:bidi="es-ES"/>
        </w:rPr>
        <w:t>que se revisó por última vez la información a todas las informaciones sujetas a publicidad activa</w:t>
      </w:r>
      <w:r w:rsidRPr="0059441A">
        <w:rPr>
          <w:rFonts w:ascii="Tahoma" w:hAnsi="Tahoma" w:cs="Tahoma"/>
          <w:lang w:bidi="es-ES"/>
        </w:rPr>
        <w:t xml:space="preserve">, </w:t>
      </w:r>
      <w:r w:rsidR="00DA227B">
        <w:rPr>
          <w:rFonts w:ascii="Tahoma" w:hAnsi="Tahoma" w:cs="Tahoma"/>
          <w:lang w:bidi="es-ES"/>
        </w:rPr>
        <w:t xml:space="preserve">tal y </w:t>
      </w:r>
      <w:r>
        <w:rPr>
          <w:rFonts w:ascii="Tahoma" w:hAnsi="Tahoma" w:cs="Tahoma"/>
          <w:lang w:bidi="es-ES"/>
        </w:rPr>
        <w:t>c</w:t>
      </w:r>
      <w:r w:rsidR="00395617" w:rsidRPr="0059441A">
        <w:rPr>
          <w:rFonts w:ascii="Tahoma" w:hAnsi="Tahoma" w:cs="Tahoma"/>
          <w:color w:val="000000" w:themeColor="text1"/>
        </w:rPr>
        <w:t xml:space="preserve">omo se indica en </w:t>
      </w:r>
      <w:r>
        <w:rPr>
          <w:rFonts w:ascii="Tahoma" w:hAnsi="Tahoma" w:cs="Tahoma"/>
          <w:color w:val="000000" w:themeColor="text1"/>
        </w:rPr>
        <w:t xml:space="preserve">el propio </w:t>
      </w:r>
      <w:r w:rsidR="00395617" w:rsidRPr="0059441A">
        <w:rPr>
          <w:rFonts w:ascii="Tahoma" w:hAnsi="Tahoma" w:cs="Tahoma"/>
          <w:color w:val="000000" w:themeColor="text1"/>
        </w:rPr>
        <w:t>informe</w:t>
      </w:r>
      <w:r>
        <w:rPr>
          <w:rFonts w:ascii="Tahoma" w:hAnsi="Tahoma" w:cs="Tahoma"/>
          <w:color w:val="000000" w:themeColor="text1"/>
        </w:rPr>
        <w:t xml:space="preserve"> de cumplimiento</w:t>
      </w:r>
      <w:r w:rsidR="00395617" w:rsidRPr="0059441A">
        <w:rPr>
          <w:rFonts w:ascii="Tahoma" w:hAnsi="Tahoma" w:cs="Tahoma"/>
          <w:color w:val="000000" w:themeColor="text1"/>
        </w:rPr>
        <w:t xml:space="preserve">, en el </w:t>
      </w:r>
      <w:proofErr w:type="spellStart"/>
      <w:r w:rsidR="00395617" w:rsidRPr="0059441A">
        <w:rPr>
          <w:rFonts w:ascii="Tahoma" w:hAnsi="Tahoma" w:cs="Tahoma"/>
          <w:color w:val="000000" w:themeColor="text1"/>
        </w:rPr>
        <w:t>subapartado</w:t>
      </w:r>
      <w:proofErr w:type="spellEnd"/>
      <w:r w:rsidR="00395617" w:rsidRPr="0059441A">
        <w:rPr>
          <w:rFonts w:ascii="Tahoma" w:hAnsi="Tahoma" w:cs="Tahoma"/>
          <w:color w:val="000000" w:themeColor="text1"/>
        </w:rPr>
        <w:t xml:space="preserve"> de “Buenas Prácticas” del apartado cuarto, en los documentos publicados </w:t>
      </w:r>
      <w:r>
        <w:rPr>
          <w:rFonts w:ascii="Tahoma" w:hAnsi="Tahoma" w:cs="Tahoma"/>
          <w:color w:val="000000" w:themeColor="text1"/>
        </w:rPr>
        <w:t xml:space="preserve">por </w:t>
      </w:r>
      <w:r w:rsidR="00395617" w:rsidRPr="0059441A">
        <w:rPr>
          <w:rFonts w:ascii="Tahoma" w:hAnsi="Tahoma" w:cs="Tahoma"/>
          <w:color w:val="000000" w:themeColor="text1"/>
        </w:rPr>
        <w:t>SEPES se incorpora la última fecha en que se revisó o actualizó la información así como las previsiones de actualización.</w:t>
      </w:r>
    </w:p>
    <w:p w:rsidR="00395617" w:rsidRPr="0082324A" w:rsidRDefault="00DA227B" w:rsidP="0059441A">
      <w:pPr>
        <w:pStyle w:val="Sinespaciado"/>
        <w:spacing w:before="120" w:after="200" w:line="276" w:lineRule="auto"/>
        <w:ind w:left="720"/>
        <w:jc w:val="both"/>
        <w:rPr>
          <w:rFonts w:ascii="Tahoma" w:hAnsi="Tahoma" w:cs="Tahoma"/>
          <w:color w:val="000000" w:themeColor="text1"/>
        </w:rPr>
      </w:pPr>
      <w:r>
        <w:rPr>
          <w:rFonts w:ascii="Tahoma" w:hAnsi="Tahoma" w:cs="Tahoma"/>
          <w:color w:val="000000" w:themeColor="text1"/>
        </w:rPr>
        <w:t xml:space="preserve">Es posible que </w:t>
      </w:r>
      <w:r w:rsidR="00395617" w:rsidRPr="0059441A">
        <w:rPr>
          <w:rFonts w:ascii="Tahoma" w:hAnsi="Tahoma" w:cs="Tahoma"/>
          <w:color w:val="000000" w:themeColor="text1"/>
        </w:rPr>
        <w:t>algunos</w:t>
      </w:r>
      <w:r w:rsidR="00395617" w:rsidRPr="0059441A">
        <w:rPr>
          <w:rFonts w:ascii="Tahoma" w:hAnsi="Tahoma" w:cs="Tahoma"/>
        </w:rPr>
        <w:t xml:space="preserve"> apartados de la web en los que la información se incorpora directamente, </w:t>
      </w:r>
      <w:r>
        <w:rPr>
          <w:rFonts w:ascii="Tahoma" w:hAnsi="Tahoma" w:cs="Tahoma"/>
        </w:rPr>
        <w:t xml:space="preserve">precisen de alguna referencia temporal, antes si quiera de acceder a los documentos </w:t>
      </w:r>
      <w:proofErr w:type="spellStart"/>
      <w:r>
        <w:rPr>
          <w:rFonts w:ascii="Tahoma" w:hAnsi="Tahoma" w:cs="Tahoma"/>
        </w:rPr>
        <w:t>pdf</w:t>
      </w:r>
      <w:proofErr w:type="spellEnd"/>
      <w:r>
        <w:rPr>
          <w:rFonts w:ascii="Tahoma" w:hAnsi="Tahoma" w:cs="Tahoma"/>
        </w:rPr>
        <w:t xml:space="preserve"> fechados que mayoritariamente nutre</w:t>
      </w:r>
      <w:r w:rsidR="0082324A">
        <w:rPr>
          <w:rFonts w:ascii="Tahoma" w:hAnsi="Tahoma" w:cs="Tahoma"/>
        </w:rPr>
        <w:t>n</w:t>
      </w:r>
      <w:r>
        <w:rPr>
          <w:rFonts w:ascii="Tahoma" w:hAnsi="Tahoma" w:cs="Tahoma"/>
        </w:rPr>
        <w:t xml:space="preserve"> de información el </w:t>
      </w:r>
      <w:r w:rsidR="00053807">
        <w:rPr>
          <w:rFonts w:ascii="Tahoma" w:hAnsi="Tahoma" w:cs="Tahoma"/>
        </w:rPr>
        <w:t>Espacio</w:t>
      </w:r>
      <w:r>
        <w:rPr>
          <w:rFonts w:ascii="Tahoma" w:hAnsi="Tahoma" w:cs="Tahoma"/>
        </w:rPr>
        <w:t xml:space="preserve"> de </w:t>
      </w:r>
      <w:r w:rsidR="00053807">
        <w:rPr>
          <w:rFonts w:ascii="Tahoma" w:hAnsi="Tahoma" w:cs="Tahoma"/>
        </w:rPr>
        <w:t>Transparencia</w:t>
      </w:r>
      <w:r>
        <w:rPr>
          <w:rFonts w:ascii="Tahoma" w:hAnsi="Tahoma" w:cs="Tahoma"/>
        </w:rPr>
        <w:t xml:space="preserve">. Con el objeto de mejorar la calidad de la información, se analizarán las </w:t>
      </w:r>
      <w:r w:rsidR="0082324A">
        <w:rPr>
          <w:rFonts w:ascii="Tahoma" w:hAnsi="Tahoma" w:cs="Tahoma"/>
        </w:rPr>
        <w:t>p</w:t>
      </w:r>
      <w:r>
        <w:rPr>
          <w:rFonts w:ascii="Tahoma" w:hAnsi="Tahoma" w:cs="Tahoma"/>
        </w:rPr>
        <w:t xml:space="preserve">osibilidades de </w:t>
      </w:r>
      <w:r w:rsidR="00395617" w:rsidRPr="0059441A">
        <w:rPr>
          <w:rFonts w:ascii="Tahoma" w:hAnsi="Tahoma" w:cs="Tahoma"/>
        </w:rPr>
        <w:t>habilitar/incorporar fecha</w:t>
      </w:r>
      <w:r>
        <w:rPr>
          <w:rFonts w:ascii="Tahoma" w:hAnsi="Tahoma" w:cs="Tahoma"/>
        </w:rPr>
        <w:t>s</w:t>
      </w:r>
      <w:r w:rsidR="00395617" w:rsidRPr="0059441A">
        <w:rPr>
          <w:rFonts w:ascii="Tahoma" w:hAnsi="Tahoma" w:cs="Tahoma"/>
        </w:rPr>
        <w:t xml:space="preserve"> de revisión o actualización</w:t>
      </w:r>
      <w:r>
        <w:rPr>
          <w:rFonts w:ascii="Tahoma" w:hAnsi="Tahoma" w:cs="Tahoma"/>
        </w:rPr>
        <w:t xml:space="preserve"> en esos </w:t>
      </w:r>
      <w:r w:rsidRPr="0082324A">
        <w:rPr>
          <w:rFonts w:ascii="Tahoma" w:hAnsi="Tahoma" w:cs="Tahoma"/>
          <w:color w:val="000000" w:themeColor="text1"/>
        </w:rPr>
        <w:t>apartados.</w:t>
      </w:r>
    </w:p>
    <w:p w:rsidR="00395617" w:rsidRPr="00C11F06" w:rsidRDefault="00F93FCE" w:rsidP="00010022">
      <w:pPr>
        <w:pStyle w:val="Sinespaciado"/>
        <w:numPr>
          <w:ilvl w:val="0"/>
          <w:numId w:val="16"/>
        </w:numPr>
        <w:spacing w:before="120" w:after="200" w:line="276" w:lineRule="auto"/>
        <w:jc w:val="both"/>
        <w:rPr>
          <w:rFonts w:ascii="Tahoma" w:hAnsi="Tahoma" w:cs="Tahoma"/>
          <w:lang w:bidi="es-ES"/>
        </w:rPr>
      </w:pPr>
      <w:r w:rsidRPr="00F93FCE">
        <w:rPr>
          <w:rFonts w:ascii="Tahoma" w:hAnsi="Tahoma" w:cs="Tahoma"/>
          <w:lang w:bidi="es-ES"/>
        </w:rPr>
        <w:t xml:space="preserve">En cuanto a la posibilidad de </w:t>
      </w:r>
      <w:r w:rsidR="00395617" w:rsidRPr="00F93FCE">
        <w:rPr>
          <w:rFonts w:ascii="Tahoma" w:hAnsi="Tahoma" w:cs="Tahoma"/>
          <w:lang w:bidi="es-ES"/>
        </w:rPr>
        <w:t xml:space="preserve">valorar </w:t>
      </w:r>
      <w:r w:rsidRPr="00F93FCE">
        <w:rPr>
          <w:rFonts w:ascii="Tahoma" w:hAnsi="Tahoma" w:cs="Tahoma"/>
          <w:lang w:bidi="es-ES"/>
        </w:rPr>
        <w:t xml:space="preserve">la </w:t>
      </w:r>
      <w:r w:rsidR="00395617" w:rsidRPr="00F93FCE">
        <w:rPr>
          <w:rFonts w:ascii="Tahoma" w:hAnsi="Tahoma" w:cs="Tahoma"/>
          <w:lang w:bidi="es-ES"/>
        </w:rPr>
        <w:t>modifica</w:t>
      </w:r>
      <w:r w:rsidRPr="00F93FCE">
        <w:rPr>
          <w:rFonts w:ascii="Tahoma" w:hAnsi="Tahoma" w:cs="Tahoma"/>
          <w:lang w:bidi="es-ES"/>
        </w:rPr>
        <w:t>ción</w:t>
      </w:r>
      <w:r w:rsidR="00395617" w:rsidRPr="00F93FCE">
        <w:rPr>
          <w:rFonts w:ascii="Tahoma" w:hAnsi="Tahoma" w:cs="Tahoma"/>
          <w:lang w:bidi="es-ES"/>
        </w:rPr>
        <w:t xml:space="preserve"> </w:t>
      </w:r>
      <w:r w:rsidRPr="00F93FCE">
        <w:rPr>
          <w:rFonts w:ascii="Tahoma" w:hAnsi="Tahoma" w:cs="Tahoma"/>
          <w:lang w:bidi="es-ES"/>
        </w:rPr>
        <w:t>d</w:t>
      </w:r>
      <w:r w:rsidR="00395617" w:rsidRPr="00F93FCE">
        <w:rPr>
          <w:rFonts w:ascii="Tahoma" w:hAnsi="Tahoma" w:cs="Tahoma"/>
          <w:lang w:bidi="es-ES"/>
        </w:rPr>
        <w:t>el enlace a los informes de fiscalización del TCU de manera que posicione directamente en los informes de fiscalización correspondientes a SEPES</w:t>
      </w:r>
      <w:r w:rsidRPr="00F93FCE">
        <w:rPr>
          <w:rFonts w:ascii="Tahoma" w:hAnsi="Tahoma" w:cs="Tahoma"/>
          <w:lang w:bidi="es-ES"/>
        </w:rPr>
        <w:t xml:space="preserve">, </w:t>
      </w:r>
      <w:r>
        <w:rPr>
          <w:rFonts w:ascii="Tahoma" w:hAnsi="Tahoma" w:cs="Tahoma"/>
          <w:lang w:bidi="es-ES"/>
        </w:rPr>
        <w:t>c</w:t>
      </w:r>
      <w:r>
        <w:rPr>
          <w:rFonts w:ascii="Tahoma" w:hAnsi="Tahoma" w:cs="Tahoma"/>
        </w:rPr>
        <w:t xml:space="preserve">on el objeto de mejorar la calidad de la </w:t>
      </w:r>
      <w:r>
        <w:rPr>
          <w:rFonts w:ascii="Tahoma" w:hAnsi="Tahoma" w:cs="Tahoma"/>
          <w:lang w:bidi="es-ES"/>
        </w:rPr>
        <w:t>información, s</w:t>
      </w:r>
      <w:r w:rsidR="00395617" w:rsidRPr="00C11F06">
        <w:rPr>
          <w:rFonts w:ascii="Tahoma" w:hAnsi="Tahoma" w:cs="Tahoma"/>
          <w:lang w:bidi="es-ES"/>
        </w:rPr>
        <w:t xml:space="preserve">e analizará la forma </w:t>
      </w:r>
      <w:r w:rsidRPr="00C11F06">
        <w:rPr>
          <w:rFonts w:ascii="Tahoma" w:hAnsi="Tahoma" w:cs="Tahoma"/>
          <w:lang w:bidi="es-ES"/>
        </w:rPr>
        <w:t xml:space="preserve">de </w:t>
      </w:r>
      <w:r w:rsidR="00395617" w:rsidRPr="00C11F06">
        <w:rPr>
          <w:rFonts w:ascii="Tahoma" w:hAnsi="Tahoma" w:cs="Tahoma"/>
          <w:lang w:bidi="es-ES"/>
        </w:rPr>
        <w:t>dotarla de una mayor accesibilidad.</w:t>
      </w:r>
    </w:p>
    <w:p w:rsidR="004341F2" w:rsidRPr="00C11F06" w:rsidRDefault="00C11F06" w:rsidP="00C11F06">
      <w:pPr>
        <w:pStyle w:val="Sinespaciado"/>
        <w:numPr>
          <w:ilvl w:val="0"/>
          <w:numId w:val="16"/>
        </w:numPr>
        <w:spacing w:before="120" w:after="200" w:line="276" w:lineRule="auto"/>
        <w:jc w:val="both"/>
        <w:rPr>
          <w:rFonts w:ascii="Tahoma" w:hAnsi="Tahoma" w:cs="Tahoma"/>
          <w:lang w:bidi="es-ES"/>
        </w:rPr>
      </w:pPr>
      <w:r w:rsidRPr="00C11F06">
        <w:rPr>
          <w:rFonts w:ascii="Tahoma" w:hAnsi="Tahoma" w:cs="Tahoma"/>
          <w:lang w:bidi="es-ES"/>
        </w:rPr>
        <w:t xml:space="preserve">Sin formar parte de las </w:t>
      </w:r>
      <w:r w:rsidR="006C253E">
        <w:rPr>
          <w:rFonts w:ascii="Tahoma" w:hAnsi="Tahoma" w:cs="Tahoma"/>
          <w:lang w:bidi="es-ES"/>
        </w:rPr>
        <w:t>conclusiones</w:t>
      </w:r>
      <w:r w:rsidRPr="00C11F06">
        <w:rPr>
          <w:rFonts w:ascii="Tahoma" w:hAnsi="Tahoma" w:cs="Tahoma"/>
          <w:lang w:bidi="es-ES"/>
        </w:rPr>
        <w:t>, en el cuerpo del informe de cumplimiento se hace referencia a que p</w:t>
      </w:r>
      <w:r w:rsidR="004341F2" w:rsidRPr="00C11F06">
        <w:rPr>
          <w:rFonts w:ascii="Tahoma" w:hAnsi="Tahoma" w:cs="Tahoma"/>
          <w:lang w:bidi="es-ES"/>
        </w:rPr>
        <w:t>arte de la información se encuentra desactualizada.</w:t>
      </w:r>
    </w:p>
    <w:p w:rsidR="0048548B" w:rsidRDefault="00C11F06" w:rsidP="0004581F">
      <w:pPr>
        <w:pStyle w:val="Sinespaciado"/>
        <w:spacing w:before="120" w:after="200" w:line="276" w:lineRule="auto"/>
        <w:ind w:left="720"/>
        <w:jc w:val="both"/>
        <w:rPr>
          <w:rFonts w:ascii="Tahoma" w:hAnsi="Tahoma" w:cs="Tahoma"/>
          <w:b/>
          <w:color w:val="000000" w:themeColor="text1"/>
        </w:rPr>
      </w:pPr>
      <w:r>
        <w:rPr>
          <w:rFonts w:ascii="Tahoma" w:hAnsi="Tahoma" w:cs="Tahoma"/>
          <w:lang w:bidi="es-ES"/>
        </w:rPr>
        <w:t>A este respecto en necesario destacar que t</w:t>
      </w:r>
      <w:r w:rsidR="00BA72F4" w:rsidRPr="00C11F06">
        <w:rPr>
          <w:rFonts w:ascii="Tahoma" w:hAnsi="Tahoma" w:cs="Tahoma"/>
          <w:lang w:bidi="es-ES"/>
        </w:rPr>
        <w:t xml:space="preserve">oda la información que se recoge en el </w:t>
      </w:r>
      <w:r w:rsidR="00053807">
        <w:rPr>
          <w:rFonts w:ascii="Tahoma" w:hAnsi="Tahoma" w:cs="Tahoma"/>
          <w:lang w:bidi="es-ES"/>
        </w:rPr>
        <w:t>Espacio</w:t>
      </w:r>
      <w:r w:rsidR="00BA72F4" w:rsidRPr="00C11F06">
        <w:rPr>
          <w:rFonts w:ascii="Tahoma" w:hAnsi="Tahoma" w:cs="Tahoma"/>
          <w:lang w:bidi="es-ES"/>
        </w:rPr>
        <w:t xml:space="preserve"> de </w:t>
      </w:r>
      <w:r w:rsidR="00053807">
        <w:rPr>
          <w:rFonts w:ascii="Tahoma" w:hAnsi="Tahoma" w:cs="Tahoma"/>
          <w:lang w:bidi="es-ES"/>
        </w:rPr>
        <w:t>Transparencia</w:t>
      </w:r>
      <w:r w:rsidR="00BA72F4" w:rsidRPr="00C11F06">
        <w:rPr>
          <w:rFonts w:ascii="Tahoma" w:hAnsi="Tahoma" w:cs="Tahoma"/>
          <w:lang w:bidi="es-ES"/>
        </w:rPr>
        <w:t xml:space="preserve"> de SEPES sigue un</w:t>
      </w:r>
      <w:r w:rsidR="00BA72F4" w:rsidRPr="0059441A">
        <w:rPr>
          <w:rFonts w:ascii="Tahoma" w:hAnsi="Tahoma" w:cs="Tahoma"/>
          <w:color w:val="000000" w:themeColor="text1"/>
        </w:rPr>
        <w:t xml:space="preserve"> proceso de actuali</w:t>
      </w:r>
      <w:r>
        <w:rPr>
          <w:rFonts w:ascii="Tahoma" w:hAnsi="Tahoma" w:cs="Tahoma"/>
          <w:color w:val="000000" w:themeColor="text1"/>
        </w:rPr>
        <w:t>zac</w:t>
      </w:r>
      <w:r w:rsidR="00BA72F4" w:rsidRPr="0059441A">
        <w:rPr>
          <w:rFonts w:ascii="Tahoma" w:hAnsi="Tahoma" w:cs="Tahoma"/>
          <w:color w:val="000000" w:themeColor="text1"/>
        </w:rPr>
        <w:t xml:space="preserve">ión riguroso que se </w:t>
      </w:r>
      <w:r>
        <w:rPr>
          <w:rFonts w:ascii="Tahoma" w:hAnsi="Tahoma" w:cs="Tahoma"/>
          <w:color w:val="000000" w:themeColor="text1"/>
        </w:rPr>
        <w:t>determina</w:t>
      </w:r>
      <w:r w:rsidR="00BA72F4" w:rsidRPr="0059441A">
        <w:rPr>
          <w:rFonts w:ascii="Tahoma" w:hAnsi="Tahoma" w:cs="Tahoma"/>
          <w:color w:val="000000" w:themeColor="text1"/>
        </w:rPr>
        <w:t xml:space="preserve"> en </w:t>
      </w:r>
      <w:r>
        <w:rPr>
          <w:rFonts w:ascii="Tahoma" w:hAnsi="Tahoma" w:cs="Tahoma"/>
          <w:color w:val="000000" w:themeColor="text1"/>
        </w:rPr>
        <w:t>el</w:t>
      </w:r>
      <w:r w:rsidR="00BA72F4" w:rsidRPr="0059441A">
        <w:rPr>
          <w:rFonts w:ascii="Tahoma" w:hAnsi="Tahoma" w:cs="Tahoma"/>
          <w:color w:val="000000" w:themeColor="text1"/>
        </w:rPr>
        <w:t xml:space="preserve"> “Protocolo de </w:t>
      </w:r>
      <w:r w:rsidR="00053807">
        <w:rPr>
          <w:rFonts w:ascii="Tahoma" w:hAnsi="Tahoma" w:cs="Tahoma"/>
          <w:color w:val="000000" w:themeColor="text1"/>
        </w:rPr>
        <w:t>Transparencia</w:t>
      </w:r>
      <w:r w:rsidR="00BA72F4" w:rsidRPr="0059441A">
        <w:rPr>
          <w:rFonts w:ascii="Tahoma" w:hAnsi="Tahoma" w:cs="Tahoma"/>
          <w:color w:val="000000" w:themeColor="text1"/>
        </w:rPr>
        <w:t xml:space="preserve"> y buen gobierno”, aprobado por </w:t>
      </w:r>
      <w:r>
        <w:rPr>
          <w:rFonts w:ascii="Tahoma" w:hAnsi="Tahoma" w:cs="Tahoma"/>
          <w:color w:val="000000" w:themeColor="text1"/>
        </w:rPr>
        <w:t>el</w:t>
      </w:r>
      <w:r w:rsidR="00BA72F4" w:rsidRPr="0059441A">
        <w:rPr>
          <w:rFonts w:ascii="Tahoma" w:hAnsi="Tahoma" w:cs="Tahoma"/>
          <w:color w:val="000000" w:themeColor="text1"/>
        </w:rPr>
        <w:t xml:space="preserve"> Consejo de Administración</w:t>
      </w:r>
      <w:r>
        <w:rPr>
          <w:rFonts w:ascii="Tahoma" w:hAnsi="Tahoma" w:cs="Tahoma"/>
          <w:color w:val="000000" w:themeColor="text1"/>
        </w:rPr>
        <w:t xml:space="preserve"> de la Entidad</w:t>
      </w:r>
      <w:r w:rsidR="00BA72F4" w:rsidRPr="0059441A">
        <w:rPr>
          <w:rFonts w:ascii="Tahoma" w:hAnsi="Tahoma" w:cs="Tahoma"/>
          <w:color w:val="000000" w:themeColor="text1"/>
        </w:rPr>
        <w:t xml:space="preserve">, en el que el plazo máximo de </w:t>
      </w:r>
      <w:r>
        <w:rPr>
          <w:rFonts w:ascii="Tahoma" w:hAnsi="Tahoma" w:cs="Tahoma"/>
          <w:color w:val="000000" w:themeColor="text1"/>
        </w:rPr>
        <w:t xml:space="preserve">revisión para la </w:t>
      </w:r>
      <w:r w:rsidR="00BA72F4" w:rsidRPr="0059441A">
        <w:rPr>
          <w:rFonts w:ascii="Tahoma" w:hAnsi="Tahoma" w:cs="Tahoma"/>
          <w:color w:val="000000" w:themeColor="text1"/>
        </w:rPr>
        <w:t xml:space="preserve">actualización </w:t>
      </w:r>
      <w:r>
        <w:rPr>
          <w:rFonts w:ascii="Tahoma" w:hAnsi="Tahoma" w:cs="Tahoma"/>
          <w:color w:val="000000" w:themeColor="text1"/>
        </w:rPr>
        <w:t xml:space="preserve">de la información no </w:t>
      </w:r>
      <w:r w:rsidR="00BA72F4" w:rsidRPr="0059441A">
        <w:rPr>
          <w:rFonts w:ascii="Tahoma" w:hAnsi="Tahoma" w:cs="Tahoma"/>
          <w:color w:val="000000" w:themeColor="text1"/>
        </w:rPr>
        <w:t>excede</w:t>
      </w:r>
      <w:r>
        <w:rPr>
          <w:rFonts w:ascii="Tahoma" w:hAnsi="Tahoma" w:cs="Tahoma"/>
          <w:color w:val="000000" w:themeColor="text1"/>
        </w:rPr>
        <w:t xml:space="preserve">, en ningún caso, </w:t>
      </w:r>
      <w:r w:rsidR="00BA72F4" w:rsidRPr="0059441A">
        <w:rPr>
          <w:rFonts w:ascii="Tahoma" w:hAnsi="Tahoma" w:cs="Tahoma"/>
          <w:color w:val="000000" w:themeColor="text1"/>
        </w:rPr>
        <w:t xml:space="preserve">de </w:t>
      </w:r>
      <w:r>
        <w:rPr>
          <w:rFonts w:ascii="Tahoma" w:hAnsi="Tahoma" w:cs="Tahoma"/>
          <w:color w:val="000000" w:themeColor="text1"/>
        </w:rPr>
        <w:t>un año</w:t>
      </w:r>
      <w:r w:rsidR="00BA72F4" w:rsidRPr="0059441A">
        <w:rPr>
          <w:rFonts w:ascii="Tahoma" w:hAnsi="Tahoma" w:cs="Tahoma"/>
          <w:color w:val="000000" w:themeColor="text1"/>
        </w:rPr>
        <w:t>.</w:t>
      </w:r>
    </w:p>
    <w:p w:rsidR="0070389A" w:rsidRPr="00C37280" w:rsidRDefault="0070389A" w:rsidP="0070389A">
      <w:pPr>
        <w:tabs>
          <w:tab w:val="left" w:pos="0"/>
        </w:tabs>
        <w:suppressAutoHyphens/>
        <w:spacing w:after="120"/>
        <w:jc w:val="both"/>
        <w:rPr>
          <w:rFonts w:ascii="Tahoma" w:eastAsia="Times New Roman" w:hAnsi="Tahoma" w:cs="Tahoma"/>
          <w:lang w:val="es-ES_tradnl" w:eastAsia="es-ES"/>
        </w:rPr>
      </w:pPr>
    </w:p>
    <w:p w:rsidR="008B7CDB" w:rsidRPr="00C37280" w:rsidRDefault="008B7CDB" w:rsidP="00C37280">
      <w:pPr>
        <w:pStyle w:val="Sinespaciado"/>
        <w:spacing w:before="120" w:after="200" w:line="276" w:lineRule="auto"/>
        <w:ind w:left="720"/>
        <w:jc w:val="both"/>
        <w:rPr>
          <w:rFonts w:ascii="Tahoma" w:hAnsi="Tahoma" w:cs="Tahoma"/>
          <w:lang w:bidi="es-ES"/>
        </w:rPr>
      </w:pPr>
    </w:p>
    <w:p w:rsidR="0070389A" w:rsidRPr="00C37280" w:rsidRDefault="0070389A" w:rsidP="00C37280">
      <w:pPr>
        <w:pStyle w:val="Sinespaciado"/>
        <w:spacing w:before="120" w:after="200" w:line="276" w:lineRule="auto"/>
        <w:jc w:val="both"/>
        <w:rPr>
          <w:rFonts w:ascii="Tahoma" w:hAnsi="Tahoma" w:cs="Tahoma"/>
          <w:lang w:bidi="es-ES"/>
        </w:rPr>
      </w:pPr>
      <w:r w:rsidRPr="00C37280">
        <w:rPr>
          <w:rFonts w:ascii="Tahoma" w:hAnsi="Tahoma" w:cs="Tahoma"/>
          <w:lang w:bidi="es-ES"/>
        </w:rPr>
        <w:lastRenderedPageBreak/>
        <w:t xml:space="preserve">Para finalizar, desde SEPES se quiere resaltar que como Entidad integrante de la Administración pública, la Transparencia, el acceso a la información y las normas de buen gobierno constituyen ejes fundamentales de su actuación. Como muestra de compromiso con la Transparencia y con el respeto a los derechos de los ciudadanos, SEPES no solo da publicidad al contenido estrictamente exigido por la Ley, sino que va más allá, de acuerdo con las recomendaciones del Consejo de Europa y de otros Organismos reconocidos en la materia, como el Consejo de Transparencia y buen gobierno o la Organización Transparencia Internacional. Por ello, tal y como se </w:t>
      </w:r>
      <w:proofErr w:type="spellStart"/>
      <w:r w:rsidRPr="00C37280">
        <w:rPr>
          <w:rFonts w:ascii="Tahoma" w:hAnsi="Tahoma" w:cs="Tahoma"/>
          <w:lang w:bidi="es-ES"/>
        </w:rPr>
        <w:t>índica</w:t>
      </w:r>
      <w:proofErr w:type="spellEnd"/>
      <w:r w:rsidRPr="00C37280">
        <w:rPr>
          <w:rFonts w:ascii="Tahoma" w:hAnsi="Tahoma" w:cs="Tahoma"/>
          <w:lang w:bidi="es-ES"/>
        </w:rPr>
        <w:t xml:space="preserve"> en el apartado “IV. Transparencia Voluntaria y Buenas Prácticas” del Informe recibido, SEPES publica información adicional a la obligatoria, dando publicidad de hasta un total de 85 indicadores de información de Transparencia, según se recoge en el “Protocolo de Transparencia y buen gobierno”</w:t>
      </w:r>
      <w:r w:rsidR="00C37280" w:rsidRPr="00C37280">
        <w:rPr>
          <w:rFonts w:ascii="Tahoma" w:hAnsi="Tahoma" w:cs="Tahoma"/>
          <w:lang w:bidi="es-ES"/>
        </w:rPr>
        <w:t xml:space="preserve"> de la Entidad, </w:t>
      </w:r>
      <w:r w:rsidR="004371EA">
        <w:rPr>
          <w:rFonts w:ascii="Tahoma" w:hAnsi="Tahoma" w:cs="Tahoma"/>
          <w:lang w:bidi="es-ES"/>
        </w:rPr>
        <w:t xml:space="preserve">llegando a cuadriplicar </w:t>
      </w:r>
      <w:r w:rsidR="00C37280" w:rsidRPr="00C37280">
        <w:rPr>
          <w:rFonts w:ascii="Tahoma" w:hAnsi="Tahoma" w:cs="Tahoma"/>
          <w:lang w:bidi="es-ES"/>
        </w:rPr>
        <w:t>la información exigida por la Ley 19/2013, de 9 de diciembre, de Transparencia, Acceso a la Información y Buen Gobierno.</w:t>
      </w:r>
    </w:p>
    <w:p w:rsidR="0070389A" w:rsidRPr="00C37280" w:rsidRDefault="0070389A" w:rsidP="00E22430">
      <w:pPr>
        <w:tabs>
          <w:tab w:val="left" w:pos="0"/>
        </w:tabs>
        <w:suppressAutoHyphens/>
        <w:spacing w:after="120"/>
        <w:jc w:val="both"/>
        <w:rPr>
          <w:rFonts w:ascii="Tahoma" w:eastAsia="Times New Roman" w:hAnsi="Tahoma" w:cs="Tahoma"/>
          <w:lang w:val="es-ES_tradnl" w:eastAsia="es-ES"/>
        </w:rPr>
      </w:pPr>
    </w:p>
    <w:sectPr w:rsidR="0070389A" w:rsidRPr="00C37280" w:rsidSect="00B7325A">
      <w:headerReference w:type="default" r:id="rId11"/>
      <w:footerReference w:type="default" r:id="rId12"/>
      <w:headerReference w:type="first" r:id="rId13"/>
      <w:footerReference w:type="first" r:id="rId14"/>
      <w:pgSz w:w="11907" w:h="16840" w:code="9"/>
      <w:pgMar w:top="2522" w:right="1134" w:bottom="1276" w:left="1701" w:header="720" w:footer="33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053" w:rsidRDefault="00AB1053" w:rsidP="00416E67">
      <w:r>
        <w:separator/>
      </w:r>
    </w:p>
  </w:endnote>
  <w:endnote w:type="continuationSeparator" w:id="0">
    <w:p w:rsidR="00AB1053" w:rsidRDefault="00AB1053" w:rsidP="0041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Arial Narrow"/>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229"/>
    </w:tblGrid>
    <w:tr w:rsidR="008D422C" w:rsidRPr="0020661F" w:rsidTr="00401D68">
      <w:tc>
        <w:tcPr>
          <w:tcW w:w="1985" w:type="dxa"/>
        </w:tcPr>
        <w:p w:rsidR="008D422C" w:rsidRPr="00B7325A" w:rsidRDefault="008D422C" w:rsidP="00BA6BA4">
          <w:pPr>
            <w:pStyle w:val="Piedepgina"/>
            <w:tabs>
              <w:tab w:val="clear" w:pos="4252"/>
              <w:tab w:val="center" w:pos="3645"/>
            </w:tabs>
            <w:jc w:val="left"/>
            <w:rPr>
              <w:rFonts w:ascii="Swis721 Cn BT" w:hAnsi="Swis721 Cn BT" w:cs="Tahoma"/>
              <w:color w:val="9D6833"/>
              <w:sz w:val="20"/>
              <w:szCs w:val="20"/>
            </w:rPr>
          </w:pPr>
          <w:r w:rsidRPr="00B7325A">
            <w:rPr>
              <w:rFonts w:ascii="Swis721 Cn BT" w:hAnsi="Swis721 Cn BT" w:cs="Tahoma"/>
              <w:color w:val="9D6833"/>
              <w:sz w:val="20"/>
              <w:szCs w:val="20"/>
            </w:rPr>
            <w:t xml:space="preserve">Página </w:t>
          </w:r>
          <w:r w:rsidRPr="00B7325A">
            <w:rPr>
              <w:rFonts w:ascii="Swis721 Cn BT" w:hAnsi="Swis721 Cn BT" w:cs="Tahoma"/>
              <w:color w:val="9D6833"/>
              <w:sz w:val="20"/>
              <w:szCs w:val="20"/>
            </w:rPr>
            <w:fldChar w:fldCharType="begin"/>
          </w:r>
          <w:r w:rsidRPr="00B7325A">
            <w:rPr>
              <w:rFonts w:ascii="Swis721 Cn BT" w:hAnsi="Swis721 Cn BT" w:cs="Tahoma"/>
              <w:color w:val="9D6833"/>
              <w:sz w:val="20"/>
              <w:szCs w:val="20"/>
            </w:rPr>
            <w:instrText>PAGE</w:instrText>
          </w:r>
          <w:r w:rsidRPr="00B7325A">
            <w:rPr>
              <w:rFonts w:ascii="Swis721 Cn BT" w:hAnsi="Swis721 Cn BT" w:cs="Tahoma"/>
              <w:color w:val="9D6833"/>
              <w:sz w:val="20"/>
              <w:szCs w:val="20"/>
            </w:rPr>
            <w:fldChar w:fldCharType="separate"/>
          </w:r>
          <w:r w:rsidR="00306B63">
            <w:rPr>
              <w:rFonts w:ascii="Swis721 Cn BT" w:hAnsi="Swis721 Cn BT" w:cs="Tahoma"/>
              <w:noProof/>
              <w:color w:val="9D6833"/>
              <w:sz w:val="20"/>
              <w:szCs w:val="20"/>
            </w:rPr>
            <w:t>7</w:t>
          </w:r>
          <w:r w:rsidRPr="00B7325A">
            <w:rPr>
              <w:rFonts w:ascii="Swis721 Cn BT" w:hAnsi="Swis721 Cn BT" w:cs="Tahoma"/>
              <w:color w:val="9D6833"/>
              <w:sz w:val="20"/>
              <w:szCs w:val="20"/>
            </w:rPr>
            <w:fldChar w:fldCharType="end"/>
          </w:r>
          <w:r w:rsidRPr="00B7325A">
            <w:rPr>
              <w:rFonts w:ascii="Swis721 Cn BT" w:hAnsi="Swis721 Cn BT" w:cs="Tahoma"/>
              <w:color w:val="9D6833"/>
              <w:sz w:val="20"/>
              <w:szCs w:val="20"/>
            </w:rPr>
            <w:t xml:space="preserve"> de </w:t>
          </w:r>
          <w:r w:rsidRPr="00B7325A">
            <w:rPr>
              <w:rFonts w:ascii="Swis721 Cn BT" w:hAnsi="Swis721 Cn BT" w:cs="Tahoma"/>
              <w:color w:val="9D6833"/>
              <w:sz w:val="20"/>
              <w:szCs w:val="20"/>
            </w:rPr>
            <w:fldChar w:fldCharType="begin"/>
          </w:r>
          <w:r w:rsidRPr="00B7325A">
            <w:rPr>
              <w:rFonts w:ascii="Swis721 Cn BT" w:hAnsi="Swis721 Cn BT" w:cs="Tahoma"/>
              <w:color w:val="9D6833"/>
              <w:sz w:val="20"/>
              <w:szCs w:val="20"/>
            </w:rPr>
            <w:instrText>NUMPAGES</w:instrText>
          </w:r>
          <w:r w:rsidRPr="00B7325A">
            <w:rPr>
              <w:rFonts w:ascii="Swis721 Cn BT" w:hAnsi="Swis721 Cn BT" w:cs="Tahoma"/>
              <w:color w:val="9D6833"/>
              <w:sz w:val="20"/>
              <w:szCs w:val="20"/>
            </w:rPr>
            <w:fldChar w:fldCharType="separate"/>
          </w:r>
          <w:r w:rsidR="00306B63">
            <w:rPr>
              <w:rFonts w:ascii="Swis721 Cn BT" w:hAnsi="Swis721 Cn BT" w:cs="Tahoma"/>
              <w:noProof/>
              <w:color w:val="9D6833"/>
              <w:sz w:val="20"/>
              <w:szCs w:val="20"/>
            </w:rPr>
            <w:t>7</w:t>
          </w:r>
          <w:r w:rsidRPr="00B7325A">
            <w:rPr>
              <w:rFonts w:ascii="Swis721 Cn BT" w:hAnsi="Swis721 Cn BT" w:cs="Tahoma"/>
              <w:color w:val="9D6833"/>
              <w:sz w:val="20"/>
              <w:szCs w:val="20"/>
            </w:rPr>
            <w:fldChar w:fldCharType="end"/>
          </w:r>
        </w:p>
      </w:tc>
      <w:tc>
        <w:tcPr>
          <w:tcW w:w="7229" w:type="dxa"/>
        </w:tcPr>
        <w:p w:rsidR="008D422C" w:rsidRPr="00B7325A" w:rsidRDefault="008D422C" w:rsidP="00D10CD5">
          <w:pPr>
            <w:pStyle w:val="Piedepgina"/>
            <w:tabs>
              <w:tab w:val="clear" w:pos="4252"/>
              <w:tab w:val="center" w:pos="4286"/>
            </w:tabs>
            <w:ind w:left="-116"/>
            <w:jc w:val="right"/>
            <w:rPr>
              <w:rFonts w:ascii="Swis721 Cn BT" w:hAnsi="Swis721 Cn BT" w:cs="Tahoma"/>
              <w:color w:val="9D6833"/>
              <w:sz w:val="20"/>
              <w:szCs w:val="20"/>
            </w:rPr>
          </w:pPr>
          <w:r w:rsidRPr="00B7325A">
            <w:rPr>
              <w:rFonts w:ascii="Swis721 Cn BT" w:hAnsi="Swis721 Cn BT" w:cs="Tahoma"/>
              <w:color w:val="9D6833"/>
              <w:sz w:val="20"/>
              <w:szCs w:val="20"/>
            </w:rPr>
            <w:t>Ministerio de Transportes, Movilidad y Agenda Urbana</w:t>
          </w:r>
        </w:p>
      </w:tc>
    </w:tr>
  </w:tbl>
  <w:p w:rsidR="008D422C" w:rsidRPr="0020661F" w:rsidRDefault="008D422C" w:rsidP="000E4D68">
    <w:pPr>
      <w:pStyle w:val="Piedepgina"/>
      <w:tabs>
        <w:tab w:val="left" w:pos="426"/>
      </w:tabs>
      <w:rPr>
        <w:rFonts w:cstheme="minorHAnsi"/>
        <w:color w:val="9966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C" w:rsidRPr="00EA686C" w:rsidRDefault="008D422C" w:rsidP="00283508">
    <w:pPr>
      <w:pStyle w:val="Encabezado"/>
      <w:ind w:left="284"/>
    </w:pPr>
  </w:p>
  <w:tbl>
    <w:tblPr>
      <w:tblStyle w:val="Tablaconcuadrcula"/>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3"/>
    </w:tblGrid>
    <w:tr w:rsidR="008D422C" w:rsidRPr="0020661F" w:rsidTr="00401D68">
      <w:tc>
        <w:tcPr>
          <w:tcW w:w="1843" w:type="dxa"/>
          <w:vAlign w:val="center"/>
        </w:tcPr>
        <w:p w:rsidR="008D422C" w:rsidRPr="00B7325A" w:rsidRDefault="008D422C" w:rsidP="00F572BA">
          <w:pPr>
            <w:pStyle w:val="Piedepgina"/>
            <w:tabs>
              <w:tab w:val="clear" w:pos="4252"/>
              <w:tab w:val="center" w:pos="3645"/>
            </w:tabs>
            <w:jc w:val="left"/>
            <w:rPr>
              <w:rFonts w:ascii="Swis721 Cn BT" w:hAnsi="Swis721 Cn BT" w:cs="Tahoma"/>
              <w:color w:val="9D6833"/>
              <w:sz w:val="20"/>
              <w:szCs w:val="20"/>
            </w:rPr>
          </w:pPr>
          <w:r w:rsidRPr="00B7325A">
            <w:rPr>
              <w:rFonts w:ascii="Swis721 Cn BT" w:hAnsi="Swis721 Cn BT" w:cs="Tahoma"/>
              <w:color w:val="9D6833"/>
              <w:sz w:val="20"/>
              <w:szCs w:val="20"/>
            </w:rPr>
            <w:t xml:space="preserve">Página </w:t>
          </w:r>
          <w:r w:rsidRPr="00B7325A">
            <w:rPr>
              <w:rFonts w:ascii="Swis721 Cn BT" w:hAnsi="Swis721 Cn BT" w:cs="Tahoma"/>
              <w:color w:val="9D6833"/>
              <w:sz w:val="20"/>
              <w:szCs w:val="20"/>
            </w:rPr>
            <w:fldChar w:fldCharType="begin"/>
          </w:r>
          <w:r w:rsidRPr="00B7325A">
            <w:rPr>
              <w:rFonts w:ascii="Swis721 Cn BT" w:hAnsi="Swis721 Cn BT" w:cs="Tahoma"/>
              <w:color w:val="9D6833"/>
              <w:sz w:val="20"/>
              <w:szCs w:val="20"/>
            </w:rPr>
            <w:instrText>PAGE</w:instrText>
          </w:r>
          <w:r w:rsidRPr="00B7325A">
            <w:rPr>
              <w:rFonts w:ascii="Swis721 Cn BT" w:hAnsi="Swis721 Cn BT" w:cs="Tahoma"/>
              <w:color w:val="9D6833"/>
              <w:sz w:val="20"/>
              <w:szCs w:val="20"/>
            </w:rPr>
            <w:fldChar w:fldCharType="separate"/>
          </w:r>
          <w:r w:rsidR="00306B63">
            <w:rPr>
              <w:rFonts w:ascii="Swis721 Cn BT" w:hAnsi="Swis721 Cn BT" w:cs="Tahoma"/>
              <w:noProof/>
              <w:color w:val="9D6833"/>
              <w:sz w:val="20"/>
              <w:szCs w:val="20"/>
            </w:rPr>
            <w:t>1</w:t>
          </w:r>
          <w:r w:rsidRPr="00B7325A">
            <w:rPr>
              <w:rFonts w:ascii="Swis721 Cn BT" w:hAnsi="Swis721 Cn BT" w:cs="Tahoma"/>
              <w:color w:val="9D6833"/>
              <w:sz w:val="20"/>
              <w:szCs w:val="20"/>
            </w:rPr>
            <w:fldChar w:fldCharType="end"/>
          </w:r>
          <w:r w:rsidRPr="00B7325A">
            <w:rPr>
              <w:rFonts w:ascii="Swis721 Cn BT" w:hAnsi="Swis721 Cn BT" w:cs="Tahoma"/>
              <w:color w:val="9D6833"/>
              <w:sz w:val="20"/>
              <w:szCs w:val="20"/>
            </w:rPr>
            <w:t xml:space="preserve"> de </w:t>
          </w:r>
          <w:r w:rsidRPr="00B7325A">
            <w:rPr>
              <w:rFonts w:ascii="Swis721 Cn BT" w:hAnsi="Swis721 Cn BT" w:cs="Tahoma"/>
              <w:color w:val="9D6833"/>
              <w:sz w:val="20"/>
              <w:szCs w:val="20"/>
            </w:rPr>
            <w:fldChar w:fldCharType="begin"/>
          </w:r>
          <w:r w:rsidRPr="00B7325A">
            <w:rPr>
              <w:rFonts w:ascii="Swis721 Cn BT" w:hAnsi="Swis721 Cn BT" w:cs="Tahoma"/>
              <w:color w:val="9D6833"/>
              <w:sz w:val="20"/>
              <w:szCs w:val="20"/>
            </w:rPr>
            <w:instrText>NUMPAGES</w:instrText>
          </w:r>
          <w:r w:rsidRPr="00B7325A">
            <w:rPr>
              <w:rFonts w:ascii="Swis721 Cn BT" w:hAnsi="Swis721 Cn BT" w:cs="Tahoma"/>
              <w:color w:val="9D6833"/>
              <w:sz w:val="20"/>
              <w:szCs w:val="20"/>
            </w:rPr>
            <w:fldChar w:fldCharType="separate"/>
          </w:r>
          <w:r w:rsidR="00306B63">
            <w:rPr>
              <w:rFonts w:ascii="Swis721 Cn BT" w:hAnsi="Swis721 Cn BT" w:cs="Tahoma"/>
              <w:noProof/>
              <w:color w:val="9D6833"/>
              <w:sz w:val="20"/>
              <w:szCs w:val="20"/>
            </w:rPr>
            <w:t>3</w:t>
          </w:r>
          <w:r w:rsidRPr="00B7325A">
            <w:rPr>
              <w:rFonts w:ascii="Swis721 Cn BT" w:hAnsi="Swis721 Cn BT" w:cs="Tahoma"/>
              <w:color w:val="9D6833"/>
              <w:sz w:val="20"/>
              <w:szCs w:val="20"/>
            </w:rPr>
            <w:fldChar w:fldCharType="end"/>
          </w:r>
        </w:p>
      </w:tc>
      <w:tc>
        <w:tcPr>
          <w:tcW w:w="7513" w:type="dxa"/>
          <w:vAlign w:val="center"/>
        </w:tcPr>
        <w:p w:rsidR="008D422C" w:rsidRDefault="008D422C" w:rsidP="00B7325A">
          <w:pPr>
            <w:pStyle w:val="Piedepgina"/>
            <w:ind w:left="284"/>
            <w:rPr>
              <w:rFonts w:ascii="Swis721 Cn BT" w:hAnsi="Swis721 Cn BT"/>
              <w:b/>
              <w:color w:val="9D6833"/>
              <w:sz w:val="20"/>
              <w:szCs w:val="20"/>
            </w:rPr>
          </w:pPr>
          <w:r w:rsidRPr="00B7325A">
            <w:rPr>
              <w:rFonts w:ascii="Swis721 Cn BT" w:hAnsi="Swis721 Cn BT"/>
              <w:b/>
              <w:color w:val="9D6833"/>
              <w:sz w:val="20"/>
              <w:szCs w:val="20"/>
            </w:rPr>
            <w:t>Sepes Entidad Pública Empresarial de Suelo</w:t>
          </w:r>
        </w:p>
        <w:p w:rsidR="008D422C" w:rsidRPr="00B7325A" w:rsidRDefault="008D422C" w:rsidP="00B7325A">
          <w:pPr>
            <w:pStyle w:val="Piedepgina"/>
            <w:ind w:left="284"/>
            <w:rPr>
              <w:rFonts w:ascii="Swis721 Cn BT" w:hAnsi="Swis721 Cn BT" w:cs="Tahoma"/>
              <w:color w:val="9D6833"/>
              <w:sz w:val="20"/>
              <w:szCs w:val="20"/>
            </w:rPr>
          </w:pPr>
          <w:r w:rsidRPr="00B7325A">
            <w:rPr>
              <w:rFonts w:ascii="Swis721 Cn BT" w:hAnsi="Swis721 Cn BT"/>
              <w:color w:val="9D6833"/>
              <w:sz w:val="20"/>
              <w:szCs w:val="20"/>
            </w:rPr>
            <w:t xml:space="preserve">Paseo de la Castellana, 91 </w:t>
          </w:r>
          <w:r w:rsidRPr="00B7325A">
            <w:rPr>
              <w:rFonts w:ascii="Swis721 Cn BT" w:hAnsi="Swis721 Cn BT"/>
              <w:color w:val="9D6833"/>
              <w:sz w:val="20"/>
              <w:szCs w:val="20"/>
            </w:rPr>
            <w:sym w:font="Wingdings 2" w:char="F0A0"/>
          </w:r>
          <w:r w:rsidRPr="00B7325A">
            <w:rPr>
              <w:rFonts w:ascii="Swis721 Cn BT" w:hAnsi="Swis721 Cn BT"/>
              <w:color w:val="9D6833"/>
              <w:sz w:val="20"/>
              <w:szCs w:val="20"/>
            </w:rPr>
            <w:t xml:space="preserve"> 28046 Madrid </w:t>
          </w:r>
          <w:r w:rsidRPr="00B7325A">
            <w:rPr>
              <w:rFonts w:ascii="Swis721 Cn BT" w:hAnsi="Swis721 Cn BT"/>
              <w:color w:val="9D6833"/>
              <w:sz w:val="20"/>
              <w:szCs w:val="20"/>
            </w:rPr>
            <w:sym w:font="Wingdings 2" w:char="F0A0"/>
          </w:r>
          <w:r w:rsidRPr="00B7325A">
            <w:rPr>
              <w:rFonts w:ascii="Swis721 Cn BT" w:hAnsi="Swis721 Cn BT"/>
              <w:color w:val="9D6833"/>
              <w:sz w:val="20"/>
              <w:szCs w:val="20"/>
            </w:rPr>
            <w:t xml:space="preserve"> NIF Q2801671E </w:t>
          </w:r>
          <w:r w:rsidRPr="00B7325A">
            <w:rPr>
              <w:rFonts w:ascii="Swis721 Cn BT" w:hAnsi="Swis721 Cn BT"/>
              <w:color w:val="9D6833"/>
              <w:sz w:val="20"/>
              <w:szCs w:val="20"/>
            </w:rPr>
            <w:sym w:font="Wingdings 2" w:char="F0A0"/>
          </w:r>
          <w:r w:rsidRPr="00B7325A">
            <w:rPr>
              <w:rFonts w:ascii="Swis721 Cn BT" w:hAnsi="Swis721 Cn BT"/>
              <w:color w:val="9D6833"/>
              <w:sz w:val="20"/>
              <w:szCs w:val="20"/>
            </w:rPr>
            <w:t xml:space="preserve"> </w:t>
          </w:r>
          <w:r w:rsidRPr="00B7325A">
            <w:rPr>
              <w:rFonts w:ascii="Swis721 Cn BT" w:hAnsi="Swis721 Cn BT"/>
              <w:b/>
              <w:color w:val="9D6833"/>
              <w:sz w:val="20"/>
              <w:szCs w:val="20"/>
            </w:rPr>
            <w:t>Sepes.es</w:t>
          </w:r>
        </w:p>
      </w:tc>
    </w:tr>
  </w:tbl>
  <w:p w:rsidR="008D422C" w:rsidRPr="0020661F" w:rsidRDefault="008D422C" w:rsidP="000E4D68">
    <w:pPr>
      <w:pStyle w:val="Piedepgina"/>
      <w:rPr>
        <w:rFonts w:ascii="Swis721 Cn BT" w:hAnsi="Swis721 Cn BT" w:cstheme="minorHAnsi"/>
        <w:color w:val="9D6833"/>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053" w:rsidRDefault="00AB1053" w:rsidP="00416E67">
      <w:r>
        <w:separator/>
      </w:r>
    </w:p>
  </w:footnote>
  <w:footnote w:type="continuationSeparator" w:id="0">
    <w:p w:rsidR="00AB1053" w:rsidRDefault="00AB1053" w:rsidP="0041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C" w:rsidRDefault="008D422C" w:rsidP="00607FB4">
    <w:pPr>
      <w:pStyle w:val="Encabezado"/>
      <w:jc w:val="both"/>
    </w:pPr>
    <w:r>
      <w:rPr>
        <w:noProof/>
        <w:lang w:eastAsia="es-ES"/>
      </w:rPr>
      <w:drawing>
        <wp:inline distT="0" distB="0" distL="0" distR="0">
          <wp:extent cx="757435" cy="792000"/>
          <wp:effectExtent l="0" t="0" r="508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ertical_color.jpg"/>
                  <pic:cNvPicPr/>
                </pic:nvPicPr>
                <pic:blipFill>
                  <a:blip r:embed="rId1">
                    <a:extLst>
                      <a:ext uri="{28A0092B-C50C-407E-A947-70E740481C1C}">
                        <a14:useLocalDpi xmlns:a14="http://schemas.microsoft.com/office/drawing/2010/main" val="0"/>
                      </a:ext>
                    </a:extLst>
                  </a:blip>
                  <a:stretch>
                    <a:fillRect/>
                  </a:stretch>
                </pic:blipFill>
                <pic:spPr>
                  <a:xfrm>
                    <a:off x="0" y="0"/>
                    <a:ext cx="757435" cy="79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C" w:rsidRDefault="008D422C" w:rsidP="00607FB4">
    <w:pPr>
      <w:pStyle w:val="Encabezado"/>
    </w:pPr>
    <w:r>
      <w:rPr>
        <w:rFonts w:ascii="Tahoma" w:hAnsi="Tahoma" w:cs="Tahoma"/>
        <w:noProof/>
        <w:lang w:eastAsia="es-ES"/>
      </w:rPr>
      <w:drawing>
        <wp:anchor distT="0" distB="0" distL="114300" distR="114300" simplePos="0" relativeHeight="251660288" behindDoc="1" locked="0" layoutInCell="1" allowOverlap="1" wp14:anchorId="241D7BBA" wp14:editId="1A204D23">
          <wp:simplePos x="0" y="0"/>
          <wp:positionH relativeFrom="column">
            <wp:posOffset>3997960</wp:posOffset>
          </wp:positionH>
          <wp:positionV relativeFrom="paragraph">
            <wp:posOffset>67310</wp:posOffset>
          </wp:positionV>
          <wp:extent cx="1756410" cy="467995"/>
          <wp:effectExtent l="0" t="0" r="0" b="8255"/>
          <wp:wrapTight wrapText="bothSides">
            <wp:wrapPolygon edited="0">
              <wp:start x="0" y="0"/>
              <wp:lineTo x="0" y="21102"/>
              <wp:lineTo x="21319" y="21102"/>
              <wp:lineTo x="2131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MAU.Gob_b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6410" cy="46799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column">
            <wp:posOffset>-18659</wp:posOffset>
          </wp:positionH>
          <wp:positionV relativeFrom="paragraph">
            <wp:posOffset>-64135</wp:posOffset>
          </wp:positionV>
          <wp:extent cx="2181600" cy="828000"/>
          <wp:effectExtent l="0" t="0" r="0" b="0"/>
          <wp:wrapThrough wrapText="bothSides">
            <wp:wrapPolygon edited="0">
              <wp:start x="0" y="0"/>
              <wp:lineTo x="0" y="20887"/>
              <wp:lineTo x="21317" y="20887"/>
              <wp:lineTo x="2131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rizontal_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81600" cy="82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8.6pt;height:8.6pt" o:bullet="t">
        <v:imagedata r:id="rId1" o:title="BD14533_"/>
      </v:shape>
    </w:pict>
  </w:numPicBullet>
  <w:abstractNum w:abstractNumId="0">
    <w:nsid w:val="0A4A6708"/>
    <w:multiLevelType w:val="hybridMultilevel"/>
    <w:tmpl w:val="4D0E71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C3D04"/>
    <w:multiLevelType w:val="hybridMultilevel"/>
    <w:tmpl w:val="F5E88E9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23957C1"/>
    <w:multiLevelType w:val="hybridMultilevel"/>
    <w:tmpl w:val="58C86C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2701554"/>
    <w:multiLevelType w:val="hybridMultilevel"/>
    <w:tmpl w:val="E70414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3F08E4"/>
    <w:multiLevelType w:val="hybridMultilevel"/>
    <w:tmpl w:val="9962BDD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167CD1"/>
    <w:multiLevelType w:val="multilevel"/>
    <w:tmpl w:val="5C9649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DFD20F7"/>
    <w:multiLevelType w:val="hybridMultilevel"/>
    <w:tmpl w:val="C00C244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F2720C"/>
    <w:multiLevelType w:val="hybridMultilevel"/>
    <w:tmpl w:val="0DBC6C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ECD3299"/>
    <w:multiLevelType w:val="multilevel"/>
    <w:tmpl w:val="C7A46F8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nsid w:val="366F0AD4"/>
    <w:multiLevelType w:val="multilevel"/>
    <w:tmpl w:val="548A91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2124D5"/>
    <w:multiLevelType w:val="multilevel"/>
    <w:tmpl w:val="77DA81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293FD4"/>
    <w:multiLevelType w:val="multilevel"/>
    <w:tmpl w:val="D38AF7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48E587B"/>
    <w:multiLevelType w:val="hybridMultilevel"/>
    <w:tmpl w:val="4EF214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6D1A5017"/>
    <w:multiLevelType w:val="hybridMultilevel"/>
    <w:tmpl w:val="261C5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0"/>
  </w:num>
  <w:num w:numId="5">
    <w:abstractNumId w:val="9"/>
  </w:num>
  <w:num w:numId="6">
    <w:abstractNumId w:val="1"/>
  </w:num>
  <w:num w:numId="7">
    <w:abstractNumId w:val="15"/>
  </w:num>
  <w:num w:numId="8">
    <w:abstractNumId w:val="13"/>
  </w:num>
  <w:num w:numId="9">
    <w:abstractNumId w:val="17"/>
  </w:num>
  <w:num w:numId="10">
    <w:abstractNumId w:val="2"/>
  </w:num>
  <w:num w:numId="11">
    <w:abstractNumId w:val="4"/>
  </w:num>
  <w:num w:numId="12">
    <w:abstractNumId w:val="6"/>
  </w:num>
  <w:num w:numId="13">
    <w:abstractNumId w:val="8"/>
  </w:num>
  <w:num w:numId="14">
    <w:abstractNumId w:val="3"/>
  </w:num>
  <w:num w:numId="15">
    <w:abstractNumId w:val="14"/>
  </w:num>
  <w:num w:numId="16">
    <w:abstractNumId w:val="12"/>
  </w:num>
  <w:num w:numId="17">
    <w:abstractNumId w:val="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8C"/>
    <w:rsid w:val="000050BA"/>
    <w:rsid w:val="0000543F"/>
    <w:rsid w:val="00031280"/>
    <w:rsid w:val="0004289A"/>
    <w:rsid w:val="00043DCF"/>
    <w:rsid w:val="0004581F"/>
    <w:rsid w:val="00045A41"/>
    <w:rsid w:val="00047FA8"/>
    <w:rsid w:val="00053807"/>
    <w:rsid w:val="0007477C"/>
    <w:rsid w:val="0008602D"/>
    <w:rsid w:val="000B0181"/>
    <w:rsid w:val="000B51A2"/>
    <w:rsid w:val="000B65BB"/>
    <w:rsid w:val="000B791F"/>
    <w:rsid w:val="000E4D68"/>
    <w:rsid w:val="000F4B20"/>
    <w:rsid w:val="000F73C1"/>
    <w:rsid w:val="001035FF"/>
    <w:rsid w:val="00104177"/>
    <w:rsid w:val="0011602C"/>
    <w:rsid w:val="00117CB3"/>
    <w:rsid w:val="00117DB3"/>
    <w:rsid w:val="00142389"/>
    <w:rsid w:val="00142B2E"/>
    <w:rsid w:val="00146105"/>
    <w:rsid w:val="00152E02"/>
    <w:rsid w:val="00156F6A"/>
    <w:rsid w:val="00176610"/>
    <w:rsid w:val="00184918"/>
    <w:rsid w:val="001937FC"/>
    <w:rsid w:val="00196ED7"/>
    <w:rsid w:val="001A09E3"/>
    <w:rsid w:val="001B25C4"/>
    <w:rsid w:val="001B6869"/>
    <w:rsid w:val="001B6F6A"/>
    <w:rsid w:val="001C029B"/>
    <w:rsid w:val="001C1F3F"/>
    <w:rsid w:val="001C2CA7"/>
    <w:rsid w:val="001C5A24"/>
    <w:rsid w:val="001C6D66"/>
    <w:rsid w:val="001D0625"/>
    <w:rsid w:val="001D75D2"/>
    <w:rsid w:val="001E14C3"/>
    <w:rsid w:val="001E1BEC"/>
    <w:rsid w:val="001E3F47"/>
    <w:rsid w:val="00202997"/>
    <w:rsid w:val="0020661F"/>
    <w:rsid w:val="00210F9C"/>
    <w:rsid w:val="002128B1"/>
    <w:rsid w:val="00220679"/>
    <w:rsid w:val="002250B9"/>
    <w:rsid w:val="00226C40"/>
    <w:rsid w:val="002334E9"/>
    <w:rsid w:val="00240B82"/>
    <w:rsid w:val="002433E9"/>
    <w:rsid w:val="00243747"/>
    <w:rsid w:val="00243F88"/>
    <w:rsid w:val="00250FBB"/>
    <w:rsid w:val="0026291B"/>
    <w:rsid w:val="00262ECD"/>
    <w:rsid w:val="00264B4E"/>
    <w:rsid w:val="0027769D"/>
    <w:rsid w:val="00283508"/>
    <w:rsid w:val="00291CD6"/>
    <w:rsid w:val="0029340E"/>
    <w:rsid w:val="002936AC"/>
    <w:rsid w:val="002B4C7C"/>
    <w:rsid w:val="002C4747"/>
    <w:rsid w:val="002D10D1"/>
    <w:rsid w:val="002F184F"/>
    <w:rsid w:val="003035EA"/>
    <w:rsid w:val="00306B63"/>
    <w:rsid w:val="00310835"/>
    <w:rsid w:val="0031623D"/>
    <w:rsid w:val="00324852"/>
    <w:rsid w:val="00324B52"/>
    <w:rsid w:val="00334682"/>
    <w:rsid w:val="00360A58"/>
    <w:rsid w:val="0036437F"/>
    <w:rsid w:val="00390E8C"/>
    <w:rsid w:val="00395617"/>
    <w:rsid w:val="003A423E"/>
    <w:rsid w:val="003A441B"/>
    <w:rsid w:val="003B5E51"/>
    <w:rsid w:val="003C27EB"/>
    <w:rsid w:val="003C6A6F"/>
    <w:rsid w:val="003C7C1D"/>
    <w:rsid w:val="003D5141"/>
    <w:rsid w:val="003E0663"/>
    <w:rsid w:val="003E3D96"/>
    <w:rsid w:val="003F5431"/>
    <w:rsid w:val="00400364"/>
    <w:rsid w:val="00401D68"/>
    <w:rsid w:val="00416E67"/>
    <w:rsid w:val="00424A94"/>
    <w:rsid w:val="00425D56"/>
    <w:rsid w:val="004341F2"/>
    <w:rsid w:val="004371EA"/>
    <w:rsid w:val="00452DF6"/>
    <w:rsid w:val="00471269"/>
    <w:rsid w:val="00477896"/>
    <w:rsid w:val="0048548B"/>
    <w:rsid w:val="004A64C1"/>
    <w:rsid w:val="004C06E7"/>
    <w:rsid w:val="004C30B1"/>
    <w:rsid w:val="004D4966"/>
    <w:rsid w:val="005000BF"/>
    <w:rsid w:val="00504502"/>
    <w:rsid w:val="00507CAF"/>
    <w:rsid w:val="005439FF"/>
    <w:rsid w:val="00546475"/>
    <w:rsid w:val="00561D91"/>
    <w:rsid w:val="00564A96"/>
    <w:rsid w:val="00574B42"/>
    <w:rsid w:val="00582261"/>
    <w:rsid w:val="00582F10"/>
    <w:rsid w:val="00584759"/>
    <w:rsid w:val="0059441A"/>
    <w:rsid w:val="005E7999"/>
    <w:rsid w:val="005F1DDA"/>
    <w:rsid w:val="00607FB4"/>
    <w:rsid w:val="00610C39"/>
    <w:rsid w:val="00617282"/>
    <w:rsid w:val="0061748E"/>
    <w:rsid w:val="00624508"/>
    <w:rsid w:val="00630001"/>
    <w:rsid w:val="0066599D"/>
    <w:rsid w:val="00682E34"/>
    <w:rsid w:val="006917E4"/>
    <w:rsid w:val="00692B1C"/>
    <w:rsid w:val="006A5470"/>
    <w:rsid w:val="006B78A1"/>
    <w:rsid w:val="006C253E"/>
    <w:rsid w:val="006C713C"/>
    <w:rsid w:val="006C7EA8"/>
    <w:rsid w:val="006D4F7D"/>
    <w:rsid w:val="006E332D"/>
    <w:rsid w:val="006F1118"/>
    <w:rsid w:val="006F5F09"/>
    <w:rsid w:val="006F60B9"/>
    <w:rsid w:val="006F6B5C"/>
    <w:rsid w:val="006F6EE2"/>
    <w:rsid w:val="0070271D"/>
    <w:rsid w:val="0070389A"/>
    <w:rsid w:val="00726452"/>
    <w:rsid w:val="00730429"/>
    <w:rsid w:val="007311C7"/>
    <w:rsid w:val="007466DA"/>
    <w:rsid w:val="00766F74"/>
    <w:rsid w:val="007759EF"/>
    <w:rsid w:val="0078420B"/>
    <w:rsid w:val="00784B8D"/>
    <w:rsid w:val="00790245"/>
    <w:rsid w:val="00794325"/>
    <w:rsid w:val="007A0540"/>
    <w:rsid w:val="007A0907"/>
    <w:rsid w:val="007A7275"/>
    <w:rsid w:val="007E0BDF"/>
    <w:rsid w:val="007E6036"/>
    <w:rsid w:val="007F1D85"/>
    <w:rsid w:val="007F2FC2"/>
    <w:rsid w:val="007F43B5"/>
    <w:rsid w:val="007F526E"/>
    <w:rsid w:val="0080009A"/>
    <w:rsid w:val="0081490E"/>
    <w:rsid w:val="0082324A"/>
    <w:rsid w:val="00827528"/>
    <w:rsid w:val="00827CC9"/>
    <w:rsid w:val="008311F0"/>
    <w:rsid w:val="00833D47"/>
    <w:rsid w:val="00835310"/>
    <w:rsid w:val="008369DE"/>
    <w:rsid w:val="00843949"/>
    <w:rsid w:val="0085799A"/>
    <w:rsid w:val="00872BA6"/>
    <w:rsid w:val="00896842"/>
    <w:rsid w:val="00897864"/>
    <w:rsid w:val="008B0E15"/>
    <w:rsid w:val="008B7CDB"/>
    <w:rsid w:val="008D2E4A"/>
    <w:rsid w:val="008D422C"/>
    <w:rsid w:val="00903596"/>
    <w:rsid w:val="00914605"/>
    <w:rsid w:val="0092464E"/>
    <w:rsid w:val="009460C7"/>
    <w:rsid w:val="009747FD"/>
    <w:rsid w:val="00992A37"/>
    <w:rsid w:val="009939E2"/>
    <w:rsid w:val="00997837"/>
    <w:rsid w:val="009A471F"/>
    <w:rsid w:val="009B1605"/>
    <w:rsid w:val="009B2C44"/>
    <w:rsid w:val="00A00812"/>
    <w:rsid w:val="00A30E5B"/>
    <w:rsid w:val="00A37395"/>
    <w:rsid w:val="00A420F0"/>
    <w:rsid w:val="00A55334"/>
    <w:rsid w:val="00A61FEA"/>
    <w:rsid w:val="00A66060"/>
    <w:rsid w:val="00A85F5F"/>
    <w:rsid w:val="00A9689B"/>
    <w:rsid w:val="00AA4D2B"/>
    <w:rsid w:val="00AB1053"/>
    <w:rsid w:val="00AB5EEE"/>
    <w:rsid w:val="00AB736F"/>
    <w:rsid w:val="00AC4551"/>
    <w:rsid w:val="00AC6B5F"/>
    <w:rsid w:val="00AE0EEC"/>
    <w:rsid w:val="00AE2600"/>
    <w:rsid w:val="00AE6F2A"/>
    <w:rsid w:val="00AF249B"/>
    <w:rsid w:val="00AF7D09"/>
    <w:rsid w:val="00B11F6F"/>
    <w:rsid w:val="00B13F27"/>
    <w:rsid w:val="00B34A13"/>
    <w:rsid w:val="00B3614F"/>
    <w:rsid w:val="00B5260F"/>
    <w:rsid w:val="00B64E67"/>
    <w:rsid w:val="00B7325A"/>
    <w:rsid w:val="00B73D03"/>
    <w:rsid w:val="00B90E8A"/>
    <w:rsid w:val="00B9757E"/>
    <w:rsid w:val="00BA6BA4"/>
    <w:rsid w:val="00BA72F4"/>
    <w:rsid w:val="00BB6B41"/>
    <w:rsid w:val="00BC0ACC"/>
    <w:rsid w:val="00BD6E43"/>
    <w:rsid w:val="00BD76F5"/>
    <w:rsid w:val="00BE2851"/>
    <w:rsid w:val="00BF11E0"/>
    <w:rsid w:val="00BF6F18"/>
    <w:rsid w:val="00C01EBE"/>
    <w:rsid w:val="00C11F06"/>
    <w:rsid w:val="00C140A5"/>
    <w:rsid w:val="00C25131"/>
    <w:rsid w:val="00C30EE8"/>
    <w:rsid w:val="00C347B7"/>
    <w:rsid w:val="00C37280"/>
    <w:rsid w:val="00C37517"/>
    <w:rsid w:val="00C40AD6"/>
    <w:rsid w:val="00C45C1E"/>
    <w:rsid w:val="00C71C9A"/>
    <w:rsid w:val="00C735A3"/>
    <w:rsid w:val="00C75C5B"/>
    <w:rsid w:val="00C81AB0"/>
    <w:rsid w:val="00C87625"/>
    <w:rsid w:val="00C90158"/>
    <w:rsid w:val="00C91A47"/>
    <w:rsid w:val="00C92AD4"/>
    <w:rsid w:val="00CB1240"/>
    <w:rsid w:val="00CF0FA5"/>
    <w:rsid w:val="00D0047A"/>
    <w:rsid w:val="00D03CDE"/>
    <w:rsid w:val="00D10AA8"/>
    <w:rsid w:val="00D10CD5"/>
    <w:rsid w:val="00D144E2"/>
    <w:rsid w:val="00D26F71"/>
    <w:rsid w:val="00D30FAE"/>
    <w:rsid w:val="00D31316"/>
    <w:rsid w:val="00D37F2D"/>
    <w:rsid w:val="00D53C29"/>
    <w:rsid w:val="00D73183"/>
    <w:rsid w:val="00D8165D"/>
    <w:rsid w:val="00D973F3"/>
    <w:rsid w:val="00DA227B"/>
    <w:rsid w:val="00DA2673"/>
    <w:rsid w:val="00DB103D"/>
    <w:rsid w:val="00DE0FE5"/>
    <w:rsid w:val="00DF2536"/>
    <w:rsid w:val="00E015E6"/>
    <w:rsid w:val="00E22430"/>
    <w:rsid w:val="00E246DD"/>
    <w:rsid w:val="00E32423"/>
    <w:rsid w:val="00E46C71"/>
    <w:rsid w:val="00E65786"/>
    <w:rsid w:val="00E72808"/>
    <w:rsid w:val="00E73DEB"/>
    <w:rsid w:val="00E84EA6"/>
    <w:rsid w:val="00E8674B"/>
    <w:rsid w:val="00E90204"/>
    <w:rsid w:val="00E91A3C"/>
    <w:rsid w:val="00EE013B"/>
    <w:rsid w:val="00EE072A"/>
    <w:rsid w:val="00EE3A0C"/>
    <w:rsid w:val="00EE3F15"/>
    <w:rsid w:val="00EF255B"/>
    <w:rsid w:val="00F05B5B"/>
    <w:rsid w:val="00F078DC"/>
    <w:rsid w:val="00F238A8"/>
    <w:rsid w:val="00F42B91"/>
    <w:rsid w:val="00F462CB"/>
    <w:rsid w:val="00F572BA"/>
    <w:rsid w:val="00F82823"/>
    <w:rsid w:val="00F93FCE"/>
    <w:rsid w:val="00FD3951"/>
    <w:rsid w:val="00FD4A86"/>
    <w:rsid w:val="00FD5C42"/>
    <w:rsid w:val="00FD5E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8C"/>
  </w:style>
  <w:style w:type="paragraph" w:styleId="Ttulo1">
    <w:name w:val="heading 1"/>
    <w:basedOn w:val="Normal"/>
    <w:next w:val="Normal"/>
    <w:link w:val="Ttulo1Car"/>
    <w:uiPriority w:val="9"/>
    <w:qFormat/>
    <w:rsid w:val="000B79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341F2"/>
    <w:pPr>
      <w:keepNext/>
      <w:keepLines/>
      <w:spacing w:before="200"/>
      <w:jc w:val="left"/>
      <w:outlineLvl w:val="1"/>
    </w:pPr>
    <w:rPr>
      <w:rFonts w:ascii="Century Gothic" w:eastAsiaTheme="majorEastAsia" w:hAnsi="Century Gothic" w:cstheme="majorBidi"/>
      <w:b/>
      <w:bCs/>
      <w:color w:val="50866C"/>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6E67"/>
    <w:pPr>
      <w:tabs>
        <w:tab w:val="center" w:pos="4252"/>
        <w:tab w:val="right" w:pos="8504"/>
      </w:tabs>
    </w:pPr>
  </w:style>
  <w:style w:type="character" w:customStyle="1" w:styleId="EncabezadoCar">
    <w:name w:val="Encabezado Car"/>
    <w:basedOn w:val="Fuentedeprrafopredeter"/>
    <w:link w:val="Encabezado"/>
    <w:uiPriority w:val="99"/>
    <w:rsid w:val="00416E67"/>
  </w:style>
  <w:style w:type="paragraph" w:styleId="Piedepgina">
    <w:name w:val="footer"/>
    <w:basedOn w:val="Normal"/>
    <w:link w:val="PiedepginaCar"/>
    <w:uiPriority w:val="99"/>
    <w:unhideWhenUsed/>
    <w:rsid w:val="00416E67"/>
    <w:pPr>
      <w:tabs>
        <w:tab w:val="center" w:pos="4252"/>
        <w:tab w:val="right" w:pos="8504"/>
      </w:tabs>
    </w:pPr>
  </w:style>
  <w:style w:type="character" w:customStyle="1" w:styleId="PiedepginaCar">
    <w:name w:val="Pie de página Car"/>
    <w:basedOn w:val="Fuentedeprrafopredeter"/>
    <w:link w:val="Piedepgina"/>
    <w:uiPriority w:val="99"/>
    <w:rsid w:val="00416E67"/>
  </w:style>
  <w:style w:type="table" w:styleId="Tablaconcuadrcula">
    <w:name w:val="Table Grid"/>
    <w:basedOn w:val="Tablanormal"/>
    <w:uiPriority w:val="59"/>
    <w:rsid w:val="00836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A26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2673"/>
    <w:rPr>
      <w:rFonts w:ascii="Segoe UI" w:hAnsi="Segoe UI" w:cs="Segoe UI"/>
      <w:sz w:val="18"/>
      <w:szCs w:val="18"/>
    </w:rPr>
  </w:style>
  <w:style w:type="paragraph" w:styleId="Prrafodelista">
    <w:name w:val="List Paragraph"/>
    <w:aliases w:val="guiones,Arial 8,List Paragraph,List Paragraph1,Normal N3,Párrafo de lista1,Párrafo de lista4,Gráfico Título,Párrafo 1,Párrafo,Párrafo de lista6,Tabla,Párrafo de lista - cat,Bullet,lista graficos,Párrafo de lista11,Heading3.1,Tabl"/>
    <w:basedOn w:val="Normal"/>
    <w:link w:val="PrrafodelistaCar"/>
    <w:uiPriority w:val="34"/>
    <w:qFormat/>
    <w:rsid w:val="00390E8C"/>
    <w:pPr>
      <w:ind w:left="720"/>
      <w:contextualSpacing/>
      <w:jc w:val="left"/>
    </w:pPr>
    <w:rPr>
      <w:rFonts w:ascii="Tahoma" w:eastAsia="Times New Roman" w:hAnsi="Tahoma" w:cs="Tahoma"/>
      <w:lang w:val="es-ES_tradnl" w:eastAsia="es-ES"/>
    </w:rPr>
  </w:style>
  <w:style w:type="character" w:customStyle="1" w:styleId="PrrafodelistaCar">
    <w:name w:val="Párrafo de lista Car"/>
    <w:aliases w:val="guiones Car,Arial 8 Car,List Paragraph Car,List Paragraph1 Car,Normal N3 Car,Párrafo de lista1 Car,Párrafo de lista4 Car,Gráfico Título Car,Párrafo 1 Car,Párrafo Car,Párrafo de lista6 Car,Tabla Car,Párrafo de lista - cat Car"/>
    <w:basedOn w:val="Fuentedeprrafopredeter"/>
    <w:link w:val="Prrafodelista"/>
    <w:uiPriority w:val="34"/>
    <w:qFormat/>
    <w:locked/>
    <w:rsid w:val="00390E8C"/>
    <w:rPr>
      <w:rFonts w:ascii="Tahoma" w:eastAsia="Times New Roman" w:hAnsi="Tahoma" w:cs="Tahoma"/>
      <w:lang w:val="es-ES_tradnl" w:eastAsia="es-ES"/>
    </w:rPr>
  </w:style>
  <w:style w:type="paragraph" w:styleId="Textoindependiente">
    <w:name w:val="Body Text"/>
    <w:basedOn w:val="Normal"/>
    <w:link w:val="TextoindependienteCar"/>
    <w:uiPriority w:val="99"/>
    <w:semiHidden/>
    <w:unhideWhenUsed/>
    <w:rsid w:val="00EF255B"/>
    <w:pPr>
      <w:spacing w:after="120"/>
    </w:pPr>
  </w:style>
  <w:style w:type="character" w:customStyle="1" w:styleId="TextoindependienteCar">
    <w:name w:val="Texto independiente Car"/>
    <w:basedOn w:val="Fuentedeprrafopredeter"/>
    <w:link w:val="Textoindependiente"/>
    <w:uiPriority w:val="99"/>
    <w:semiHidden/>
    <w:rsid w:val="00EF255B"/>
  </w:style>
  <w:style w:type="character" w:customStyle="1" w:styleId="Ttulo2Car">
    <w:name w:val="Título 2 Car"/>
    <w:basedOn w:val="Fuentedeprrafopredeter"/>
    <w:link w:val="Ttulo2"/>
    <w:uiPriority w:val="9"/>
    <w:rsid w:val="004341F2"/>
    <w:rPr>
      <w:rFonts w:ascii="Century Gothic" w:eastAsiaTheme="majorEastAsia" w:hAnsi="Century Gothic" w:cstheme="majorBidi"/>
      <w:b/>
      <w:bCs/>
      <w:color w:val="50866C"/>
      <w:sz w:val="26"/>
      <w:szCs w:val="26"/>
      <w:lang w:eastAsia="es-ES"/>
    </w:rPr>
  </w:style>
  <w:style w:type="paragraph" w:customStyle="1" w:styleId="Cuerpodelboletn">
    <w:name w:val="Cuerpo del boletín"/>
    <w:basedOn w:val="Normal"/>
    <w:qFormat/>
    <w:rsid w:val="004341F2"/>
    <w:pPr>
      <w:spacing w:after="200"/>
      <w:jc w:val="both"/>
    </w:pPr>
    <w:rPr>
      <w:rFonts w:ascii="Century Gothic" w:eastAsiaTheme="minorEastAsia" w:hAnsi="Century Gothic"/>
      <w:color w:val="000000"/>
      <w:szCs w:val="24"/>
      <w:lang w:eastAsia="es-ES"/>
    </w:rPr>
  </w:style>
  <w:style w:type="paragraph" w:styleId="Sinespaciado">
    <w:name w:val="No Spacing"/>
    <w:link w:val="SinespaciadoCar"/>
    <w:uiPriority w:val="1"/>
    <w:qFormat/>
    <w:rsid w:val="004341F2"/>
    <w:pPr>
      <w:jc w:val="left"/>
    </w:pPr>
  </w:style>
  <w:style w:type="character" w:customStyle="1" w:styleId="SinespaciadoCar">
    <w:name w:val="Sin espaciado Car"/>
    <w:basedOn w:val="Fuentedeprrafopredeter"/>
    <w:link w:val="Sinespaciado"/>
    <w:uiPriority w:val="1"/>
    <w:rsid w:val="004341F2"/>
  </w:style>
  <w:style w:type="table" w:styleId="Sombreadomedio2-nfasis3">
    <w:name w:val="Medium Shading 2 Accent 3"/>
    <w:basedOn w:val="Tablanormal"/>
    <w:uiPriority w:val="64"/>
    <w:rsid w:val="00DB103D"/>
    <w:pPr>
      <w:jc w:val="left"/>
    </w:pPr>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4C30B1"/>
    <w:rPr>
      <w:color w:val="0000FF"/>
      <w:u w:val="single"/>
    </w:rPr>
  </w:style>
  <w:style w:type="character" w:customStyle="1" w:styleId="Ttulo1Car">
    <w:name w:val="Título 1 Car"/>
    <w:basedOn w:val="Fuentedeprrafopredeter"/>
    <w:link w:val="Ttulo1"/>
    <w:uiPriority w:val="9"/>
    <w:rsid w:val="000B791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8C"/>
  </w:style>
  <w:style w:type="paragraph" w:styleId="Ttulo1">
    <w:name w:val="heading 1"/>
    <w:basedOn w:val="Normal"/>
    <w:next w:val="Normal"/>
    <w:link w:val="Ttulo1Car"/>
    <w:uiPriority w:val="9"/>
    <w:qFormat/>
    <w:rsid w:val="000B79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341F2"/>
    <w:pPr>
      <w:keepNext/>
      <w:keepLines/>
      <w:spacing w:before="200"/>
      <w:jc w:val="left"/>
      <w:outlineLvl w:val="1"/>
    </w:pPr>
    <w:rPr>
      <w:rFonts w:ascii="Century Gothic" w:eastAsiaTheme="majorEastAsia" w:hAnsi="Century Gothic" w:cstheme="majorBidi"/>
      <w:b/>
      <w:bCs/>
      <w:color w:val="50866C"/>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6E67"/>
    <w:pPr>
      <w:tabs>
        <w:tab w:val="center" w:pos="4252"/>
        <w:tab w:val="right" w:pos="8504"/>
      </w:tabs>
    </w:pPr>
  </w:style>
  <w:style w:type="character" w:customStyle="1" w:styleId="EncabezadoCar">
    <w:name w:val="Encabezado Car"/>
    <w:basedOn w:val="Fuentedeprrafopredeter"/>
    <w:link w:val="Encabezado"/>
    <w:uiPriority w:val="99"/>
    <w:rsid w:val="00416E67"/>
  </w:style>
  <w:style w:type="paragraph" w:styleId="Piedepgina">
    <w:name w:val="footer"/>
    <w:basedOn w:val="Normal"/>
    <w:link w:val="PiedepginaCar"/>
    <w:uiPriority w:val="99"/>
    <w:unhideWhenUsed/>
    <w:rsid w:val="00416E67"/>
    <w:pPr>
      <w:tabs>
        <w:tab w:val="center" w:pos="4252"/>
        <w:tab w:val="right" w:pos="8504"/>
      </w:tabs>
    </w:pPr>
  </w:style>
  <w:style w:type="character" w:customStyle="1" w:styleId="PiedepginaCar">
    <w:name w:val="Pie de página Car"/>
    <w:basedOn w:val="Fuentedeprrafopredeter"/>
    <w:link w:val="Piedepgina"/>
    <w:uiPriority w:val="99"/>
    <w:rsid w:val="00416E67"/>
  </w:style>
  <w:style w:type="table" w:styleId="Tablaconcuadrcula">
    <w:name w:val="Table Grid"/>
    <w:basedOn w:val="Tablanormal"/>
    <w:uiPriority w:val="59"/>
    <w:rsid w:val="00836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A26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2673"/>
    <w:rPr>
      <w:rFonts w:ascii="Segoe UI" w:hAnsi="Segoe UI" w:cs="Segoe UI"/>
      <w:sz w:val="18"/>
      <w:szCs w:val="18"/>
    </w:rPr>
  </w:style>
  <w:style w:type="paragraph" w:styleId="Prrafodelista">
    <w:name w:val="List Paragraph"/>
    <w:aliases w:val="guiones,Arial 8,List Paragraph,List Paragraph1,Normal N3,Párrafo de lista1,Párrafo de lista4,Gráfico Título,Párrafo 1,Párrafo,Párrafo de lista6,Tabla,Párrafo de lista - cat,Bullet,lista graficos,Párrafo de lista11,Heading3.1,Tabl"/>
    <w:basedOn w:val="Normal"/>
    <w:link w:val="PrrafodelistaCar"/>
    <w:uiPriority w:val="34"/>
    <w:qFormat/>
    <w:rsid w:val="00390E8C"/>
    <w:pPr>
      <w:ind w:left="720"/>
      <w:contextualSpacing/>
      <w:jc w:val="left"/>
    </w:pPr>
    <w:rPr>
      <w:rFonts w:ascii="Tahoma" w:eastAsia="Times New Roman" w:hAnsi="Tahoma" w:cs="Tahoma"/>
      <w:lang w:val="es-ES_tradnl" w:eastAsia="es-ES"/>
    </w:rPr>
  </w:style>
  <w:style w:type="character" w:customStyle="1" w:styleId="PrrafodelistaCar">
    <w:name w:val="Párrafo de lista Car"/>
    <w:aliases w:val="guiones Car,Arial 8 Car,List Paragraph Car,List Paragraph1 Car,Normal N3 Car,Párrafo de lista1 Car,Párrafo de lista4 Car,Gráfico Título Car,Párrafo 1 Car,Párrafo Car,Párrafo de lista6 Car,Tabla Car,Párrafo de lista - cat Car"/>
    <w:basedOn w:val="Fuentedeprrafopredeter"/>
    <w:link w:val="Prrafodelista"/>
    <w:uiPriority w:val="34"/>
    <w:qFormat/>
    <w:locked/>
    <w:rsid w:val="00390E8C"/>
    <w:rPr>
      <w:rFonts w:ascii="Tahoma" w:eastAsia="Times New Roman" w:hAnsi="Tahoma" w:cs="Tahoma"/>
      <w:lang w:val="es-ES_tradnl" w:eastAsia="es-ES"/>
    </w:rPr>
  </w:style>
  <w:style w:type="paragraph" w:styleId="Textoindependiente">
    <w:name w:val="Body Text"/>
    <w:basedOn w:val="Normal"/>
    <w:link w:val="TextoindependienteCar"/>
    <w:uiPriority w:val="99"/>
    <w:semiHidden/>
    <w:unhideWhenUsed/>
    <w:rsid w:val="00EF255B"/>
    <w:pPr>
      <w:spacing w:after="120"/>
    </w:pPr>
  </w:style>
  <w:style w:type="character" w:customStyle="1" w:styleId="TextoindependienteCar">
    <w:name w:val="Texto independiente Car"/>
    <w:basedOn w:val="Fuentedeprrafopredeter"/>
    <w:link w:val="Textoindependiente"/>
    <w:uiPriority w:val="99"/>
    <w:semiHidden/>
    <w:rsid w:val="00EF255B"/>
  </w:style>
  <w:style w:type="character" w:customStyle="1" w:styleId="Ttulo2Car">
    <w:name w:val="Título 2 Car"/>
    <w:basedOn w:val="Fuentedeprrafopredeter"/>
    <w:link w:val="Ttulo2"/>
    <w:uiPriority w:val="9"/>
    <w:rsid w:val="004341F2"/>
    <w:rPr>
      <w:rFonts w:ascii="Century Gothic" w:eastAsiaTheme="majorEastAsia" w:hAnsi="Century Gothic" w:cstheme="majorBidi"/>
      <w:b/>
      <w:bCs/>
      <w:color w:val="50866C"/>
      <w:sz w:val="26"/>
      <w:szCs w:val="26"/>
      <w:lang w:eastAsia="es-ES"/>
    </w:rPr>
  </w:style>
  <w:style w:type="paragraph" w:customStyle="1" w:styleId="Cuerpodelboletn">
    <w:name w:val="Cuerpo del boletín"/>
    <w:basedOn w:val="Normal"/>
    <w:qFormat/>
    <w:rsid w:val="004341F2"/>
    <w:pPr>
      <w:spacing w:after="200"/>
      <w:jc w:val="both"/>
    </w:pPr>
    <w:rPr>
      <w:rFonts w:ascii="Century Gothic" w:eastAsiaTheme="minorEastAsia" w:hAnsi="Century Gothic"/>
      <w:color w:val="000000"/>
      <w:szCs w:val="24"/>
      <w:lang w:eastAsia="es-ES"/>
    </w:rPr>
  </w:style>
  <w:style w:type="paragraph" w:styleId="Sinespaciado">
    <w:name w:val="No Spacing"/>
    <w:link w:val="SinespaciadoCar"/>
    <w:uiPriority w:val="1"/>
    <w:qFormat/>
    <w:rsid w:val="004341F2"/>
    <w:pPr>
      <w:jc w:val="left"/>
    </w:pPr>
  </w:style>
  <w:style w:type="character" w:customStyle="1" w:styleId="SinespaciadoCar">
    <w:name w:val="Sin espaciado Car"/>
    <w:basedOn w:val="Fuentedeprrafopredeter"/>
    <w:link w:val="Sinespaciado"/>
    <w:uiPriority w:val="1"/>
    <w:rsid w:val="004341F2"/>
  </w:style>
  <w:style w:type="table" w:styleId="Sombreadomedio2-nfasis3">
    <w:name w:val="Medium Shading 2 Accent 3"/>
    <w:basedOn w:val="Tablanormal"/>
    <w:uiPriority w:val="64"/>
    <w:rsid w:val="00DB103D"/>
    <w:pPr>
      <w:jc w:val="left"/>
    </w:pPr>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4C30B1"/>
    <w:rPr>
      <w:color w:val="0000FF"/>
      <w:u w:val="single"/>
    </w:rPr>
  </w:style>
  <w:style w:type="character" w:customStyle="1" w:styleId="Ttulo1Car">
    <w:name w:val="Título 1 Car"/>
    <w:basedOn w:val="Fuentedeprrafopredeter"/>
    <w:link w:val="Ttulo1"/>
    <w:uiPriority w:val="9"/>
    <w:rsid w:val="000B79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534">
      <w:bodyDiv w:val="1"/>
      <w:marLeft w:val="0"/>
      <w:marRight w:val="0"/>
      <w:marTop w:val="0"/>
      <w:marBottom w:val="0"/>
      <w:divBdr>
        <w:top w:val="none" w:sz="0" w:space="0" w:color="auto"/>
        <w:left w:val="none" w:sz="0" w:space="0" w:color="auto"/>
        <w:bottom w:val="none" w:sz="0" w:space="0" w:color="auto"/>
        <w:right w:val="none" w:sz="0" w:space="0" w:color="auto"/>
      </w:divBdr>
    </w:div>
    <w:div w:id="375474661">
      <w:bodyDiv w:val="1"/>
      <w:marLeft w:val="0"/>
      <w:marRight w:val="0"/>
      <w:marTop w:val="0"/>
      <w:marBottom w:val="0"/>
      <w:divBdr>
        <w:top w:val="none" w:sz="0" w:space="0" w:color="auto"/>
        <w:left w:val="none" w:sz="0" w:space="0" w:color="auto"/>
        <w:bottom w:val="none" w:sz="0" w:space="0" w:color="auto"/>
        <w:right w:val="none" w:sz="0" w:space="0" w:color="auto"/>
      </w:divBdr>
    </w:div>
    <w:div w:id="535854253">
      <w:bodyDiv w:val="1"/>
      <w:marLeft w:val="0"/>
      <w:marRight w:val="0"/>
      <w:marTop w:val="0"/>
      <w:marBottom w:val="0"/>
      <w:divBdr>
        <w:top w:val="none" w:sz="0" w:space="0" w:color="auto"/>
        <w:left w:val="none" w:sz="0" w:space="0" w:color="auto"/>
        <w:bottom w:val="none" w:sz="0" w:space="0" w:color="auto"/>
        <w:right w:val="none" w:sz="0" w:space="0" w:color="auto"/>
      </w:divBdr>
    </w:div>
    <w:div w:id="658847070">
      <w:bodyDiv w:val="1"/>
      <w:marLeft w:val="0"/>
      <w:marRight w:val="0"/>
      <w:marTop w:val="0"/>
      <w:marBottom w:val="0"/>
      <w:divBdr>
        <w:top w:val="none" w:sz="0" w:space="0" w:color="auto"/>
        <w:left w:val="none" w:sz="0" w:space="0" w:color="auto"/>
        <w:bottom w:val="none" w:sz="0" w:space="0" w:color="auto"/>
        <w:right w:val="none" w:sz="0" w:space="0" w:color="auto"/>
      </w:divBdr>
    </w:div>
    <w:div w:id="836767725">
      <w:bodyDiv w:val="1"/>
      <w:marLeft w:val="0"/>
      <w:marRight w:val="0"/>
      <w:marTop w:val="0"/>
      <w:marBottom w:val="0"/>
      <w:divBdr>
        <w:top w:val="none" w:sz="0" w:space="0" w:color="auto"/>
        <w:left w:val="none" w:sz="0" w:space="0" w:color="auto"/>
        <w:bottom w:val="none" w:sz="0" w:space="0" w:color="auto"/>
        <w:right w:val="none" w:sz="0" w:space="0" w:color="auto"/>
      </w:divBdr>
    </w:div>
    <w:div w:id="894702335">
      <w:bodyDiv w:val="1"/>
      <w:marLeft w:val="0"/>
      <w:marRight w:val="0"/>
      <w:marTop w:val="0"/>
      <w:marBottom w:val="0"/>
      <w:divBdr>
        <w:top w:val="none" w:sz="0" w:space="0" w:color="auto"/>
        <w:left w:val="none" w:sz="0" w:space="0" w:color="auto"/>
        <w:bottom w:val="none" w:sz="0" w:space="0" w:color="auto"/>
        <w:right w:val="none" w:sz="0" w:space="0" w:color="auto"/>
      </w:divBdr>
    </w:div>
    <w:div w:id="1141381722">
      <w:bodyDiv w:val="1"/>
      <w:marLeft w:val="0"/>
      <w:marRight w:val="0"/>
      <w:marTop w:val="0"/>
      <w:marBottom w:val="0"/>
      <w:divBdr>
        <w:top w:val="none" w:sz="0" w:space="0" w:color="auto"/>
        <w:left w:val="none" w:sz="0" w:space="0" w:color="auto"/>
        <w:bottom w:val="none" w:sz="0" w:space="0" w:color="auto"/>
        <w:right w:val="none" w:sz="0" w:space="0" w:color="auto"/>
      </w:divBdr>
      <w:divsChild>
        <w:div w:id="1573999310">
          <w:marLeft w:val="0"/>
          <w:marRight w:val="0"/>
          <w:marTop w:val="0"/>
          <w:marBottom w:val="0"/>
          <w:divBdr>
            <w:top w:val="none" w:sz="0" w:space="0" w:color="auto"/>
            <w:left w:val="none" w:sz="0" w:space="0" w:color="auto"/>
            <w:bottom w:val="none" w:sz="0" w:space="0" w:color="auto"/>
            <w:right w:val="none" w:sz="0" w:space="0" w:color="auto"/>
          </w:divBdr>
          <w:divsChild>
            <w:div w:id="20875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929">
      <w:bodyDiv w:val="1"/>
      <w:marLeft w:val="0"/>
      <w:marRight w:val="0"/>
      <w:marTop w:val="0"/>
      <w:marBottom w:val="0"/>
      <w:divBdr>
        <w:top w:val="none" w:sz="0" w:space="0" w:color="auto"/>
        <w:left w:val="none" w:sz="0" w:space="0" w:color="auto"/>
        <w:bottom w:val="none" w:sz="0" w:space="0" w:color="auto"/>
        <w:right w:val="none" w:sz="0" w:space="0" w:color="auto"/>
      </w:divBdr>
    </w:div>
    <w:div w:id="15649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epes.es/sites/default/files/Transparencia/02_Org_y_Gob/21_Organ_y_Retrib/compatibilidades_de_empleados_de_sepes.pdf" TargetMode="External"/><Relationship Id="rId4" Type="http://schemas.microsoft.com/office/2007/relationships/stylesWithEffects" Target="stylesWithEffects.xml"/><Relationship Id="rId9" Type="http://schemas.openxmlformats.org/officeDocument/2006/relationships/hyperlink" Target="https://www.sepes.es/sites/default/files/Transparencia/02_Org_y_Gob/21_Organ_y_Retrib/compatibilidades_de_empleados_de_sepe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D2056-7573-4466-9789-9E71DF5D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2288</Words>
  <Characters>12587</Characters>
  <Application>Microsoft Office Word</Application>
  <DocSecurity>4</DocSecurity>
  <Lines>104</Lines>
  <Paragraphs>29</Paragraphs>
  <ScaleCrop>false</ScaleCrop>
  <HeadingPairs>
    <vt:vector size="2" baseType="variant">
      <vt:variant>
        <vt:lpstr>Título</vt:lpstr>
      </vt:variant>
      <vt:variant>
        <vt:i4>1</vt:i4>
      </vt:variant>
    </vt:vector>
  </HeadingPairs>
  <TitlesOfParts>
    <vt:vector size="1" baseType="lpstr">
      <vt:lpstr>Documentación general</vt:lpstr>
    </vt:vector>
  </TitlesOfParts>
  <Company>Sepes</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general</dc:title>
  <dc:creator>Natalio Romero San José</dc:creator>
  <cp:keywords>Sepes</cp:keywords>
  <cp:lastModifiedBy>anam.ruiz</cp:lastModifiedBy>
  <cp:revision>2</cp:revision>
  <cp:lastPrinted>2021-07-12T10:48:00Z</cp:lastPrinted>
  <dcterms:created xsi:type="dcterms:W3CDTF">2021-07-13T08:29:00Z</dcterms:created>
  <dcterms:modified xsi:type="dcterms:W3CDTF">2021-07-13T08:29:00Z</dcterms:modified>
</cp:coreProperties>
</file>