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F47C71">
        <w:rPr>
          <w:color w:val="6BA999"/>
        </w:rPr>
        <w:t>AENA S.M.E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="00F47C71">
        <w:rPr>
          <w:rFonts w:asciiTheme="minorHAnsi" w:hAnsiTheme="minorHAnsi" w:cstheme="minorHAnsi"/>
          <w:szCs w:val="24"/>
        </w:rPr>
        <w:t>observaciones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0A023C" w:rsidRDefault="000A023C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0A023C" w:rsidRDefault="000A023C" w:rsidP="000A023C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0A023C">
        <w:rPr>
          <w:rFonts w:asciiTheme="minorHAnsi" w:hAnsiTheme="minorHAnsi" w:cstheme="minorHAnsi"/>
          <w:b/>
          <w:szCs w:val="24"/>
        </w:rPr>
        <w:t>Se aceptan las siguientes observaciones</w:t>
      </w:r>
      <w:r>
        <w:rPr>
          <w:rFonts w:asciiTheme="minorHAnsi" w:hAnsiTheme="minorHAnsi" w:cstheme="minorHAnsi"/>
          <w:b/>
          <w:szCs w:val="24"/>
        </w:rPr>
        <w:t xml:space="preserve"> y en consecuencia se reevalúa el cumplimiento de las correspondientes obligaciones.</w:t>
      </w:r>
    </w:p>
    <w:p w:rsidR="000A023C" w:rsidRDefault="000A023C" w:rsidP="000A023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0A023C" w:rsidRPr="000A023C" w:rsidRDefault="000A023C" w:rsidP="000A023C">
      <w:pPr>
        <w:pStyle w:val="Prrafodelista"/>
        <w:numPr>
          <w:ilvl w:val="0"/>
          <w:numId w:val="14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0A023C">
        <w:rPr>
          <w:rFonts w:asciiTheme="minorHAnsi" w:hAnsiTheme="minorHAnsi" w:cstheme="minorHAnsi"/>
          <w:szCs w:val="24"/>
        </w:rPr>
        <w:t>La publicación de los datos estadísticos sobre contratación.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0A023C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AF2582">
        <w:rPr>
          <w:rFonts w:asciiTheme="minorHAnsi" w:hAnsiTheme="minorHAnsi" w:cstheme="minorHAnsi"/>
          <w:b/>
          <w:szCs w:val="24"/>
        </w:rPr>
        <w:t>Respecto de</w:t>
      </w:r>
      <w:r w:rsidR="00192181">
        <w:rPr>
          <w:rFonts w:asciiTheme="minorHAnsi" w:hAnsiTheme="minorHAnsi" w:cstheme="minorHAnsi"/>
          <w:b/>
          <w:szCs w:val="24"/>
        </w:rPr>
        <w:t xml:space="preserve"> la</w:t>
      </w:r>
      <w:r w:rsidRPr="00AF2582">
        <w:rPr>
          <w:rFonts w:asciiTheme="minorHAnsi" w:hAnsiTheme="minorHAnsi" w:cstheme="minorHAnsi"/>
          <w:b/>
          <w:szCs w:val="24"/>
        </w:rPr>
        <w:t xml:space="preserve"> </w:t>
      </w:r>
      <w:r w:rsidR="00CF1510">
        <w:rPr>
          <w:rFonts w:asciiTheme="minorHAnsi" w:hAnsiTheme="minorHAnsi" w:cstheme="minorHAnsi"/>
          <w:b/>
          <w:szCs w:val="24"/>
        </w:rPr>
        <w:t xml:space="preserve">publicación </w:t>
      </w:r>
      <w:r w:rsidR="00F47C71">
        <w:rPr>
          <w:rFonts w:asciiTheme="minorHAnsi" w:hAnsiTheme="minorHAnsi" w:cstheme="minorHAnsi"/>
          <w:b/>
          <w:szCs w:val="24"/>
        </w:rPr>
        <w:t>de los estatutos sociales de la entidad</w:t>
      </w:r>
      <w:r w:rsidR="00A36AF4">
        <w:rPr>
          <w:rFonts w:asciiTheme="minorHAnsi" w:hAnsiTheme="minorHAnsi" w:cstheme="minorHAnsi"/>
          <w:b/>
          <w:szCs w:val="24"/>
        </w:rPr>
        <w:t>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ED4D28" w:rsidRDefault="00F47C71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publicación de los Estatutos se realiza, tal y como señala AENA en sus observaciones en un Portal diferente del Corporativo en el que se encuentra el Portal de Transparencia, concretamente en el Portal Accionistas e inversores</w:t>
      </w:r>
      <w:r w:rsidR="0023381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No es esperable que un ciudadano que desee conocer las normas que regulan la actividad de la entidad</w:t>
      </w:r>
      <w:r w:rsidR="000A023C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que constituyen una obligación de publicidad activa</w:t>
      </w:r>
      <w:r w:rsidR="000A023C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0A023C">
        <w:rPr>
          <w:rFonts w:asciiTheme="minorHAnsi" w:hAnsiTheme="minorHAnsi" w:cstheme="minorHAnsi"/>
          <w:szCs w:val="24"/>
        </w:rPr>
        <w:t>intuya que esta información está disponible</w:t>
      </w:r>
      <w:r>
        <w:rPr>
          <w:rFonts w:asciiTheme="minorHAnsi" w:hAnsiTheme="minorHAnsi" w:cstheme="minorHAnsi"/>
          <w:szCs w:val="24"/>
        </w:rPr>
        <w:t xml:space="preserve"> no solo fuera del Portal </w:t>
      </w:r>
      <w:r w:rsidR="000A023C">
        <w:rPr>
          <w:rFonts w:asciiTheme="minorHAnsi" w:hAnsiTheme="minorHAnsi" w:cstheme="minorHAnsi"/>
          <w:szCs w:val="24"/>
        </w:rPr>
        <w:t xml:space="preserve">de Transparencia </w:t>
      </w:r>
      <w:r>
        <w:rPr>
          <w:rFonts w:asciiTheme="minorHAnsi" w:hAnsiTheme="minorHAnsi" w:cstheme="minorHAnsi"/>
          <w:szCs w:val="24"/>
        </w:rPr>
        <w:t xml:space="preserve">sino también fuera del </w:t>
      </w:r>
      <w:r w:rsidR="000A023C">
        <w:rPr>
          <w:rFonts w:asciiTheme="minorHAnsi" w:hAnsiTheme="minorHAnsi" w:cstheme="minorHAnsi"/>
          <w:szCs w:val="24"/>
        </w:rPr>
        <w:t>Portal Corporativo de la Entidad. No es posible por lo tanto, aceptar la observación efectuada.</w:t>
      </w:r>
    </w:p>
    <w:p w:rsidR="00F65D71" w:rsidRDefault="00F65D71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5262DC" w:rsidRPr="005262DC" w:rsidRDefault="00103303" w:rsidP="000A023C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(ICIO) se sitúa en el </w:t>
      </w:r>
      <w:r w:rsidR="00A23DBC">
        <w:rPr>
          <w:rFonts w:asciiTheme="minorHAnsi" w:hAnsiTheme="minorHAnsi" w:cstheme="minorHAnsi"/>
          <w:szCs w:val="24"/>
        </w:rPr>
        <w:t>69,8</w:t>
      </w:r>
      <w:r>
        <w:rPr>
          <w:rFonts w:asciiTheme="minorHAnsi" w:hAnsiTheme="minorHAnsi" w:cstheme="minorHAnsi"/>
          <w:szCs w:val="24"/>
        </w:rPr>
        <w:t>%.</w:t>
      </w: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r w:rsidR="00A23DBC">
        <w:rPr>
          <w:rFonts w:asciiTheme="minorHAnsi" w:hAnsiTheme="minorHAnsi" w:cstheme="minorHAnsi"/>
          <w:szCs w:val="24"/>
        </w:rPr>
        <w:t>disposición</w:t>
      </w:r>
      <w:r>
        <w:rPr>
          <w:rFonts w:asciiTheme="minorHAnsi" w:hAnsiTheme="minorHAnsi" w:cstheme="minorHAnsi"/>
          <w:szCs w:val="24"/>
        </w:rPr>
        <w:t xml:space="preserve"> </w:t>
      </w:r>
      <w:r w:rsidR="00A23DBC">
        <w:rPr>
          <w:rFonts w:asciiTheme="minorHAnsi" w:hAnsiTheme="minorHAnsi" w:cstheme="minorHAnsi"/>
          <w:szCs w:val="24"/>
        </w:rPr>
        <w:t>de AENA</w:t>
      </w:r>
      <w:r>
        <w:rPr>
          <w:rFonts w:asciiTheme="minorHAnsi" w:hAnsiTheme="minorHAnsi" w:cstheme="minorHAnsi"/>
          <w:szCs w:val="24"/>
        </w:rPr>
        <w:t xml:space="preserve"> </w:t>
      </w:r>
      <w:r w:rsidR="00A23DBC">
        <w:rPr>
          <w:rFonts w:asciiTheme="minorHAnsi" w:hAnsiTheme="minorHAnsi" w:cstheme="minorHAnsi"/>
          <w:szCs w:val="24"/>
        </w:rPr>
        <w:t>a aplicar</w:t>
      </w:r>
      <w:r>
        <w:rPr>
          <w:rFonts w:asciiTheme="minorHAnsi" w:hAnsiTheme="minorHAnsi" w:cstheme="minorHAnsi"/>
          <w:szCs w:val="24"/>
        </w:rPr>
        <w:t xml:space="preserve"> las recomendaciones efectuadas</w:t>
      </w:r>
      <w:r w:rsidR="00A23DBC">
        <w:rPr>
          <w:rFonts w:asciiTheme="minorHAnsi" w:hAnsiTheme="minorHAnsi" w:cstheme="minorHAnsi"/>
          <w:szCs w:val="24"/>
        </w:rPr>
        <w:t xml:space="preserve"> lo que sin duda implicará un incremento del Índice de Cumplimiento de la entidad  en</w:t>
      </w:r>
      <w:r w:rsidRPr="004D4D20">
        <w:rPr>
          <w:rFonts w:asciiTheme="minorHAnsi" w:hAnsiTheme="minorHAnsi" w:cstheme="minorHAnsi"/>
          <w:szCs w:val="24"/>
        </w:rPr>
        <w:t xml:space="preserve"> 2022</w:t>
      </w:r>
      <w:r w:rsidR="00A23DBC">
        <w:rPr>
          <w:rFonts w:asciiTheme="minorHAnsi" w:hAnsiTheme="minorHAnsi" w:cstheme="minorHAnsi"/>
          <w:szCs w:val="24"/>
        </w:rPr>
        <w:t>, cuando</w:t>
      </w:r>
      <w:r w:rsidRPr="004D4D20">
        <w:rPr>
          <w:rFonts w:asciiTheme="minorHAnsi" w:hAnsiTheme="minorHAnsi" w:cstheme="minorHAnsi"/>
          <w:szCs w:val="24"/>
        </w:rPr>
        <w:t xml:space="preserve">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1510">
        <w:rPr>
          <w:rFonts w:asciiTheme="minorHAnsi" w:hAnsiTheme="minorHAnsi" w:cstheme="minorHAnsi"/>
          <w:szCs w:val="24"/>
        </w:rPr>
        <w:t>octubre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3C" w:rsidRDefault="000A023C" w:rsidP="00344FE7">
      <w:pPr>
        <w:spacing w:after="0" w:line="240" w:lineRule="auto"/>
      </w:pPr>
      <w:r>
        <w:separator/>
      </w:r>
    </w:p>
  </w:endnote>
  <w:endnote w:type="continuationSeparator" w:id="0">
    <w:p w:rsidR="000A023C" w:rsidRDefault="000A023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A023C" w:rsidRPr="00C23F36" w:rsidRDefault="000A023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A23DBC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3C" w:rsidRDefault="000A023C" w:rsidP="00344FE7">
      <w:pPr>
        <w:spacing w:after="0" w:line="240" w:lineRule="auto"/>
      </w:pPr>
      <w:r>
        <w:separator/>
      </w:r>
    </w:p>
  </w:footnote>
  <w:footnote w:type="continuationSeparator" w:id="0">
    <w:p w:rsidR="000A023C" w:rsidRDefault="000A023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3C" w:rsidRDefault="000A023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023C" w:rsidRDefault="000A023C">
    <w:pPr>
      <w:pStyle w:val="Encabezado"/>
    </w:pPr>
  </w:p>
  <w:p w:rsidR="000A023C" w:rsidRDefault="000A023C" w:rsidP="00344FE7">
    <w:pPr>
      <w:pStyle w:val="Encabezado"/>
    </w:pPr>
  </w:p>
  <w:p w:rsidR="000A023C" w:rsidRDefault="000A023C" w:rsidP="00344FE7">
    <w:pPr>
      <w:pStyle w:val="Encabezado"/>
    </w:pPr>
  </w:p>
  <w:p w:rsidR="000A023C" w:rsidRDefault="000A023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3C" w:rsidRDefault="000A023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1" type="#_x0000_t75" style="width:11.25pt;height:11.25pt" o:bullet="t">
        <v:imagedata r:id="rId1" o:title="BD14529_"/>
      </v:shape>
    </w:pict>
  </w:numPicBullet>
  <w:numPicBullet w:numPicBulletId="1">
    <w:pict>
      <v:shape id="_x0000_i2002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8776C"/>
    <w:multiLevelType w:val="hybridMultilevel"/>
    <w:tmpl w:val="7C6248F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83E78"/>
    <w:multiLevelType w:val="hybridMultilevel"/>
    <w:tmpl w:val="E74AC8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A023C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3DBC"/>
    <w:rsid w:val="00A24192"/>
    <w:rsid w:val="00A26523"/>
    <w:rsid w:val="00A36AF4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47C71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2021-10-13T07:52:00Z</dcterms:created>
  <dcterms:modified xsi:type="dcterms:W3CDTF">2021-10-13T08:14:00Z</dcterms:modified>
</cp:coreProperties>
</file>