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DB7729">
        <w:rPr>
          <w:color w:val="6BA999"/>
        </w:rPr>
        <w:t xml:space="preserve">LA AUTORIDAD PORTUARIA DE STA. CRUZ DE TENERIFE </w:t>
      </w:r>
      <w:r w:rsidR="00CF0704" w:rsidRPr="006C0214">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7B2862">
        <w:rPr>
          <w:rFonts w:asciiTheme="minorHAnsi" w:hAnsiTheme="minorHAnsi" w:cstheme="minorHAnsi"/>
          <w:szCs w:val="24"/>
        </w:rPr>
        <w:t>1</w:t>
      </w:r>
      <w:r w:rsidR="00B81922">
        <w:rPr>
          <w:rFonts w:asciiTheme="minorHAnsi" w:hAnsiTheme="minorHAnsi" w:cstheme="minorHAnsi"/>
          <w:szCs w:val="24"/>
        </w:rPr>
        <w:t>5</w:t>
      </w:r>
      <w:r w:rsidR="007B2862">
        <w:rPr>
          <w:rFonts w:asciiTheme="minorHAnsi" w:hAnsiTheme="minorHAnsi" w:cstheme="minorHAnsi"/>
          <w:szCs w:val="24"/>
        </w:rPr>
        <w:t xml:space="preserve"> de julio</w:t>
      </w:r>
      <w:r w:rsidR="007B2862" w:rsidRPr="002C000A">
        <w:rPr>
          <w:rFonts w:asciiTheme="minorHAnsi" w:hAnsiTheme="minorHAnsi" w:cstheme="minorHAnsi"/>
          <w:szCs w:val="24"/>
        </w:rPr>
        <w:t xml:space="preserve"> </w:t>
      </w:r>
      <w:r w:rsidRPr="002C000A">
        <w:rPr>
          <w:rFonts w:asciiTheme="minorHAnsi" w:hAnsiTheme="minorHAnsi" w:cstheme="minorHAnsi"/>
          <w:szCs w:val="24"/>
        </w:rPr>
        <w:t>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532B7B" w:rsidRDefault="00226CA0" w:rsidP="00532B7B">
      <w:pPr>
        <w:pStyle w:val="Prrafodelista"/>
        <w:numPr>
          <w:ilvl w:val="0"/>
          <w:numId w:val="9"/>
        </w:numPr>
        <w:tabs>
          <w:tab w:val="left" w:pos="284"/>
        </w:tabs>
        <w:spacing w:before="120" w:after="120" w:line="312" w:lineRule="auto"/>
        <w:jc w:val="both"/>
        <w:rPr>
          <w:rFonts w:asciiTheme="minorHAnsi" w:hAnsiTheme="minorHAnsi" w:cstheme="minorHAnsi"/>
          <w:b/>
          <w:szCs w:val="24"/>
        </w:rPr>
      </w:pPr>
      <w:r w:rsidRPr="00532B7B">
        <w:rPr>
          <w:rFonts w:asciiTheme="minorHAnsi" w:hAnsiTheme="minorHAnsi" w:cstheme="minorHAnsi"/>
          <w:b/>
          <w:szCs w:val="24"/>
        </w:rPr>
        <w:t xml:space="preserve">En relación con </w:t>
      </w:r>
      <w:r w:rsidR="00AD14C3">
        <w:rPr>
          <w:rFonts w:asciiTheme="minorHAnsi" w:hAnsiTheme="minorHAnsi" w:cstheme="minorHAnsi"/>
          <w:b/>
          <w:szCs w:val="24"/>
        </w:rPr>
        <w:t>la publicación de información que no ha sido localizada en el transcurso de la evaluación</w:t>
      </w:r>
      <w:r w:rsidRPr="00532B7B">
        <w:rPr>
          <w:rFonts w:asciiTheme="minorHAnsi" w:hAnsiTheme="minorHAnsi" w:cstheme="minorHAnsi"/>
          <w:b/>
          <w:szCs w:val="24"/>
        </w:rPr>
        <w:t>.</w:t>
      </w:r>
      <w:r w:rsidR="009B753B" w:rsidRPr="00532B7B">
        <w:rPr>
          <w:rFonts w:asciiTheme="minorHAnsi" w:hAnsiTheme="minorHAnsi" w:cstheme="minorHAnsi"/>
          <w:b/>
          <w:szCs w:val="24"/>
        </w:rPr>
        <w:t xml:space="preserve"> </w:t>
      </w:r>
    </w:p>
    <w:p w:rsidR="00532B7B" w:rsidRDefault="00532B7B" w:rsidP="00532B7B">
      <w:pPr>
        <w:pStyle w:val="Prrafodelista"/>
        <w:tabs>
          <w:tab w:val="left" w:pos="284"/>
        </w:tabs>
        <w:spacing w:before="120" w:after="120" w:line="312" w:lineRule="auto"/>
        <w:jc w:val="both"/>
        <w:rPr>
          <w:rFonts w:asciiTheme="minorHAnsi" w:hAnsiTheme="minorHAnsi" w:cstheme="minorHAnsi"/>
          <w:b/>
          <w:szCs w:val="24"/>
        </w:rPr>
      </w:pPr>
    </w:p>
    <w:p w:rsidR="00CE3FB2" w:rsidRDefault="00FC767A" w:rsidP="00532B7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Se señala </w:t>
      </w:r>
      <w:r w:rsidR="00AD14C3">
        <w:rPr>
          <w:rFonts w:asciiTheme="minorHAnsi" w:hAnsiTheme="minorHAnsi" w:cstheme="minorHAnsi"/>
          <w:szCs w:val="24"/>
        </w:rPr>
        <w:t>por parte de la AP de Sta. Cruz de Tenerife</w:t>
      </w:r>
      <w:r>
        <w:rPr>
          <w:rFonts w:asciiTheme="minorHAnsi" w:hAnsiTheme="minorHAnsi" w:cstheme="minorHAnsi"/>
          <w:szCs w:val="24"/>
        </w:rPr>
        <w:t>,</w:t>
      </w:r>
      <w:r w:rsidR="00AD14C3">
        <w:rPr>
          <w:rFonts w:asciiTheme="minorHAnsi" w:hAnsiTheme="minorHAnsi" w:cstheme="minorHAnsi"/>
          <w:szCs w:val="24"/>
        </w:rPr>
        <w:t xml:space="preserve"> que parte de la información que no ha sido localizada se encuentra publicada en su web institucional. A título de ejemplo se hace referencia </w:t>
      </w:r>
      <w:r w:rsidR="00CE3FB2">
        <w:rPr>
          <w:rFonts w:asciiTheme="minorHAnsi" w:hAnsiTheme="minorHAnsi" w:cstheme="minorHAnsi"/>
          <w:szCs w:val="24"/>
        </w:rPr>
        <w:t>a que las cuentas anuales se localizan en el apartado Económico Financiero de</w:t>
      </w:r>
      <w:r w:rsidR="00D32955">
        <w:rPr>
          <w:rFonts w:asciiTheme="minorHAnsi" w:hAnsiTheme="minorHAnsi" w:cstheme="minorHAnsi"/>
          <w:szCs w:val="24"/>
        </w:rPr>
        <w:t xml:space="preserve"> </w:t>
      </w:r>
      <w:r w:rsidR="00CE3FB2">
        <w:rPr>
          <w:rFonts w:asciiTheme="minorHAnsi" w:hAnsiTheme="minorHAnsi" w:cstheme="minorHAnsi"/>
          <w:szCs w:val="24"/>
        </w:rPr>
        <w:t>la web institucional. Respecto de esta cuestión lo primero a señalar es que la ubicación en la parte inferior de la página home no facilita la localización de</w:t>
      </w:r>
      <w:r w:rsidR="00D32955">
        <w:rPr>
          <w:rFonts w:asciiTheme="minorHAnsi" w:hAnsiTheme="minorHAnsi" w:cstheme="minorHAnsi"/>
          <w:szCs w:val="24"/>
        </w:rPr>
        <w:t xml:space="preserve"> </w:t>
      </w:r>
      <w:r w:rsidR="00CE3FB2">
        <w:rPr>
          <w:rFonts w:asciiTheme="minorHAnsi" w:hAnsiTheme="minorHAnsi" w:cstheme="minorHAnsi"/>
          <w:szCs w:val="24"/>
        </w:rPr>
        <w:t>la información. Y en segundo término, que efectivamente en este apartado se localizan las cuentas anuales, pero las últimas publicadas  corresponden al ejercicio 2017</w:t>
      </w:r>
      <w:r w:rsidR="00D566A8">
        <w:rPr>
          <w:rFonts w:asciiTheme="minorHAnsi" w:hAnsiTheme="minorHAnsi" w:cstheme="minorHAnsi"/>
          <w:szCs w:val="24"/>
        </w:rPr>
        <w:t>, cuando deberían estar publicadas desde el año pasado las correspondientes al ejercicio 2019. Dado el desfase temporal existente no es posible considerar cumplida la obligación.</w:t>
      </w:r>
    </w:p>
    <w:p w:rsidR="00D566A8" w:rsidRDefault="00D566A8" w:rsidP="00532B7B">
      <w:pPr>
        <w:pStyle w:val="Prrafodelista"/>
        <w:tabs>
          <w:tab w:val="left" w:pos="284"/>
        </w:tabs>
        <w:spacing w:before="120" w:after="120" w:line="312" w:lineRule="auto"/>
        <w:jc w:val="both"/>
        <w:rPr>
          <w:rFonts w:asciiTheme="minorHAnsi" w:hAnsiTheme="minorHAnsi" w:cstheme="minorHAnsi"/>
          <w:szCs w:val="24"/>
        </w:rPr>
      </w:pPr>
    </w:p>
    <w:p w:rsidR="00113D1C" w:rsidRDefault="00113D1C" w:rsidP="00532B7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Por otra parte</w:t>
      </w:r>
      <w:r w:rsidR="00D32955">
        <w:rPr>
          <w:rFonts w:asciiTheme="minorHAnsi" w:hAnsiTheme="minorHAnsi" w:cstheme="minorHAnsi"/>
          <w:szCs w:val="24"/>
        </w:rPr>
        <w:t>,</w:t>
      </w:r>
      <w:r>
        <w:rPr>
          <w:rFonts w:asciiTheme="minorHAnsi" w:hAnsiTheme="minorHAnsi" w:cstheme="minorHAnsi"/>
          <w:szCs w:val="24"/>
        </w:rPr>
        <w:t xml:space="preserve"> se indica que algunas de las informaciones no </w:t>
      </w:r>
      <w:r w:rsidR="00142CA1">
        <w:rPr>
          <w:rFonts w:asciiTheme="minorHAnsi" w:hAnsiTheme="minorHAnsi" w:cstheme="minorHAnsi"/>
          <w:szCs w:val="24"/>
        </w:rPr>
        <w:t>localizadas están incluidas en documentos como las Memorias de Sostenibil</w:t>
      </w:r>
      <w:r w:rsidR="00D32955">
        <w:rPr>
          <w:rFonts w:asciiTheme="minorHAnsi" w:hAnsiTheme="minorHAnsi" w:cstheme="minorHAnsi"/>
          <w:szCs w:val="24"/>
        </w:rPr>
        <w:t xml:space="preserve">idad. En este sentido cabe señalar que la LTAIBG trata de manera individualizada las informaciones obligatorias cuya publicación también debe efectuarse de manera individualizada. Por otra parte, los ciudadanos que busquen información pública de una institución no tienen por qué conocer que determinadas informaciones se publican conjuntamente con otras, por ejemplo, la publicación de las subvenciones concedidas en las cuentas anuales. En el caso concreto que plantea la AP de Sta. Cruz de Tenerife, la publicación de la información estadística sobre cumplimiento y calidad de los servicios se realiza a través de las Memorias de Sostenibilidad cuya información no está sujeta a obligaciones de publicidad activa, lo que implica una dificultad adicional para la localización de la información. </w:t>
      </w:r>
    </w:p>
    <w:p w:rsidR="00D566A8" w:rsidRDefault="00D566A8" w:rsidP="00532B7B">
      <w:pPr>
        <w:pStyle w:val="Prrafodelista"/>
        <w:tabs>
          <w:tab w:val="left" w:pos="284"/>
        </w:tabs>
        <w:spacing w:before="120" w:after="120" w:line="312" w:lineRule="auto"/>
        <w:jc w:val="both"/>
        <w:rPr>
          <w:rFonts w:asciiTheme="minorHAnsi" w:hAnsiTheme="minorHAnsi" w:cstheme="minorHAnsi"/>
          <w:szCs w:val="24"/>
        </w:rPr>
      </w:pPr>
    </w:p>
    <w:p w:rsidR="00CE3FB2" w:rsidRDefault="00CE3FB2" w:rsidP="00532B7B">
      <w:pPr>
        <w:pStyle w:val="Prrafodelista"/>
        <w:tabs>
          <w:tab w:val="left" w:pos="284"/>
        </w:tabs>
        <w:spacing w:before="120" w:after="120" w:line="312" w:lineRule="auto"/>
        <w:jc w:val="both"/>
        <w:rPr>
          <w:rFonts w:asciiTheme="minorHAnsi" w:hAnsiTheme="minorHAnsi" w:cstheme="minorHAnsi"/>
          <w:szCs w:val="24"/>
        </w:rPr>
      </w:pPr>
    </w:p>
    <w:p w:rsidR="003D01AF" w:rsidRPr="003D01AF" w:rsidRDefault="003D01AF" w:rsidP="003D01AF">
      <w:pPr>
        <w:pStyle w:val="Prrafodelista"/>
        <w:tabs>
          <w:tab w:val="left" w:pos="284"/>
        </w:tabs>
        <w:spacing w:before="120" w:after="120" w:line="312" w:lineRule="auto"/>
        <w:jc w:val="both"/>
        <w:rPr>
          <w:rFonts w:asciiTheme="minorHAnsi" w:hAnsiTheme="minorHAnsi" w:cstheme="minorHAnsi"/>
          <w:szCs w:val="24"/>
        </w:rPr>
      </w:pPr>
      <w:r w:rsidRPr="003D01AF">
        <w:rPr>
          <w:rFonts w:asciiTheme="minorHAnsi" w:hAnsiTheme="minorHAnsi" w:cstheme="minorHAnsi"/>
          <w:szCs w:val="24"/>
        </w:rPr>
        <w:t xml:space="preserve">No </w:t>
      </w:r>
      <w:r w:rsidR="001B02FE">
        <w:rPr>
          <w:rFonts w:asciiTheme="minorHAnsi" w:hAnsiTheme="minorHAnsi" w:cstheme="minorHAnsi"/>
          <w:szCs w:val="24"/>
        </w:rPr>
        <w:t>resulta posible</w:t>
      </w:r>
      <w:r w:rsidR="009C2E55">
        <w:rPr>
          <w:rFonts w:asciiTheme="minorHAnsi" w:hAnsiTheme="minorHAnsi" w:cstheme="minorHAnsi"/>
          <w:szCs w:val="24"/>
        </w:rPr>
        <w:t>,</w:t>
      </w:r>
      <w:r w:rsidR="001B02FE">
        <w:rPr>
          <w:rFonts w:asciiTheme="minorHAnsi" w:hAnsiTheme="minorHAnsi" w:cstheme="minorHAnsi"/>
          <w:szCs w:val="24"/>
        </w:rPr>
        <w:t xml:space="preserve"> </w:t>
      </w:r>
      <w:r w:rsidRPr="003D01AF">
        <w:rPr>
          <w:rFonts w:asciiTheme="minorHAnsi" w:hAnsiTheme="minorHAnsi" w:cstheme="minorHAnsi"/>
          <w:szCs w:val="24"/>
        </w:rPr>
        <w:t xml:space="preserve"> por lo tanto</w:t>
      </w:r>
      <w:r>
        <w:rPr>
          <w:rFonts w:asciiTheme="minorHAnsi" w:hAnsiTheme="minorHAnsi" w:cstheme="minorHAnsi"/>
          <w:szCs w:val="24"/>
        </w:rPr>
        <w:t>,</w:t>
      </w:r>
      <w:r w:rsidRPr="003D01AF">
        <w:rPr>
          <w:rFonts w:asciiTheme="minorHAnsi" w:hAnsiTheme="minorHAnsi" w:cstheme="minorHAnsi"/>
          <w:szCs w:val="24"/>
        </w:rPr>
        <w:t xml:space="preserve"> aceptar la observación efectuada </w:t>
      </w:r>
      <w:r w:rsidR="00D32955">
        <w:rPr>
          <w:rFonts w:asciiTheme="minorHAnsi" w:hAnsiTheme="minorHAnsi" w:cstheme="minorHAnsi"/>
          <w:szCs w:val="24"/>
        </w:rPr>
        <w:t>por la AP de Sta. Cruz de Tenerife</w:t>
      </w:r>
      <w:r w:rsidRPr="003D01AF">
        <w:rPr>
          <w:rFonts w:asciiTheme="minorHAnsi" w:hAnsiTheme="minorHAnsi" w:cstheme="minorHAnsi"/>
          <w:szCs w:val="24"/>
        </w:rPr>
        <w:t>.</w:t>
      </w:r>
    </w:p>
    <w:p w:rsidR="009B753B" w:rsidRPr="009B753B" w:rsidRDefault="009B753B" w:rsidP="009B753B">
      <w:pPr>
        <w:pStyle w:val="Prrafodelista"/>
        <w:tabs>
          <w:tab w:val="left" w:pos="284"/>
        </w:tabs>
        <w:spacing w:before="120" w:after="120" w:line="312" w:lineRule="auto"/>
        <w:jc w:val="both"/>
        <w:rPr>
          <w:rFonts w:asciiTheme="minorHAnsi" w:hAnsiTheme="minorHAnsi" w:cstheme="minorHAnsi"/>
          <w:szCs w:val="24"/>
        </w:rPr>
      </w:pPr>
    </w:p>
    <w:p w:rsidR="00194E05" w:rsidRDefault="003D0DAF" w:rsidP="00194E05">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valora muy positivamente la </w:t>
      </w:r>
      <w:r w:rsidR="00D239A9">
        <w:rPr>
          <w:rFonts w:asciiTheme="minorHAnsi" w:hAnsiTheme="minorHAnsi" w:cstheme="minorHAnsi"/>
          <w:szCs w:val="24"/>
        </w:rPr>
        <w:t>disposición de</w:t>
      </w:r>
      <w:r>
        <w:rPr>
          <w:rFonts w:asciiTheme="minorHAnsi" w:hAnsiTheme="minorHAnsi" w:cstheme="minorHAnsi"/>
          <w:szCs w:val="24"/>
        </w:rPr>
        <w:t xml:space="preserve"> </w:t>
      </w:r>
      <w:r w:rsidR="00D32955" w:rsidRPr="00D32955">
        <w:rPr>
          <w:rFonts w:asciiTheme="minorHAnsi" w:hAnsiTheme="minorHAnsi" w:cstheme="minorHAnsi"/>
          <w:szCs w:val="24"/>
        </w:rPr>
        <w:t xml:space="preserve">AP de Sta. Cruz de Tenerife </w:t>
      </w:r>
      <w:r w:rsidR="00D239A9">
        <w:rPr>
          <w:rFonts w:asciiTheme="minorHAnsi" w:hAnsiTheme="minorHAnsi" w:cstheme="minorHAnsi"/>
          <w:szCs w:val="24"/>
        </w:rPr>
        <w:t xml:space="preserve">a </w:t>
      </w:r>
      <w:r w:rsidR="005767F7" w:rsidRPr="005767F7">
        <w:rPr>
          <w:rFonts w:asciiTheme="minorHAnsi" w:hAnsiTheme="minorHAnsi" w:cstheme="minorHAnsi"/>
          <w:szCs w:val="24"/>
        </w:rPr>
        <w:t>aplica</w:t>
      </w:r>
      <w:r w:rsidR="00D239A9">
        <w:rPr>
          <w:rFonts w:asciiTheme="minorHAnsi" w:hAnsiTheme="minorHAnsi" w:cstheme="minorHAnsi"/>
          <w:szCs w:val="24"/>
        </w:rPr>
        <w:t>r</w:t>
      </w:r>
      <w:r w:rsidR="005767F7" w:rsidRPr="005767F7">
        <w:rPr>
          <w:rFonts w:asciiTheme="minorHAnsi" w:hAnsiTheme="minorHAnsi" w:cstheme="minorHAnsi"/>
          <w:szCs w:val="24"/>
        </w:rPr>
        <w:t xml:space="preserve"> las recomendaciones </w:t>
      </w:r>
      <w:r w:rsidR="00D239A9">
        <w:rPr>
          <w:rFonts w:asciiTheme="minorHAnsi" w:hAnsiTheme="minorHAnsi" w:cstheme="minorHAnsi"/>
          <w:szCs w:val="24"/>
        </w:rPr>
        <w:t xml:space="preserve">derivadas de la evaluación, lo que redundará en un mayor nivel de cumplimiento, </w:t>
      </w:r>
      <w:r w:rsidR="005767F7" w:rsidRPr="005767F7">
        <w:rPr>
          <w:rFonts w:asciiTheme="minorHAnsi" w:hAnsiTheme="minorHAnsi" w:cstheme="minorHAnsi"/>
          <w:szCs w:val="24"/>
        </w:rPr>
        <w:t>cuando en 2022 se efectúe por parte de este Consejo un seguimiento de la aplicación de las recomendaciones efectuadas.</w:t>
      </w: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F17B00" w:rsidRDefault="00F17B00" w:rsidP="00F17B00">
      <w:pPr>
        <w:pStyle w:val="Prrafodelista"/>
        <w:tabs>
          <w:tab w:val="left" w:pos="284"/>
        </w:tabs>
        <w:spacing w:before="120" w:after="120" w:line="312" w:lineRule="auto"/>
        <w:jc w:val="both"/>
        <w:rPr>
          <w:rFonts w:asciiTheme="minorHAnsi" w:hAnsiTheme="minorHAnsi" w:cstheme="minorHAnsi"/>
          <w:szCs w:val="24"/>
        </w:rPr>
      </w:pPr>
    </w:p>
    <w:p w:rsidR="0045134F" w:rsidRPr="00855ECA" w:rsidRDefault="0045134F" w:rsidP="00D44E9D">
      <w:pPr>
        <w:pStyle w:val="Prrafodelista"/>
        <w:tabs>
          <w:tab w:val="left" w:pos="284"/>
        </w:tabs>
        <w:spacing w:before="120" w:after="120" w:line="312" w:lineRule="auto"/>
        <w:jc w:val="both"/>
        <w:rPr>
          <w:rFonts w:asciiTheme="minorHAnsi" w:hAnsiTheme="minorHAnsi" w:cstheme="minorHAnsi"/>
          <w:szCs w:val="24"/>
        </w:rPr>
      </w:pPr>
      <w:bookmarkStart w:id="0" w:name="_GoBack"/>
      <w:bookmarkEnd w:id="0"/>
    </w:p>
    <w:p w:rsidR="009E16B5" w:rsidRPr="009E16B5" w:rsidRDefault="009E16B5" w:rsidP="009E16B5">
      <w:pPr>
        <w:tabs>
          <w:tab w:val="left" w:pos="284"/>
        </w:tabs>
        <w:autoSpaceDE w:val="0"/>
        <w:autoSpaceDN w:val="0"/>
        <w:adjustRightInd w:val="0"/>
        <w:spacing w:before="120" w:after="120" w:line="312" w:lineRule="auto"/>
        <w:jc w:val="right"/>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D239A9">
        <w:rPr>
          <w:rFonts w:asciiTheme="minorHAnsi" w:hAnsiTheme="minorHAnsi" w:cstheme="minorHAnsi"/>
          <w:szCs w:val="24"/>
        </w:rPr>
        <w:t>julio</w:t>
      </w:r>
      <w:r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CA1" w:rsidRDefault="00142CA1" w:rsidP="00344FE7">
      <w:pPr>
        <w:spacing w:after="0" w:line="240" w:lineRule="auto"/>
      </w:pPr>
      <w:r>
        <w:separator/>
      </w:r>
    </w:p>
  </w:endnote>
  <w:endnote w:type="continuationSeparator" w:id="0">
    <w:p w:rsidR="00142CA1" w:rsidRDefault="00142CA1"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142CA1" w:rsidRPr="00C23F36" w:rsidRDefault="00142CA1"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D32955">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CA1" w:rsidRDefault="00142CA1" w:rsidP="00344FE7">
      <w:pPr>
        <w:spacing w:after="0" w:line="240" w:lineRule="auto"/>
      </w:pPr>
      <w:r>
        <w:separator/>
      </w:r>
    </w:p>
  </w:footnote>
  <w:footnote w:type="continuationSeparator" w:id="0">
    <w:p w:rsidR="00142CA1" w:rsidRDefault="00142CA1"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A1" w:rsidRDefault="00142CA1">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142CA1" w:rsidRDefault="00142CA1">
    <w:pPr>
      <w:pStyle w:val="Encabezado"/>
    </w:pPr>
  </w:p>
  <w:p w:rsidR="00142CA1" w:rsidRDefault="00142CA1" w:rsidP="00344FE7">
    <w:pPr>
      <w:pStyle w:val="Encabezado"/>
    </w:pPr>
  </w:p>
  <w:p w:rsidR="00142CA1" w:rsidRDefault="00142CA1" w:rsidP="00344FE7">
    <w:pPr>
      <w:pStyle w:val="Encabezado"/>
    </w:pPr>
  </w:p>
  <w:p w:rsidR="00142CA1" w:rsidRDefault="00142CA1"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A1" w:rsidRDefault="00142CA1"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9">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74030"/>
    <w:rsid w:val="00113D1C"/>
    <w:rsid w:val="001257F9"/>
    <w:rsid w:val="0014196C"/>
    <w:rsid w:val="00142CA1"/>
    <w:rsid w:val="001620F0"/>
    <w:rsid w:val="001750A8"/>
    <w:rsid w:val="00175D6C"/>
    <w:rsid w:val="0018324C"/>
    <w:rsid w:val="00194E05"/>
    <w:rsid w:val="001B02FE"/>
    <w:rsid w:val="001B16D9"/>
    <w:rsid w:val="001E44BC"/>
    <w:rsid w:val="00226CA0"/>
    <w:rsid w:val="00235A40"/>
    <w:rsid w:val="00251194"/>
    <w:rsid w:val="00292806"/>
    <w:rsid w:val="002A4771"/>
    <w:rsid w:val="002C000A"/>
    <w:rsid w:val="002F2730"/>
    <w:rsid w:val="002F5D0B"/>
    <w:rsid w:val="003259B9"/>
    <w:rsid w:val="00344FE7"/>
    <w:rsid w:val="00351475"/>
    <w:rsid w:val="00364215"/>
    <w:rsid w:val="003656B1"/>
    <w:rsid w:val="003B5DE7"/>
    <w:rsid w:val="003D01AF"/>
    <w:rsid w:val="003D0DAF"/>
    <w:rsid w:val="003F0972"/>
    <w:rsid w:val="003F38BD"/>
    <w:rsid w:val="004108BB"/>
    <w:rsid w:val="00434AE3"/>
    <w:rsid w:val="0045134F"/>
    <w:rsid w:val="004B15B8"/>
    <w:rsid w:val="004D4EF1"/>
    <w:rsid w:val="00532B7B"/>
    <w:rsid w:val="005767F7"/>
    <w:rsid w:val="005B1C12"/>
    <w:rsid w:val="005E3D42"/>
    <w:rsid w:val="00614890"/>
    <w:rsid w:val="006C0214"/>
    <w:rsid w:val="006F17B5"/>
    <w:rsid w:val="006F5890"/>
    <w:rsid w:val="0071472F"/>
    <w:rsid w:val="007342F2"/>
    <w:rsid w:val="007467AA"/>
    <w:rsid w:val="007A662D"/>
    <w:rsid w:val="007B024C"/>
    <w:rsid w:val="007B2862"/>
    <w:rsid w:val="007C00E5"/>
    <w:rsid w:val="007C0642"/>
    <w:rsid w:val="007C1C6F"/>
    <w:rsid w:val="007D24E2"/>
    <w:rsid w:val="00815DA2"/>
    <w:rsid w:val="00855ECA"/>
    <w:rsid w:val="0089717A"/>
    <w:rsid w:val="008B79BD"/>
    <w:rsid w:val="00901F1F"/>
    <w:rsid w:val="009029E0"/>
    <w:rsid w:val="009557B1"/>
    <w:rsid w:val="009B753B"/>
    <w:rsid w:val="009B7ADA"/>
    <w:rsid w:val="009C2E55"/>
    <w:rsid w:val="009D2560"/>
    <w:rsid w:val="009D6677"/>
    <w:rsid w:val="009E16B5"/>
    <w:rsid w:val="009E30AA"/>
    <w:rsid w:val="009E35FF"/>
    <w:rsid w:val="00A24192"/>
    <w:rsid w:val="00A26523"/>
    <w:rsid w:val="00A603C7"/>
    <w:rsid w:val="00A62936"/>
    <w:rsid w:val="00A802F7"/>
    <w:rsid w:val="00AD14C3"/>
    <w:rsid w:val="00AE5BF4"/>
    <w:rsid w:val="00AF4D45"/>
    <w:rsid w:val="00AF5C68"/>
    <w:rsid w:val="00B2797F"/>
    <w:rsid w:val="00B31F84"/>
    <w:rsid w:val="00B35A53"/>
    <w:rsid w:val="00B75881"/>
    <w:rsid w:val="00B81922"/>
    <w:rsid w:val="00B81EE6"/>
    <w:rsid w:val="00BC7A82"/>
    <w:rsid w:val="00C01613"/>
    <w:rsid w:val="00C0201F"/>
    <w:rsid w:val="00C05003"/>
    <w:rsid w:val="00C119CE"/>
    <w:rsid w:val="00C23F36"/>
    <w:rsid w:val="00C305B6"/>
    <w:rsid w:val="00C3135F"/>
    <w:rsid w:val="00C736B9"/>
    <w:rsid w:val="00C82AB2"/>
    <w:rsid w:val="00C87BC3"/>
    <w:rsid w:val="00C94C61"/>
    <w:rsid w:val="00CE3FB2"/>
    <w:rsid w:val="00CF0704"/>
    <w:rsid w:val="00D23111"/>
    <w:rsid w:val="00D239A9"/>
    <w:rsid w:val="00D32955"/>
    <w:rsid w:val="00D445A4"/>
    <w:rsid w:val="00D44E9D"/>
    <w:rsid w:val="00D566A8"/>
    <w:rsid w:val="00D72EF9"/>
    <w:rsid w:val="00DB21EC"/>
    <w:rsid w:val="00DB2CB4"/>
    <w:rsid w:val="00DB2CCC"/>
    <w:rsid w:val="00DB7729"/>
    <w:rsid w:val="00DD07B5"/>
    <w:rsid w:val="00DF5982"/>
    <w:rsid w:val="00E03C82"/>
    <w:rsid w:val="00E35741"/>
    <w:rsid w:val="00E4386D"/>
    <w:rsid w:val="00E43D90"/>
    <w:rsid w:val="00E5135F"/>
    <w:rsid w:val="00E64F85"/>
    <w:rsid w:val="00E90B21"/>
    <w:rsid w:val="00EB7058"/>
    <w:rsid w:val="00EC3AAE"/>
    <w:rsid w:val="00ED6FD3"/>
    <w:rsid w:val="00EF5F68"/>
    <w:rsid w:val="00F17B00"/>
    <w:rsid w:val="00F5121D"/>
    <w:rsid w:val="00F777C2"/>
    <w:rsid w:val="00F82E72"/>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428</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7</cp:revision>
  <cp:lastPrinted>2015-01-27T17:42:00Z</cp:lastPrinted>
  <dcterms:created xsi:type="dcterms:W3CDTF">2021-07-15T09:59:00Z</dcterms:created>
  <dcterms:modified xsi:type="dcterms:W3CDTF">2021-07-16T08:10:00Z</dcterms:modified>
</cp:coreProperties>
</file>