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B4158D">
        <w:rPr>
          <w:color w:val="6BA999"/>
        </w:rPr>
        <w:t>NAVANTIA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B4158D">
        <w:rPr>
          <w:rFonts w:asciiTheme="minorHAnsi" w:hAnsiTheme="minorHAnsi" w:cstheme="minorHAnsi"/>
          <w:szCs w:val="24"/>
        </w:rPr>
        <w:t>20</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B72CE3"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relativa </w:t>
      </w:r>
      <w:r w:rsidR="008E528C">
        <w:rPr>
          <w:rFonts w:asciiTheme="minorHAnsi" w:hAnsiTheme="minorHAnsi" w:cstheme="minorHAnsi"/>
          <w:szCs w:val="24"/>
        </w:rPr>
        <w:t>a la publicación del organigrama de la entidad, ya que se ha constatado que se incluye la estructura organizativa de la entidad</w:t>
      </w:r>
      <w:r w:rsidR="00BC2EA8">
        <w:rPr>
          <w:rFonts w:asciiTheme="minorHAnsi" w:hAnsiTheme="minorHAnsi" w:cstheme="minorHAnsi"/>
          <w:szCs w:val="24"/>
        </w:rPr>
        <w:t>.</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B90614" w:rsidRDefault="00B90614" w:rsidP="00B90614">
      <w:pPr>
        <w:pStyle w:val="Prrafodelista"/>
        <w:tabs>
          <w:tab w:val="left" w:pos="284"/>
        </w:tabs>
        <w:spacing w:before="120" w:after="120" w:line="312" w:lineRule="auto"/>
        <w:jc w:val="both"/>
        <w:rPr>
          <w:rFonts w:asciiTheme="minorHAnsi" w:hAnsiTheme="minorHAnsi" w:cstheme="minorHAnsi"/>
          <w:b/>
          <w:szCs w:val="24"/>
        </w:rPr>
      </w:pPr>
    </w:p>
    <w:p w:rsidR="008E528C" w:rsidRDefault="00424BBC" w:rsidP="00B9061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relativa a la </w:t>
      </w:r>
      <w:r w:rsidR="008E528C">
        <w:rPr>
          <w:rFonts w:asciiTheme="minorHAnsi" w:hAnsiTheme="minorHAnsi" w:cstheme="minorHAnsi"/>
          <w:szCs w:val="24"/>
        </w:rPr>
        <w:t xml:space="preserve">inclusión de referencias sobre la actualización de la información relativa a las funciones de la entidad. Efectivamente tal y como indica NAVANTIA en sus observaciones, todos los documentos </w:t>
      </w:r>
      <w:proofErr w:type="spellStart"/>
      <w:r w:rsidR="008E528C">
        <w:rPr>
          <w:rFonts w:asciiTheme="minorHAnsi" w:hAnsiTheme="minorHAnsi" w:cstheme="minorHAnsi"/>
          <w:szCs w:val="24"/>
        </w:rPr>
        <w:t>pdf</w:t>
      </w:r>
      <w:proofErr w:type="spellEnd"/>
      <w:r w:rsidR="008E528C">
        <w:rPr>
          <w:rFonts w:asciiTheme="minorHAnsi" w:hAnsiTheme="minorHAnsi" w:cstheme="minorHAnsi"/>
          <w:szCs w:val="24"/>
        </w:rPr>
        <w:t xml:space="preserve"> relativos al grupo de información organizativa contienen la fecha de actualización, pero esto no ocurre con la información concreta sobre las funciones que desempeña.</w:t>
      </w:r>
    </w:p>
    <w:p w:rsidR="008E528C" w:rsidRDefault="008E528C" w:rsidP="00CF4FC6">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r w:rsidR="00B15BB6">
        <w:rPr>
          <w:rFonts w:asciiTheme="minorHAnsi" w:hAnsiTheme="minorHAnsi" w:cstheme="minorHAnsi"/>
          <w:szCs w:val="24"/>
        </w:rPr>
        <w:t>Para varias informaciones obligatorias (subvenciones y ayudas públicas,</w:t>
      </w:r>
      <w:r w:rsidR="00CF4FC6">
        <w:rPr>
          <w:rFonts w:asciiTheme="minorHAnsi" w:hAnsiTheme="minorHAnsi" w:cstheme="minorHAnsi"/>
          <w:szCs w:val="24"/>
        </w:rPr>
        <w:t xml:space="preserve"> indemnizaciones y autorizaciones de compatibilidad con actividades privadas concedidas a altos cargos)</w:t>
      </w:r>
      <w:r w:rsidR="00B15BB6">
        <w:rPr>
          <w:rFonts w:asciiTheme="minorHAnsi" w:hAnsiTheme="minorHAnsi" w:cstheme="minorHAnsi"/>
          <w:szCs w:val="24"/>
        </w:rPr>
        <w:t>, NAVAN</w:t>
      </w:r>
      <w:r w:rsidR="00CF4FC6">
        <w:rPr>
          <w:rFonts w:asciiTheme="minorHAnsi" w:hAnsiTheme="minorHAnsi" w:cstheme="minorHAnsi"/>
          <w:szCs w:val="24"/>
        </w:rPr>
        <w:t>TIA indica que dichas informaciones no son aplicables por no haber actividad en esos ámbitos. D</w:t>
      </w:r>
      <w:r w:rsidR="00CF4FC6" w:rsidRPr="00CF4FC6">
        <w:rPr>
          <w:rFonts w:asciiTheme="minorHAnsi" w:hAnsiTheme="minorHAnsi" w:cstheme="minorHAnsi"/>
          <w:szCs w:val="24"/>
        </w:rPr>
        <w:t>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recomienda que en el apartado correspondiente a la obligación de publicidad activa para la que no ha existido actividad o cuando no sea posible su publicación porque existan restricciones legales, se haga constar expresamente esta circunstancia.</w:t>
      </w:r>
    </w:p>
    <w:p w:rsidR="000B65C9" w:rsidRDefault="00CF4FC6" w:rsidP="000B65C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301FC9">
        <w:rPr>
          <w:rFonts w:asciiTheme="minorHAnsi" w:hAnsiTheme="minorHAnsi" w:cstheme="minorHAnsi"/>
          <w:szCs w:val="24"/>
        </w:rPr>
        <w:t xml:space="preserve">La relativa a la no aplicabilidad de la obligación de publicar el presupuesto de la entidad porque no percibe con cargo a los PGE subvencione de explotación o capital u otra aportación de cualquier naturaleza </w:t>
      </w:r>
      <w:r w:rsidR="00424BBC" w:rsidRPr="00301FC9">
        <w:rPr>
          <w:rFonts w:asciiTheme="minorHAnsi" w:hAnsiTheme="minorHAnsi" w:cstheme="minorHAnsi"/>
          <w:szCs w:val="24"/>
        </w:rPr>
        <w:t>publicación de los informes de auditoría</w:t>
      </w:r>
      <w:r w:rsidR="00301FC9" w:rsidRPr="00301FC9">
        <w:rPr>
          <w:rFonts w:asciiTheme="minorHAnsi" w:hAnsiTheme="minorHAnsi" w:cstheme="minorHAnsi"/>
          <w:szCs w:val="24"/>
        </w:rPr>
        <w:t xml:space="preserve"> y porque </w:t>
      </w:r>
      <w:r w:rsidR="00301FC9" w:rsidRPr="00301FC9">
        <w:rPr>
          <w:rFonts w:asciiTheme="minorHAnsi" w:hAnsiTheme="minorHAnsi" w:cstheme="minorHAnsi"/>
          <w:szCs w:val="24"/>
        </w:rPr>
        <w:lastRenderedPageBreak/>
        <w:t xml:space="preserve">además, los presupuestos de explotación y capital se integran en los presupuestos de la SEPI. Efectivamente en el caso de sociedades mercantiles estatales, este Consejo mantiene el criterio de que basta con  presentar sus presupuestos de explotación y de capital de forma consolidada con las entidades que lo integran, relacionando las entidades objeto de presentación consolidada. Sin embargo se establece también como requisito que esta circunstancia se mencione expresamente. Estamos por lo tanto antes un supuesto idéntico a los señalados en el punto anterior. El ciudadano </w:t>
      </w:r>
      <w:r w:rsidR="00301FC9">
        <w:rPr>
          <w:rFonts w:asciiTheme="minorHAnsi" w:hAnsiTheme="minorHAnsi" w:cstheme="minorHAnsi"/>
          <w:szCs w:val="24"/>
        </w:rPr>
        <w:t>que consulte información de NAVANTIA no tiene por qué saber que la entidad forma parte del grupo SEPÎ y que publica sus presupuestos de manera integrada con los de la SEPI, por esta razón debería generarse dentro del apartado información económica, bien un enlace que redirija a los presupuesto de SEPI o bien incluir un texto que indique que los presupuestos de NAVANTIA están integrados en los de la SEPI.</w:t>
      </w:r>
    </w:p>
    <w:p w:rsidR="00301FC9" w:rsidRDefault="00301FC9" w:rsidP="000B65C9">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 publicación exclusivamente de las retribuciones de la Presidenta por ser la única directiva de la entidad que tiene la consideración de alto cargo, desde este Consejo se recuerda que la LTAIBG no limita</w:t>
      </w:r>
      <w:r w:rsidR="001B222B">
        <w:rPr>
          <w:rFonts w:asciiTheme="minorHAnsi" w:hAnsiTheme="minorHAnsi" w:cstheme="minorHAnsi"/>
          <w:szCs w:val="24"/>
        </w:rPr>
        <w:t xml:space="preserve"> esta obligación</w:t>
      </w:r>
      <w:r>
        <w:rPr>
          <w:rFonts w:asciiTheme="minorHAnsi" w:hAnsiTheme="minorHAnsi" w:cstheme="minorHAnsi"/>
          <w:szCs w:val="24"/>
        </w:rPr>
        <w:t xml:space="preserve"> a quienes ostenten esta condición sino que </w:t>
      </w:r>
      <w:r w:rsidR="001B222B">
        <w:rPr>
          <w:rFonts w:asciiTheme="minorHAnsi" w:hAnsiTheme="minorHAnsi" w:cstheme="minorHAnsi"/>
          <w:szCs w:val="24"/>
        </w:rPr>
        <w:t>la</w:t>
      </w:r>
      <w:r>
        <w:rPr>
          <w:rFonts w:asciiTheme="minorHAnsi" w:hAnsiTheme="minorHAnsi" w:cstheme="minorHAnsi"/>
          <w:szCs w:val="24"/>
        </w:rPr>
        <w:t xml:space="preserve"> amplía a los máximos responsables, es decir a todos aquellos puestos cuyos titulares participen en el proceso de toma de decisiones que afectan a la entidad. </w:t>
      </w:r>
    </w:p>
    <w:p w:rsidR="00301FC9" w:rsidRPr="00301FC9" w:rsidRDefault="00301FC9" w:rsidP="00301FC9">
      <w:pPr>
        <w:pStyle w:val="Prrafodelista"/>
        <w:tabs>
          <w:tab w:val="left" w:pos="284"/>
        </w:tabs>
        <w:spacing w:before="120" w:after="120" w:line="312" w:lineRule="auto"/>
        <w:ind w:left="1440"/>
        <w:jc w:val="both"/>
        <w:rPr>
          <w:rFonts w:asciiTheme="minorHAnsi" w:hAnsiTheme="minorHAnsi" w:cstheme="minorHAnsi"/>
          <w:szCs w:val="24"/>
        </w:rPr>
      </w:pPr>
    </w:p>
    <w:p w:rsidR="00EF08AB" w:rsidRP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 xml:space="preserve">se sitúa en el </w:t>
      </w:r>
      <w:r w:rsidR="001B222B">
        <w:rPr>
          <w:rFonts w:asciiTheme="minorHAnsi" w:hAnsiTheme="minorHAnsi" w:cstheme="minorHAnsi"/>
          <w:szCs w:val="24"/>
        </w:rPr>
        <w:t>60</w:t>
      </w:r>
      <w:r w:rsidR="00424BBC">
        <w:rPr>
          <w:rFonts w:asciiTheme="minorHAnsi" w:hAnsiTheme="minorHAnsi" w:cstheme="minorHAnsi"/>
          <w:szCs w:val="24"/>
        </w:rPr>
        <w:t>,5</w:t>
      </w:r>
      <w:r>
        <w:rPr>
          <w:rFonts w:asciiTheme="minorHAnsi" w:hAnsiTheme="minorHAnsi" w:cstheme="minorHAnsi"/>
          <w:szCs w:val="24"/>
        </w:rPr>
        <w:t>%.</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bookmarkStart w:id="0" w:name="_GoBack"/>
      <w:bookmarkEnd w:id="0"/>
    </w:p>
    <w:p w:rsidR="00CF4FC6" w:rsidRPr="000775E7" w:rsidRDefault="00CF4FC6" w:rsidP="00CF4FC6">
      <w:pPr>
        <w:tabs>
          <w:tab w:val="left" w:pos="284"/>
        </w:tabs>
        <w:spacing w:before="120" w:after="120" w:line="312" w:lineRule="auto"/>
        <w:jc w:val="both"/>
        <w:rPr>
          <w:rFonts w:asciiTheme="minorHAnsi" w:hAnsiTheme="minorHAnsi" w:cstheme="minorHAnsi"/>
          <w:szCs w:val="24"/>
        </w:rPr>
      </w:pPr>
      <w:r w:rsidRPr="000775E7">
        <w:rPr>
          <w:rFonts w:asciiTheme="minorHAnsi" w:hAnsiTheme="minorHAnsi" w:cstheme="minorHAnsi"/>
          <w:szCs w:val="24"/>
        </w:rPr>
        <w:t xml:space="preserve">Este Consejo valora muy positivamente la </w:t>
      </w:r>
      <w:proofErr w:type="spellStart"/>
      <w:r>
        <w:rPr>
          <w:rFonts w:asciiTheme="minorHAnsi" w:hAnsiTheme="minorHAnsi" w:cstheme="minorHAnsi"/>
          <w:szCs w:val="24"/>
        </w:rPr>
        <w:t>proactividad</w:t>
      </w:r>
      <w:proofErr w:type="spellEnd"/>
      <w:r w:rsidRPr="000775E7">
        <w:rPr>
          <w:rFonts w:asciiTheme="minorHAnsi" w:hAnsiTheme="minorHAnsi" w:cstheme="minorHAnsi"/>
          <w:szCs w:val="24"/>
        </w:rPr>
        <w:t xml:space="preserve"> de </w:t>
      </w:r>
      <w:r>
        <w:rPr>
          <w:rFonts w:asciiTheme="minorHAnsi" w:hAnsiTheme="minorHAnsi" w:cstheme="minorHAnsi"/>
          <w:szCs w:val="24"/>
        </w:rPr>
        <w:t>NAVANTIA</w:t>
      </w:r>
      <w:r w:rsidRPr="000775E7">
        <w:rPr>
          <w:rFonts w:asciiTheme="minorHAnsi" w:hAnsiTheme="minorHAnsi" w:cstheme="minorHAnsi"/>
          <w:szCs w:val="24"/>
        </w:rPr>
        <w:t xml:space="preserve"> a aplicar las recomendaciones derivadas de la evaluación, </w:t>
      </w:r>
      <w:r>
        <w:rPr>
          <w:rFonts w:asciiTheme="minorHAnsi" w:hAnsiTheme="minorHAnsi" w:cstheme="minorHAnsi"/>
          <w:szCs w:val="24"/>
        </w:rPr>
        <w:t xml:space="preserve">algunas de ellas durante la fase de alegaciones. No obstante, las mejoras introducidas durante el periodo de alegaciones no pueden ser tenidas en cuenta ya que el periodo de evaluación finaliza en el momento en que a su vez, finaliza la evaluación del Portal de Transparencia. Si serán tenidas en cuenta </w:t>
      </w:r>
      <w:r w:rsidRPr="000775E7">
        <w:rPr>
          <w:rFonts w:asciiTheme="minorHAnsi" w:hAnsiTheme="minorHAnsi" w:cstheme="minorHAnsi"/>
          <w:szCs w:val="24"/>
        </w:rPr>
        <w:t>cuando en 2022 se efectúe por parte de este Consejo un seguimiento de la aplicación de las recomendaciones efectuadas.</w:t>
      </w:r>
    </w:p>
    <w:p w:rsidR="0045134F" w:rsidRPr="00424BBC" w:rsidRDefault="00424BBC" w:rsidP="00424BBC">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962C5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C9" w:rsidRDefault="00301FC9" w:rsidP="00344FE7">
      <w:pPr>
        <w:spacing w:after="0" w:line="240" w:lineRule="auto"/>
      </w:pPr>
      <w:r>
        <w:separator/>
      </w:r>
    </w:p>
  </w:endnote>
  <w:endnote w:type="continuationSeparator" w:id="0">
    <w:p w:rsidR="00301FC9" w:rsidRDefault="00301FC9"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301FC9" w:rsidRPr="00C23F36" w:rsidRDefault="00301FC9"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B222B">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C9" w:rsidRDefault="00301FC9" w:rsidP="00344FE7">
      <w:pPr>
        <w:spacing w:after="0" w:line="240" w:lineRule="auto"/>
      </w:pPr>
      <w:r>
        <w:separator/>
      </w:r>
    </w:p>
  </w:footnote>
  <w:footnote w:type="continuationSeparator" w:id="0">
    <w:p w:rsidR="00301FC9" w:rsidRDefault="00301FC9"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C9" w:rsidRDefault="00301FC9">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301FC9" w:rsidRDefault="00301FC9">
    <w:pPr>
      <w:pStyle w:val="Encabezado"/>
    </w:pPr>
  </w:p>
  <w:p w:rsidR="00301FC9" w:rsidRDefault="00301FC9" w:rsidP="00344FE7">
    <w:pPr>
      <w:pStyle w:val="Encabezado"/>
    </w:pPr>
  </w:p>
  <w:p w:rsidR="00301FC9" w:rsidRDefault="00301FC9" w:rsidP="00344FE7">
    <w:pPr>
      <w:pStyle w:val="Encabezado"/>
    </w:pPr>
  </w:p>
  <w:p w:rsidR="00301FC9" w:rsidRDefault="00301FC9"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FC9" w:rsidRDefault="00301FC9"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BD14529_"/>
      </v:shape>
    </w:pict>
  </w:numPicBullet>
  <w:numPicBullet w:numPicBulletId="1">
    <w:pict>
      <v:shape id="_x0000_i1113"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5">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
  </w:num>
  <w:num w:numId="11">
    <w:abstractNumId w:val="16"/>
  </w:num>
  <w:num w:numId="12">
    <w:abstractNumId w:val="8"/>
  </w:num>
  <w:num w:numId="13">
    <w:abstractNumId w:val="3"/>
  </w:num>
  <w:num w:numId="14">
    <w:abstractNumId w:val="11"/>
  </w:num>
  <w:num w:numId="15">
    <w:abstractNumId w:val="9"/>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B65C9"/>
    <w:rsid w:val="001257F9"/>
    <w:rsid w:val="0014196C"/>
    <w:rsid w:val="001620F0"/>
    <w:rsid w:val="001750A8"/>
    <w:rsid w:val="00175D6C"/>
    <w:rsid w:val="0018324C"/>
    <w:rsid w:val="00194E05"/>
    <w:rsid w:val="001B02FE"/>
    <w:rsid w:val="001B16D9"/>
    <w:rsid w:val="001B222B"/>
    <w:rsid w:val="001E44BC"/>
    <w:rsid w:val="00211286"/>
    <w:rsid w:val="00226CA0"/>
    <w:rsid w:val="00235A40"/>
    <w:rsid w:val="00251194"/>
    <w:rsid w:val="00292806"/>
    <w:rsid w:val="002A4771"/>
    <w:rsid w:val="002A60F8"/>
    <w:rsid w:val="002C000A"/>
    <w:rsid w:val="002F2730"/>
    <w:rsid w:val="002F5D0B"/>
    <w:rsid w:val="00301FC9"/>
    <w:rsid w:val="003259B9"/>
    <w:rsid w:val="00344FE7"/>
    <w:rsid w:val="00351475"/>
    <w:rsid w:val="00364215"/>
    <w:rsid w:val="003656B1"/>
    <w:rsid w:val="003B5DE7"/>
    <w:rsid w:val="003D01AF"/>
    <w:rsid w:val="003D0DAF"/>
    <w:rsid w:val="003D55F5"/>
    <w:rsid w:val="003F0972"/>
    <w:rsid w:val="003F38BD"/>
    <w:rsid w:val="004108BB"/>
    <w:rsid w:val="004208AE"/>
    <w:rsid w:val="00424BBC"/>
    <w:rsid w:val="00434AE3"/>
    <w:rsid w:val="0045134F"/>
    <w:rsid w:val="004B15B8"/>
    <w:rsid w:val="004D4EF1"/>
    <w:rsid w:val="00532B7B"/>
    <w:rsid w:val="005767F7"/>
    <w:rsid w:val="005B1C12"/>
    <w:rsid w:val="005E3D42"/>
    <w:rsid w:val="00614890"/>
    <w:rsid w:val="00681FC9"/>
    <w:rsid w:val="006C0214"/>
    <w:rsid w:val="006F17B5"/>
    <w:rsid w:val="006F5890"/>
    <w:rsid w:val="0071472F"/>
    <w:rsid w:val="007342F2"/>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90E84"/>
    <w:rsid w:val="0089717A"/>
    <w:rsid w:val="008B79BD"/>
    <w:rsid w:val="008E528C"/>
    <w:rsid w:val="00901F1F"/>
    <w:rsid w:val="009029E0"/>
    <w:rsid w:val="00904540"/>
    <w:rsid w:val="009557B1"/>
    <w:rsid w:val="00962C57"/>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802F7"/>
    <w:rsid w:val="00AE5BF4"/>
    <w:rsid w:val="00AF21FA"/>
    <w:rsid w:val="00AF4D45"/>
    <w:rsid w:val="00AF5C68"/>
    <w:rsid w:val="00B15BB6"/>
    <w:rsid w:val="00B2797F"/>
    <w:rsid w:val="00B31F84"/>
    <w:rsid w:val="00B35A53"/>
    <w:rsid w:val="00B4158D"/>
    <w:rsid w:val="00B72CE3"/>
    <w:rsid w:val="00B75881"/>
    <w:rsid w:val="00B81EE6"/>
    <w:rsid w:val="00B90614"/>
    <w:rsid w:val="00BC2EA8"/>
    <w:rsid w:val="00BC7A82"/>
    <w:rsid w:val="00C01613"/>
    <w:rsid w:val="00C0201F"/>
    <w:rsid w:val="00C05003"/>
    <w:rsid w:val="00C119CE"/>
    <w:rsid w:val="00C23F36"/>
    <w:rsid w:val="00C305B6"/>
    <w:rsid w:val="00C3135F"/>
    <w:rsid w:val="00C46DED"/>
    <w:rsid w:val="00C736B9"/>
    <w:rsid w:val="00C74DA9"/>
    <w:rsid w:val="00C82AB2"/>
    <w:rsid w:val="00C87BC3"/>
    <w:rsid w:val="00C94C61"/>
    <w:rsid w:val="00CF0704"/>
    <w:rsid w:val="00CF150D"/>
    <w:rsid w:val="00CF4FC6"/>
    <w:rsid w:val="00D23111"/>
    <w:rsid w:val="00D239A9"/>
    <w:rsid w:val="00D445A4"/>
    <w:rsid w:val="00D44E9D"/>
    <w:rsid w:val="00D72EF9"/>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320A-8958-41DE-AE33-0E935F8C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2021-08-24T08:13:00Z</dcterms:created>
  <dcterms:modified xsi:type="dcterms:W3CDTF">2021-08-24T09:07:00Z</dcterms:modified>
</cp:coreProperties>
</file>