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7B5" w:rsidRPr="006C0214" w:rsidRDefault="006F17B5" w:rsidP="001B16D9">
      <w:pPr>
        <w:pStyle w:val="Ttulo1"/>
        <w:jc w:val="both"/>
        <w:rPr>
          <w:color w:val="6BA999"/>
        </w:rPr>
      </w:pPr>
      <w:r w:rsidRPr="006C0214">
        <w:rPr>
          <w:color w:val="6BA999"/>
        </w:rPr>
        <w:t xml:space="preserve">INFORME RELATIVO A LAS OBSERVACIONES REMITIDAS POR </w:t>
      </w:r>
      <w:r w:rsidR="00C74DA9">
        <w:rPr>
          <w:color w:val="6BA999"/>
        </w:rPr>
        <w:t>SEIASA</w:t>
      </w:r>
      <w:r w:rsidR="00CF0704" w:rsidRPr="006C0214">
        <w:rPr>
          <w:color w:val="6BA999"/>
        </w:rPr>
        <w:t xml:space="preserve"> </w:t>
      </w:r>
      <w:r w:rsidRPr="006C0214">
        <w:rPr>
          <w:color w:val="6BA999"/>
        </w:rPr>
        <w:t>EN RELACIÓN CON EL INFORME DEL CTBG SOBRE CUMPLIMIENTO DE LAS OBLIGACIONES DE PUBLICIDAD ACTIVA ESTABLECIDAS POR LA LTAIBG</w:t>
      </w:r>
    </w:p>
    <w:p w:rsidR="006F17B5" w:rsidRPr="006F17B5" w:rsidRDefault="006F17B5" w:rsidP="006F17B5">
      <w:pPr>
        <w:jc w:val="center"/>
        <w:rPr>
          <w:rFonts w:asciiTheme="minorHAnsi" w:hAnsiTheme="minorHAnsi" w:cstheme="minorHAnsi"/>
          <w:szCs w:val="24"/>
        </w:rPr>
      </w:pPr>
    </w:p>
    <w:p w:rsidR="00D23111" w:rsidRDefault="00D23111" w:rsidP="009E16B5">
      <w:pPr>
        <w:tabs>
          <w:tab w:val="left" w:pos="284"/>
        </w:tabs>
        <w:spacing w:before="120" w:after="120" w:line="312" w:lineRule="auto"/>
        <w:contextualSpacing/>
        <w:jc w:val="both"/>
        <w:rPr>
          <w:rFonts w:asciiTheme="minorHAnsi" w:hAnsiTheme="minorHAnsi" w:cstheme="minorHAnsi"/>
          <w:szCs w:val="24"/>
        </w:rPr>
      </w:pPr>
      <w:r w:rsidRPr="002C000A">
        <w:rPr>
          <w:rFonts w:asciiTheme="minorHAnsi" w:hAnsiTheme="minorHAnsi" w:cstheme="minorHAnsi"/>
          <w:szCs w:val="24"/>
        </w:rPr>
        <w:t xml:space="preserve">En contestación a su escrito de </w:t>
      </w:r>
      <w:r w:rsidR="00C74DA9">
        <w:rPr>
          <w:rFonts w:asciiTheme="minorHAnsi" w:hAnsiTheme="minorHAnsi" w:cstheme="minorHAnsi"/>
          <w:szCs w:val="24"/>
        </w:rPr>
        <w:t>9</w:t>
      </w:r>
      <w:r w:rsidR="007B2862">
        <w:rPr>
          <w:rFonts w:asciiTheme="minorHAnsi" w:hAnsiTheme="minorHAnsi" w:cstheme="minorHAnsi"/>
          <w:szCs w:val="24"/>
        </w:rPr>
        <w:t xml:space="preserve"> de julio</w:t>
      </w:r>
      <w:r w:rsidR="007B2862" w:rsidRPr="002C000A">
        <w:rPr>
          <w:rFonts w:asciiTheme="minorHAnsi" w:hAnsiTheme="minorHAnsi" w:cstheme="minorHAnsi"/>
          <w:szCs w:val="24"/>
        </w:rPr>
        <w:t xml:space="preserve"> </w:t>
      </w:r>
      <w:r w:rsidRPr="002C000A">
        <w:rPr>
          <w:rFonts w:asciiTheme="minorHAnsi" w:hAnsiTheme="minorHAnsi" w:cstheme="minorHAnsi"/>
          <w:szCs w:val="24"/>
        </w:rPr>
        <w:t>de 202</w:t>
      </w:r>
      <w:r w:rsidR="00855ECA">
        <w:rPr>
          <w:rFonts w:asciiTheme="minorHAnsi" w:hAnsiTheme="minorHAnsi" w:cstheme="minorHAnsi"/>
          <w:szCs w:val="24"/>
        </w:rPr>
        <w:t>1</w:t>
      </w:r>
      <w:r w:rsidR="00C119CE">
        <w:rPr>
          <w:rFonts w:asciiTheme="minorHAnsi" w:hAnsiTheme="minorHAnsi" w:cstheme="minorHAnsi"/>
          <w:szCs w:val="24"/>
        </w:rPr>
        <w:t>,</w:t>
      </w:r>
      <w:r w:rsidR="005B1C12" w:rsidRPr="002C000A">
        <w:rPr>
          <w:rFonts w:asciiTheme="minorHAnsi" w:hAnsiTheme="minorHAnsi" w:cstheme="minorHAnsi"/>
          <w:szCs w:val="24"/>
        </w:rPr>
        <w:t xml:space="preserve"> </w:t>
      </w:r>
      <w:r w:rsidRPr="002C000A">
        <w:rPr>
          <w:rFonts w:asciiTheme="minorHAnsi" w:hAnsiTheme="minorHAnsi" w:cstheme="minorHAnsi"/>
          <w:szCs w:val="24"/>
        </w:rPr>
        <w:t xml:space="preserve">una vez analizadas </w:t>
      </w:r>
      <w:r w:rsidR="00C119CE">
        <w:rPr>
          <w:rFonts w:asciiTheme="minorHAnsi" w:hAnsiTheme="minorHAnsi" w:cstheme="minorHAnsi"/>
          <w:szCs w:val="24"/>
        </w:rPr>
        <w:t xml:space="preserve">todas </w:t>
      </w:r>
      <w:r w:rsidRPr="002C000A">
        <w:rPr>
          <w:rFonts w:asciiTheme="minorHAnsi" w:hAnsiTheme="minorHAnsi" w:cstheme="minorHAnsi"/>
          <w:szCs w:val="24"/>
        </w:rPr>
        <w:t xml:space="preserve">las observaciones realizadas al borrador de informe de evaluación </w:t>
      </w:r>
      <w:r w:rsidR="00B81EE6" w:rsidRPr="002C000A">
        <w:rPr>
          <w:rFonts w:asciiTheme="minorHAnsi" w:hAnsiTheme="minorHAnsi" w:cstheme="minorHAnsi"/>
          <w:szCs w:val="24"/>
        </w:rPr>
        <w:t xml:space="preserve">relativo al </w:t>
      </w:r>
      <w:r w:rsidRPr="002C000A">
        <w:rPr>
          <w:rFonts w:asciiTheme="minorHAnsi" w:hAnsiTheme="minorHAnsi" w:cstheme="minorHAnsi"/>
          <w:szCs w:val="24"/>
        </w:rPr>
        <w:t xml:space="preserve">cumplimiento de las obligaciones de publicidad activa por parte de esa </w:t>
      </w:r>
      <w:r w:rsidR="00855ECA">
        <w:rPr>
          <w:rFonts w:asciiTheme="minorHAnsi" w:hAnsiTheme="minorHAnsi" w:cstheme="minorHAnsi"/>
          <w:szCs w:val="24"/>
        </w:rPr>
        <w:t>Institución</w:t>
      </w:r>
      <w:r w:rsidRPr="002C000A">
        <w:rPr>
          <w:rFonts w:asciiTheme="minorHAnsi" w:hAnsiTheme="minorHAnsi" w:cstheme="minorHAnsi"/>
          <w:szCs w:val="24"/>
        </w:rPr>
        <w:t>, este CTBG efectúa las siguientes consideraciones:</w:t>
      </w:r>
    </w:p>
    <w:p w:rsidR="00855ECA" w:rsidRDefault="00855ECA" w:rsidP="00855ECA">
      <w:pPr>
        <w:pStyle w:val="Prrafodelista"/>
        <w:tabs>
          <w:tab w:val="left" w:pos="284"/>
        </w:tabs>
        <w:spacing w:before="120" w:after="120" w:line="312" w:lineRule="auto"/>
        <w:jc w:val="both"/>
        <w:rPr>
          <w:rFonts w:asciiTheme="minorHAnsi" w:hAnsiTheme="minorHAnsi" w:cstheme="minorHAnsi"/>
          <w:szCs w:val="24"/>
        </w:rPr>
      </w:pPr>
    </w:p>
    <w:p w:rsidR="00226CA0" w:rsidRDefault="00226CA0" w:rsidP="009B753B">
      <w:pPr>
        <w:pStyle w:val="Prrafodelista"/>
        <w:tabs>
          <w:tab w:val="left" w:pos="284"/>
        </w:tabs>
        <w:spacing w:before="120" w:after="120" w:line="312" w:lineRule="auto"/>
        <w:jc w:val="both"/>
        <w:rPr>
          <w:rFonts w:asciiTheme="minorHAnsi" w:hAnsiTheme="minorHAnsi" w:cstheme="minorHAnsi"/>
          <w:szCs w:val="24"/>
        </w:rPr>
      </w:pPr>
    </w:p>
    <w:p w:rsidR="00CF150D" w:rsidRDefault="000B65C9" w:rsidP="00532B7B">
      <w:pPr>
        <w:pStyle w:val="Prrafodelista"/>
        <w:numPr>
          <w:ilvl w:val="0"/>
          <w:numId w:val="9"/>
        </w:numPr>
        <w:tabs>
          <w:tab w:val="left" w:pos="284"/>
        </w:tabs>
        <w:spacing w:before="120" w:after="120" w:line="312" w:lineRule="auto"/>
        <w:jc w:val="both"/>
        <w:rPr>
          <w:rFonts w:asciiTheme="minorHAnsi" w:hAnsiTheme="minorHAnsi" w:cstheme="minorHAnsi"/>
          <w:b/>
          <w:szCs w:val="24"/>
        </w:rPr>
      </w:pPr>
      <w:r>
        <w:rPr>
          <w:rFonts w:asciiTheme="minorHAnsi" w:hAnsiTheme="minorHAnsi" w:cstheme="minorHAnsi"/>
          <w:b/>
          <w:szCs w:val="24"/>
        </w:rPr>
        <w:t>Sobre la publicación de información correspondiente a una obligación en documentos institucionales</w:t>
      </w:r>
      <w:r w:rsidR="00CF150D">
        <w:rPr>
          <w:rFonts w:asciiTheme="minorHAnsi" w:hAnsiTheme="minorHAnsi" w:cstheme="minorHAnsi"/>
          <w:b/>
          <w:szCs w:val="24"/>
        </w:rPr>
        <w:t>.</w:t>
      </w:r>
    </w:p>
    <w:p w:rsidR="00CF150D" w:rsidRDefault="00CF150D" w:rsidP="00CF150D">
      <w:pPr>
        <w:pStyle w:val="Prrafodelista"/>
        <w:tabs>
          <w:tab w:val="left" w:pos="284"/>
        </w:tabs>
        <w:spacing w:before="120" w:after="120" w:line="312" w:lineRule="auto"/>
        <w:jc w:val="both"/>
        <w:rPr>
          <w:rFonts w:asciiTheme="minorHAnsi" w:hAnsiTheme="minorHAnsi" w:cstheme="minorHAnsi"/>
          <w:b/>
          <w:szCs w:val="24"/>
        </w:rPr>
      </w:pPr>
    </w:p>
    <w:p w:rsidR="000B65C9" w:rsidRDefault="000B65C9" w:rsidP="000B65C9">
      <w:pPr>
        <w:pStyle w:val="Prrafodelista"/>
        <w:tabs>
          <w:tab w:val="left" w:pos="284"/>
        </w:tabs>
        <w:spacing w:before="120" w:after="120" w:line="312" w:lineRule="auto"/>
        <w:jc w:val="both"/>
        <w:rPr>
          <w:rFonts w:asciiTheme="minorHAnsi" w:hAnsiTheme="minorHAnsi" w:cstheme="minorHAnsi"/>
          <w:szCs w:val="24"/>
        </w:rPr>
      </w:pPr>
      <w:r w:rsidRPr="000B65C9">
        <w:rPr>
          <w:rFonts w:asciiTheme="minorHAnsi" w:hAnsiTheme="minorHAnsi" w:cstheme="minorHAnsi"/>
          <w:szCs w:val="24"/>
        </w:rPr>
        <w:t xml:space="preserve">Señala SEIASA en su informe de observaciones que la información relativa a la normativa aplicable </w:t>
      </w:r>
      <w:r>
        <w:rPr>
          <w:rFonts w:asciiTheme="minorHAnsi" w:hAnsiTheme="minorHAnsi" w:cstheme="minorHAnsi"/>
          <w:szCs w:val="24"/>
        </w:rPr>
        <w:t xml:space="preserve">a la organización se encuentra publicada en las memorias de sostenibilidad o que los datos estadísticos sobre contratación se publican en las memorias anuales –aunque también se indica en este caso que desde finales de abril se publican directamente en la web -.  </w:t>
      </w:r>
      <w:r>
        <w:rPr>
          <w:rFonts w:asciiTheme="minorHAnsi" w:hAnsiTheme="minorHAnsi" w:cstheme="minorHAnsi"/>
          <w:szCs w:val="24"/>
        </w:rPr>
        <w:t xml:space="preserve">En este sentido cabe señalar que la LTAIBG trata de manera individualizada las informaciones obligatorias cuya publicación también debe efectuarse de manera individualizada. Por otra parte, los ciudadanos que busquen información pública de una institución no tienen por qué conocer que determinadas informaciones se publican conjuntamente con otras, por ejemplo, la publicación de las subvenciones concedidas en las cuentas anuales. En el caso concreto que plantea </w:t>
      </w:r>
      <w:r>
        <w:rPr>
          <w:rFonts w:asciiTheme="minorHAnsi" w:hAnsiTheme="minorHAnsi" w:cstheme="minorHAnsi"/>
          <w:szCs w:val="24"/>
        </w:rPr>
        <w:t>SEIASA</w:t>
      </w:r>
      <w:r>
        <w:rPr>
          <w:rFonts w:asciiTheme="minorHAnsi" w:hAnsiTheme="minorHAnsi" w:cstheme="minorHAnsi"/>
          <w:szCs w:val="24"/>
        </w:rPr>
        <w:t xml:space="preserve">, la publicación de la información </w:t>
      </w:r>
      <w:r>
        <w:rPr>
          <w:rFonts w:asciiTheme="minorHAnsi" w:hAnsiTheme="minorHAnsi" w:cstheme="minorHAnsi"/>
          <w:szCs w:val="24"/>
        </w:rPr>
        <w:t>sobre la normativa aplicable</w:t>
      </w:r>
      <w:r>
        <w:rPr>
          <w:rFonts w:asciiTheme="minorHAnsi" w:hAnsiTheme="minorHAnsi" w:cstheme="minorHAnsi"/>
          <w:szCs w:val="24"/>
        </w:rPr>
        <w:t xml:space="preserve"> se realiza a través de las Memorias de Sostenibilidad cuya información no está sujeta a obligaciones de publicidad activa, lo que implica una dificultad adicional para la localización de la información</w:t>
      </w:r>
      <w:r>
        <w:rPr>
          <w:rFonts w:asciiTheme="minorHAnsi" w:hAnsiTheme="minorHAnsi" w:cstheme="minorHAnsi"/>
          <w:szCs w:val="24"/>
        </w:rPr>
        <w:t xml:space="preserve"> por parte de los ciudadanos</w:t>
      </w:r>
      <w:r>
        <w:rPr>
          <w:rFonts w:asciiTheme="minorHAnsi" w:hAnsiTheme="minorHAnsi" w:cstheme="minorHAnsi"/>
          <w:szCs w:val="24"/>
        </w:rPr>
        <w:t xml:space="preserve">. </w:t>
      </w:r>
    </w:p>
    <w:p w:rsidR="000B65C9" w:rsidRDefault="000B65C9" w:rsidP="000B65C9">
      <w:pPr>
        <w:pStyle w:val="Prrafodelista"/>
        <w:tabs>
          <w:tab w:val="left" w:pos="284"/>
        </w:tabs>
        <w:spacing w:before="120" w:after="120" w:line="312" w:lineRule="auto"/>
        <w:jc w:val="both"/>
        <w:rPr>
          <w:rFonts w:asciiTheme="minorHAnsi" w:hAnsiTheme="minorHAnsi" w:cstheme="minorHAnsi"/>
          <w:szCs w:val="24"/>
        </w:rPr>
      </w:pPr>
    </w:p>
    <w:p w:rsidR="000B65C9" w:rsidRPr="003D01AF" w:rsidRDefault="000B65C9" w:rsidP="000B65C9">
      <w:pPr>
        <w:pStyle w:val="Prrafodelista"/>
        <w:tabs>
          <w:tab w:val="left" w:pos="284"/>
        </w:tabs>
        <w:spacing w:before="120" w:after="120" w:line="312" w:lineRule="auto"/>
        <w:jc w:val="both"/>
        <w:rPr>
          <w:rFonts w:asciiTheme="minorHAnsi" w:hAnsiTheme="minorHAnsi" w:cstheme="minorHAnsi"/>
          <w:szCs w:val="24"/>
        </w:rPr>
      </w:pPr>
      <w:r w:rsidRPr="003D01AF">
        <w:rPr>
          <w:rFonts w:asciiTheme="minorHAnsi" w:hAnsiTheme="minorHAnsi" w:cstheme="minorHAnsi"/>
          <w:szCs w:val="24"/>
        </w:rPr>
        <w:t xml:space="preserve">No </w:t>
      </w:r>
      <w:r>
        <w:rPr>
          <w:rFonts w:asciiTheme="minorHAnsi" w:hAnsiTheme="minorHAnsi" w:cstheme="minorHAnsi"/>
          <w:szCs w:val="24"/>
        </w:rPr>
        <w:t xml:space="preserve">resulta posible, </w:t>
      </w:r>
      <w:r w:rsidRPr="003D01AF">
        <w:rPr>
          <w:rFonts w:asciiTheme="minorHAnsi" w:hAnsiTheme="minorHAnsi" w:cstheme="minorHAnsi"/>
          <w:szCs w:val="24"/>
        </w:rPr>
        <w:t xml:space="preserve"> por lo tanto</w:t>
      </w:r>
      <w:r>
        <w:rPr>
          <w:rFonts w:asciiTheme="minorHAnsi" w:hAnsiTheme="minorHAnsi" w:cstheme="minorHAnsi"/>
          <w:szCs w:val="24"/>
        </w:rPr>
        <w:t>,</w:t>
      </w:r>
      <w:r w:rsidRPr="003D01AF">
        <w:rPr>
          <w:rFonts w:asciiTheme="minorHAnsi" w:hAnsiTheme="minorHAnsi" w:cstheme="minorHAnsi"/>
          <w:szCs w:val="24"/>
        </w:rPr>
        <w:t xml:space="preserve"> aceptar la observación efectuada </w:t>
      </w:r>
      <w:r>
        <w:rPr>
          <w:rFonts w:asciiTheme="minorHAnsi" w:hAnsiTheme="minorHAnsi" w:cstheme="minorHAnsi"/>
          <w:szCs w:val="24"/>
        </w:rPr>
        <w:t xml:space="preserve">por </w:t>
      </w:r>
      <w:r>
        <w:rPr>
          <w:rFonts w:asciiTheme="minorHAnsi" w:hAnsiTheme="minorHAnsi" w:cstheme="minorHAnsi"/>
          <w:szCs w:val="24"/>
        </w:rPr>
        <w:t>SEIASA</w:t>
      </w:r>
      <w:r w:rsidRPr="003D01AF">
        <w:rPr>
          <w:rFonts w:asciiTheme="minorHAnsi" w:hAnsiTheme="minorHAnsi" w:cstheme="minorHAnsi"/>
          <w:szCs w:val="24"/>
        </w:rPr>
        <w:t>.</w:t>
      </w:r>
    </w:p>
    <w:p w:rsidR="000B65C9" w:rsidRPr="000B65C9" w:rsidRDefault="000B65C9" w:rsidP="00CF150D">
      <w:pPr>
        <w:pStyle w:val="Prrafodelista"/>
        <w:tabs>
          <w:tab w:val="left" w:pos="284"/>
        </w:tabs>
        <w:spacing w:before="120" w:after="120" w:line="312" w:lineRule="auto"/>
        <w:jc w:val="both"/>
        <w:rPr>
          <w:rFonts w:asciiTheme="minorHAnsi" w:hAnsiTheme="minorHAnsi" w:cstheme="minorHAnsi"/>
          <w:szCs w:val="24"/>
        </w:rPr>
      </w:pPr>
    </w:p>
    <w:p w:rsidR="000B65C9" w:rsidRDefault="000B65C9" w:rsidP="00CF150D">
      <w:pPr>
        <w:pStyle w:val="Prrafodelista"/>
        <w:tabs>
          <w:tab w:val="left" w:pos="284"/>
        </w:tabs>
        <w:spacing w:before="120" w:after="120" w:line="312" w:lineRule="auto"/>
        <w:jc w:val="both"/>
        <w:rPr>
          <w:rFonts w:asciiTheme="minorHAnsi" w:hAnsiTheme="minorHAnsi" w:cstheme="minorHAnsi"/>
          <w:b/>
          <w:szCs w:val="24"/>
        </w:rPr>
      </w:pPr>
    </w:p>
    <w:p w:rsidR="000B65C9" w:rsidRDefault="000B65C9" w:rsidP="000B65C9">
      <w:pPr>
        <w:pStyle w:val="Prrafodelista"/>
        <w:numPr>
          <w:ilvl w:val="0"/>
          <w:numId w:val="14"/>
        </w:numPr>
        <w:tabs>
          <w:tab w:val="left" w:pos="284"/>
        </w:tabs>
        <w:spacing w:before="120" w:after="120" w:line="312" w:lineRule="auto"/>
        <w:jc w:val="both"/>
        <w:rPr>
          <w:rFonts w:asciiTheme="minorHAnsi" w:hAnsiTheme="minorHAnsi" w:cstheme="minorHAnsi"/>
          <w:b/>
          <w:szCs w:val="24"/>
        </w:rPr>
      </w:pPr>
      <w:r>
        <w:rPr>
          <w:rFonts w:asciiTheme="minorHAnsi" w:hAnsiTheme="minorHAnsi" w:cstheme="minorHAnsi"/>
          <w:b/>
          <w:szCs w:val="24"/>
        </w:rPr>
        <w:t xml:space="preserve">Respecto de la actualización permanente de la información </w:t>
      </w:r>
      <w:r>
        <w:rPr>
          <w:rFonts w:asciiTheme="minorHAnsi" w:hAnsiTheme="minorHAnsi" w:cstheme="minorHAnsi"/>
          <w:b/>
          <w:szCs w:val="24"/>
        </w:rPr>
        <w:t>relativa a diversas obligaciones de publicidad activa</w:t>
      </w:r>
      <w:r>
        <w:rPr>
          <w:rFonts w:asciiTheme="minorHAnsi" w:hAnsiTheme="minorHAnsi" w:cstheme="minorHAnsi"/>
          <w:b/>
          <w:szCs w:val="24"/>
        </w:rPr>
        <w:t>.</w:t>
      </w:r>
    </w:p>
    <w:p w:rsidR="000B65C9" w:rsidRDefault="000B65C9" w:rsidP="000B65C9">
      <w:pPr>
        <w:pStyle w:val="Prrafodelista"/>
        <w:tabs>
          <w:tab w:val="left" w:pos="284"/>
        </w:tabs>
        <w:spacing w:before="120" w:after="120" w:line="312" w:lineRule="auto"/>
        <w:jc w:val="both"/>
        <w:rPr>
          <w:rFonts w:asciiTheme="minorHAnsi" w:hAnsiTheme="minorHAnsi" w:cstheme="minorHAnsi"/>
          <w:b/>
          <w:szCs w:val="24"/>
        </w:rPr>
      </w:pPr>
    </w:p>
    <w:p w:rsidR="000B65C9" w:rsidRDefault="000B65C9" w:rsidP="000B65C9">
      <w:pPr>
        <w:pStyle w:val="Prrafodelista"/>
        <w:tabs>
          <w:tab w:val="left" w:pos="284"/>
        </w:tabs>
        <w:spacing w:before="120" w:after="120" w:line="312" w:lineRule="auto"/>
        <w:jc w:val="both"/>
        <w:rPr>
          <w:rFonts w:asciiTheme="minorHAnsi" w:hAnsiTheme="minorHAnsi" w:cstheme="minorHAnsi"/>
          <w:szCs w:val="24"/>
        </w:rPr>
      </w:pPr>
      <w:r w:rsidRPr="003D2C6C">
        <w:rPr>
          <w:rFonts w:asciiTheme="minorHAnsi" w:hAnsiTheme="minorHAnsi" w:cstheme="minorHAnsi"/>
          <w:szCs w:val="24"/>
        </w:rPr>
        <w:t xml:space="preserve">Señala </w:t>
      </w:r>
      <w:r>
        <w:rPr>
          <w:rFonts w:asciiTheme="minorHAnsi" w:hAnsiTheme="minorHAnsi" w:cstheme="minorHAnsi"/>
          <w:szCs w:val="24"/>
        </w:rPr>
        <w:t>SEIASA</w:t>
      </w:r>
      <w:r>
        <w:rPr>
          <w:rFonts w:asciiTheme="minorHAnsi" w:hAnsiTheme="minorHAnsi" w:cstheme="minorHAnsi"/>
          <w:szCs w:val="24"/>
        </w:rPr>
        <w:t xml:space="preserve">, que la información publicada </w:t>
      </w:r>
      <w:r>
        <w:rPr>
          <w:rFonts w:asciiTheme="minorHAnsi" w:hAnsiTheme="minorHAnsi" w:cstheme="minorHAnsi"/>
          <w:szCs w:val="24"/>
        </w:rPr>
        <w:t>sobre identificación y perfil y trayectoria profesional de sus máximos responsables y organigrama, se modifica cuando se produce algún cambio y que por lo tanto está actualizada.</w:t>
      </w:r>
    </w:p>
    <w:p w:rsidR="000B65C9" w:rsidRDefault="000B65C9" w:rsidP="000B65C9">
      <w:pPr>
        <w:pStyle w:val="Prrafodelista"/>
        <w:tabs>
          <w:tab w:val="left" w:pos="284"/>
        </w:tabs>
        <w:spacing w:before="120" w:after="120" w:line="312" w:lineRule="auto"/>
        <w:jc w:val="both"/>
        <w:rPr>
          <w:rFonts w:asciiTheme="minorHAnsi" w:hAnsiTheme="minorHAnsi" w:cstheme="minorHAnsi"/>
          <w:szCs w:val="24"/>
        </w:rPr>
      </w:pPr>
    </w:p>
    <w:p w:rsidR="000B65C9" w:rsidRDefault="000B65C9" w:rsidP="000B65C9">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lastRenderedPageBreak/>
        <w:t xml:space="preserve">Aunque este Consejo no pone en duda el hecho de que </w:t>
      </w:r>
      <w:r>
        <w:rPr>
          <w:rFonts w:asciiTheme="minorHAnsi" w:hAnsiTheme="minorHAnsi" w:cstheme="minorHAnsi"/>
          <w:szCs w:val="24"/>
        </w:rPr>
        <w:t>esta información</w:t>
      </w:r>
      <w:r>
        <w:rPr>
          <w:rFonts w:asciiTheme="minorHAnsi" w:hAnsiTheme="minorHAnsi" w:cstheme="minorHAnsi"/>
          <w:szCs w:val="24"/>
        </w:rPr>
        <w:t xml:space="preserve"> esté actualizad</w:t>
      </w:r>
      <w:r>
        <w:rPr>
          <w:rFonts w:asciiTheme="minorHAnsi" w:hAnsiTheme="minorHAnsi" w:cstheme="minorHAnsi"/>
          <w:szCs w:val="24"/>
        </w:rPr>
        <w:t>a</w:t>
      </w:r>
      <w:r>
        <w:rPr>
          <w:rFonts w:asciiTheme="minorHAnsi" w:hAnsiTheme="minorHAnsi" w:cstheme="minorHAnsi"/>
          <w:szCs w:val="24"/>
        </w:rPr>
        <w:t xml:space="preserve">, es preciso señalar que la única posibilidad que tienen los ciudadanos de saber si la información publicada está vigente o no, es que se indique expresamente. En este sentido bastaría con que en la página inicial del </w:t>
      </w:r>
      <w:r>
        <w:rPr>
          <w:rFonts w:asciiTheme="minorHAnsi" w:hAnsiTheme="minorHAnsi" w:cstheme="minorHAnsi"/>
          <w:szCs w:val="24"/>
        </w:rPr>
        <w:t xml:space="preserve">futuro Portal de Transparencia de SEIASA </w:t>
      </w:r>
      <w:r>
        <w:rPr>
          <w:rFonts w:asciiTheme="minorHAnsi" w:hAnsiTheme="minorHAnsi" w:cstheme="minorHAnsi"/>
          <w:szCs w:val="24"/>
        </w:rPr>
        <w:t xml:space="preserve">se mostrase la fecha de la última revisión o actualización </w:t>
      </w:r>
      <w:r>
        <w:rPr>
          <w:rFonts w:asciiTheme="minorHAnsi" w:hAnsiTheme="minorHAnsi" w:cstheme="minorHAnsi"/>
          <w:szCs w:val="24"/>
        </w:rPr>
        <w:t>efectuada</w:t>
      </w:r>
      <w:r>
        <w:rPr>
          <w:rFonts w:asciiTheme="minorHAnsi" w:hAnsiTheme="minorHAnsi" w:cstheme="minorHAnsi"/>
          <w:szCs w:val="24"/>
        </w:rPr>
        <w:t xml:space="preserve">. </w:t>
      </w:r>
    </w:p>
    <w:p w:rsidR="000B65C9" w:rsidRDefault="000B65C9" w:rsidP="000B65C9">
      <w:pPr>
        <w:pStyle w:val="Prrafodelista"/>
        <w:tabs>
          <w:tab w:val="left" w:pos="284"/>
        </w:tabs>
        <w:spacing w:before="120" w:after="120" w:line="312" w:lineRule="auto"/>
        <w:jc w:val="both"/>
        <w:rPr>
          <w:rFonts w:asciiTheme="minorHAnsi" w:hAnsiTheme="minorHAnsi" w:cstheme="minorHAnsi"/>
          <w:szCs w:val="24"/>
        </w:rPr>
      </w:pPr>
    </w:p>
    <w:p w:rsidR="000B65C9" w:rsidRPr="003D01AF" w:rsidRDefault="000B65C9" w:rsidP="000B65C9">
      <w:pPr>
        <w:pStyle w:val="Prrafodelista"/>
        <w:tabs>
          <w:tab w:val="left" w:pos="284"/>
        </w:tabs>
        <w:spacing w:before="120" w:after="120" w:line="312" w:lineRule="auto"/>
        <w:jc w:val="both"/>
        <w:rPr>
          <w:rFonts w:asciiTheme="minorHAnsi" w:hAnsiTheme="minorHAnsi" w:cstheme="minorHAnsi"/>
          <w:szCs w:val="24"/>
        </w:rPr>
      </w:pPr>
      <w:r w:rsidRPr="003D01AF">
        <w:rPr>
          <w:rFonts w:asciiTheme="minorHAnsi" w:hAnsiTheme="minorHAnsi" w:cstheme="minorHAnsi"/>
          <w:szCs w:val="24"/>
        </w:rPr>
        <w:t xml:space="preserve">No </w:t>
      </w:r>
      <w:r>
        <w:rPr>
          <w:rFonts w:asciiTheme="minorHAnsi" w:hAnsiTheme="minorHAnsi" w:cstheme="minorHAnsi"/>
          <w:szCs w:val="24"/>
        </w:rPr>
        <w:t xml:space="preserve">resulta posible, </w:t>
      </w:r>
      <w:r w:rsidRPr="003D01AF">
        <w:rPr>
          <w:rFonts w:asciiTheme="minorHAnsi" w:hAnsiTheme="minorHAnsi" w:cstheme="minorHAnsi"/>
          <w:szCs w:val="24"/>
        </w:rPr>
        <w:t xml:space="preserve"> por lo tanto</w:t>
      </w:r>
      <w:r>
        <w:rPr>
          <w:rFonts w:asciiTheme="minorHAnsi" w:hAnsiTheme="minorHAnsi" w:cstheme="minorHAnsi"/>
          <w:szCs w:val="24"/>
        </w:rPr>
        <w:t>,</w:t>
      </w:r>
      <w:r w:rsidRPr="003D01AF">
        <w:rPr>
          <w:rFonts w:asciiTheme="minorHAnsi" w:hAnsiTheme="minorHAnsi" w:cstheme="minorHAnsi"/>
          <w:szCs w:val="24"/>
        </w:rPr>
        <w:t xml:space="preserve"> aceptar la observación efectuada </w:t>
      </w:r>
      <w:r>
        <w:rPr>
          <w:rFonts w:asciiTheme="minorHAnsi" w:hAnsiTheme="minorHAnsi" w:cstheme="minorHAnsi"/>
          <w:szCs w:val="24"/>
        </w:rPr>
        <w:t>por SEIASA</w:t>
      </w:r>
      <w:r w:rsidRPr="003D01AF">
        <w:rPr>
          <w:rFonts w:asciiTheme="minorHAnsi" w:hAnsiTheme="minorHAnsi" w:cstheme="minorHAnsi"/>
          <w:szCs w:val="24"/>
        </w:rPr>
        <w:t>.</w:t>
      </w:r>
    </w:p>
    <w:p w:rsidR="000B65C9" w:rsidRDefault="000B65C9" w:rsidP="000B65C9">
      <w:pPr>
        <w:pStyle w:val="Prrafodelista"/>
        <w:tabs>
          <w:tab w:val="left" w:pos="284"/>
        </w:tabs>
        <w:spacing w:before="120" w:after="120" w:line="312" w:lineRule="auto"/>
        <w:jc w:val="both"/>
        <w:rPr>
          <w:rFonts w:asciiTheme="minorHAnsi" w:hAnsiTheme="minorHAnsi" w:cstheme="minorHAnsi"/>
          <w:szCs w:val="24"/>
        </w:rPr>
      </w:pPr>
    </w:p>
    <w:p w:rsidR="00777715" w:rsidRDefault="00777715" w:rsidP="009D0833">
      <w:pPr>
        <w:pStyle w:val="Prrafodelista"/>
        <w:tabs>
          <w:tab w:val="left" w:pos="284"/>
        </w:tabs>
        <w:spacing w:before="120" w:after="120" w:line="312" w:lineRule="auto"/>
        <w:ind w:left="1485"/>
        <w:jc w:val="both"/>
        <w:rPr>
          <w:rFonts w:asciiTheme="minorHAnsi" w:hAnsiTheme="minorHAnsi" w:cstheme="minorHAnsi"/>
          <w:szCs w:val="24"/>
        </w:rPr>
      </w:pPr>
    </w:p>
    <w:p w:rsidR="000B65C9" w:rsidRDefault="000B65C9" w:rsidP="000B65C9">
      <w:pPr>
        <w:pStyle w:val="Prrafodelista"/>
        <w:numPr>
          <w:ilvl w:val="0"/>
          <w:numId w:val="14"/>
        </w:numPr>
        <w:tabs>
          <w:tab w:val="left" w:pos="284"/>
        </w:tabs>
        <w:spacing w:before="120" w:after="120" w:line="312" w:lineRule="auto"/>
        <w:jc w:val="both"/>
        <w:rPr>
          <w:rFonts w:asciiTheme="minorHAnsi" w:hAnsiTheme="minorHAnsi" w:cstheme="minorHAnsi"/>
          <w:b/>
          <w:szCs w:val="24"/>
        </w:rPr>
      </w:pPr>
      <w:r w:rsidRPr="00186B56">
        <w:rPr>
          <w:rFonts w:asciiTheme="minorHAnsi" w:hAnsiTheme="minorHAnsi" w:cstheme="minorHAnsi"/>
          <w:b/>
          <w:szCs w:val="24"/>
        </w:rPr>
        <w:t xml:space="preserve">Respecto de </w:t>
      </w:r>
      <w:r>
        <w:rPr>
          <w:rFonts w:asciiTheme="minorHAnsi" w:hAnsiTheme="minorHAnsi" w:cstheme="minorHAnsi"/>
          <w:b/>
          <w:szCs w:val="24"/>
        </w:rPr>
        <w:t xml:space="preserve">que la falta de publicación </w:t>
      </w:r>
      <w:r>
        <w:rPr>
          <w:rFonts w:asciiTheme="minorHAnsi" w:hAnsiTheme="minorHAnsi" w:cstheme="minorHAnsi"/>
          <w:b/>
          <w:szCs w:val="24"/>
        </w:rPr>
        <w:t>de determinadas informaciones obligatorias porque no se ha producido ninguna actividad en el ámbito material al que se refieren</w:t>
      </w:r>
      <w:r w:rsidRPr="00186B56">
        <w:rPr>
          <w:rFonts w:asciiTheme="minorHAnsi" w:hAnsiTheme="minorHAnsi" w:cstheme="minorHAnsi"/>
          <w:b/>
          <w:szCs w:val="24"/>
        </w:rPr>
        <w:t>.</w:t>
      </w:r>
    </w:p>
    <w:p w:rsidR="000B65C9" w:rsidRDefault="000B65C9" w:rsidP="000B65C9">
      <w:pPr>
        <w:tabs>
          <w:tab w:val="left" w:pos="284"/>
        </w:tabs>
        <w:spacing w:before="120" w:after="120" w:line="312" w:lineRule="auto"/>
        <w:ind w:left="709"/>
        <w:jc w:val="both"/>
        <w:rPr>
          <w:rFonts w:asciiTheme="minorHAnsi" w:hAnsiTheme="minorHAnsi" w:cstheme="minorHAnsi"/>
          <w:szCs w:val="24"/>
        </w:rPr>
      </w:pPr>
    </w:p>
    <w:p w:rsidR="000B65C9" w:rsidRDefault="000B65C9" w:rsidP="000B65C9">
      <w:pPr>
        <w:tabs>
          <w:tab w:val="left" w:pos="284"/>
        </w:tabs>
        <w:spacing w:before="120" w:after="120" w:line="312" w:lineRule="auto"/>
        <w:ind w:left="709"/>
        <w:jc w:val="both"/>
        <w:rPr>
          <w:rFonts w:asciiTheme="minorHAnsi" w:hAnsiTheme="minorHAnsi" w:cstheme="minorHAnsi"/>
          <w:szCs w:val="24"/>
        </w:rPr>
      </w:pPr>
      <w:r>
        <w:rPr>
          <w:rFonts w:asciiTheme="minorHAnsi" w:hAnsiTheme="minorHAnsi" w:cstheme="minorHAnsi"/>
          <w:szCs w:val="24"/>
        </w:rPr>
        <w:t xml:space="preserve">Es el caso de la información sobre subvenciones y ayudas públicas concedidas, las indemnizaciones percibidas por altos cargos, las autorizaciones de compatibilidad de empleados y las autorizaciones de compatibilidad con actividades privadas al cese de altos cargos. </w:t>
      </w:r>
    </w:p>
    <w:p w:rsidR="000B65C9" w:rsidRDefault="000B65C9" w:rsidP="000B65C9">
      <w:pPr>
        <w:tabs>
          <w:tab w:val="left" w:pos="284"/>
        </w:tabs>
        <w:spacing w:before="120" w:after="120" w:line="312" w:lineRule="auto"/>
        <w:ind w:left="709"/>
        <w:jc w:val="both"/>
        <w:rPr>
          <w:rFonts w:asciiTheme="minorHAnsi" w:hAnsiTheme="minorHAnsi" w:cstheme="minorHAnsi"/>
          <w:szCs w:val="24"/>
        </w:rPr>
      </w:pPr>
      <w:r>
        <w:rPr>
          <w:rFonts w:asciiTheme="minorHAnsi" w:hAnsiTheme="minorHAnsi" w:cstheme="minorHAnsi"/>
          <w:szCs w:val="24"/>
        </w:rPr>
        <w:t>Desde este Consejo viene señalándose que l</w:t>
      </w:r>
      <w:r w:rsidRPr="00C13C51">
        <w:rPr>
          <w:rFonts w:asciiTheme="minorHAnsi" w:hAnsiTheme="minorHAnsi" w:cstheme="minorHAnsi"/>
          <w:szCs w:val="24"/>
        </w:rPr>
        <w:t>a única manera de distinguir si la falta de publicación de una información sujeta a obligaciones de publicidad activa se debe a un incumplimiento de la obligación de publicar o a que no hay información que publicar porque no ha habido actividad en ese ámbito concreto, es que se indique expresamente tal circunstancia. Por esta razón, este Consejo</w:t>
      </w:r>
      <w:r>
        <w:rPr>
          <w:rFonts w:asciiTheme="minorHAnsi" w:hAnsiTheme="minorHAnsi" w:cstheme="minorHAnsi"/>
          <w:szCs w:val="24"/>
        </w:rPr>
        <w:t>, recomienda nuevamente</w:t>
      </w:r>
      <w:r w:rsidRPr="00C13C51">
        <w:rPr>
          <w:rFonts w:asciiTheme="minorHAnsi" w:hAnsiTheme="minorHAnsi" w:cstheme="minorHAnsi"/>
          <w:szCs w:val="24"/>
        </w:rPr>
        <w:t xml:space="preserve"> </w:t>
      </w:r>
      <w:r>
        <w:rPr>
          <w:rFonts w:asciiTheme="minorHAnsi" w:hAnsiTheme="minorHAnsi" w:cstheme="minorHAnsi"/>
          <w:szCs w:val="24"/>
        </w:rPr>
        <w:t>a SEIASA</w:t>
      </w:r>
      <w:r>
        <w:rPr>
          <w:rFonts w:asciiTheme="minorHAnsi" w:hAnsiTheme="minorHAnsi" w:cstheme="minorHAnsi"/>
          <w:szCs w:val="24"/>
        </w:rPr>
        <w:t>, que en el apartado correspondiente a la obligación de publicidad activa para la que no  ha existido actividad se haga constar expresamente esta circunstancia.</w:t>
      </w:r>
    </w:p>
    <w:p w:rsidR="000B65C9" w:rsidRDefault="000B65C9" w:rsidP="000B65C9">
      <w:pPr>
        <w:tabs>
          <w:tab w:val="left" w:pos="284"/>
        </w:tabs>
        <w:spacing w:before="120" w:after="120" w:line="312" w:lineRule="auto"/>
        <w:ind w:left="709"/>
        <w:jc w:val="both"/>
        <w:rPr>
          <w:rFonts w:asciiTheme="minorHAnsi" w:hAnsiTheme="minorHAnsi" w:cstheme="minorHAnsi"/>
          <w:szCs w:val="24"/>
        </w:rPr>
      </w:pPr>
    </w:p>
    <w:p w:rsidR="000B65C9" w:rsidRDefault="000B65C9" w:rsidP="000B65C9">
      <w:pPr>
        <w:pStyle w:val="Prrafodelista"/>
        <w:tabs>
          <w:tab w:val="left" w:pos="284"/>
        </w:tabs>
        <w:spacing w:before="120" w:after="120" w:line="312" w:lineRule="auto"/>
        <w:jc w:val="both"/>
        <w:rPr>
          <w:rFonts w:asciiTheme="minorHAnsi" w:hAnsiTheme="minorHAnsi" w:cstheme="minorHAnsi"/>
          <w:szCs w:val="24"/>
        </w:rPr>
      </w:pPr>
      <w:r w:rsidRPr="003D01AF">
        <w:rPr>
          <w:rFonts w:asciiTheme="minorHAnsi" w:hAnsiTheme="minorHAnsi" w:cstheme="minorHAnsi"/>
          <w:szCs w:val="24"/>
        </w:rPr>
        <w:t xml:space="preserve">No </w:t>
      </w:r>
      <w:r>
        <w:rPr>
          <w:rFonts w:asciiTheme="minorHAnsi" w:hAnsiTheme="minorHAnsi" w:cstheme="minorHAnsi"/>
          <w:szCs w:val="24"/>
        </w:rPr>
        <w:t xml:space="preserve">resulta posible, </w:t>
      </w:r>
      <w:r w:rsidRPr="003D01AF">
        <w:rPr>
          <w:rFonts w:asciiTheme="minorHAnsi" w:hAnsiTheme="minorHAnsi" w:cstheme="minorHAnsi"/>
          <w:szCs w:val="24"/>
        </w:rPr>
        <w:t xml:space="preserve"> por lo tanto</w:t>
      </w:r>
      <w:r>
        <w:rPr>
          <w:rFonts w:asciiTheme="minorHAnsi" w:hAnsiTheme="minorHAnsi" w:cstheme="minorHAnsi"/>
          <w:szCs w:val="24"/>
        </w:rPr>
        <w:t>,</w:t>
      </w:r>
      <w:r w:rsidRPr="003D01AF">
        <w:rPr>
          <w:rFonts w:asciiTheme="minorHAnsi" w:hAnsiTheme="minorHAnsi" w:cstheme="minorHAnsi"/>
          <w:szCs w:val="24"/>
        </w:rPr>
        <w:t xml:space="preserve"> aceptar la observación efectuada </w:t>
      </w:r>
      <w:r>
        <w:rPr>
          <w:rFonts w:asciiTheme="minorHAnsi" w:hAnsiTheme="minorHAnsi" w:cstheme="minorHAnsi"/>
          <w:szCs w:val="24"/>
        </w:rPr>
        <w:t>por SEIASA</w:t>
      </w:r>
      <w:r w:rsidRPr="003D01AF">
        <w:rPr>
          <w:rFonts w:asciiTheme="minorHAnsi" w:hAnsiTheme="minorHAnsi" w:cstheme="minorHAnsi"/>
          <w:szCs w:val="24"/>
        </w:rPr>
        <w:t>.</w:t>
      </w:r>
    </w:p>
    <w:p w:rsidR="000B65C9" w:rsidRPr="003D01AF" w:rsidRDefault="000B65C9" w:rsidP="000B65C9">
      <w:pPr>
        <w:pStyle w:val="Prrafodelista"/>
        <w:tabs>
          <w:tab w:val="left" w:pos="284"/>
        </w:tabs>
        <w:spacing w:before="120" w:after="120" w:line="312" w:lineRule="auto"/>
        <w:jc w:val="both"/>
        <w:rPr>
          <w:rFonts w:asciiTheme="minorHAnsi" w:hAnsiTheme="minorHAnsi" w:cstheme="minorHAnsi"/>
          <w:szCs w:val="24"/>
        </w:rPr>
      </w:pPr>
    </w:p>
    <w:p w:rsidR="000B65C9" w:rsidRDefault="000B65C9" w:rsidP="000B65C9">
      <w:pPr>
        <w:pStyle w:val="Prrafodelista"/>
        <w:numPr>
          <w:ilvl w:val="0"/>
          <w:numId w:val="14"/>
        </w:numPr>
        <w:jc w:val="both"/>
        <w:rPr>
          <w:rFonts w:asciiTheme="minorHAnsi" w:hAnsiTheme="minorHAnsi" w:cstheme="minorHAnsi"/>
          <w:szCs w:val="24"/>
        </w:rPr>
      </w:pPr>
      <w:r w:rsidRPr="000B65C9">
        <w:rPr>
          <w:rFonts w:asciiTheme="minorHAnsi" w:hAnsiTheme="minorHAnsi" w:cstheme="minorHAnsi"/>
          <w:b/>
          <w:szCs w:val="24"/>
        </w:rPr>
        <w:t xml:space="preserve">Respecto de la publicación de la información de contratación a través del Perfil del Contratante de la </w:t>
      </w:r>
      <w:r w:rsidRPr="000B65C9">
        <w:rPr>
          <w:rFonts w:asciiTheme="minorHAnsi" w:hAnsiTheme="minorHAnsi" w:cstheme="minorHAnsi"/>
          <w:b/>
          <w:szCs w:val="24"/>
        </w:rPr>
        <w:t>Plataforma</w:t>
      </w:r>
      <w:r w:rsidRPr="000B65C9">
        <w:rPr>
          <w:rFonts w:asciiTheme="minorHAnsi" w:hAnsiTheme="minorHAnsi" w:cstheme="minorHAnsi"/>
          <w:b/>
          <w:szCs w:val="24"/>
        </w:rPr>
        <w:t xml:space="preserve"> de Contratación del Sector Público</w:t>
      </w:r>
      <w:r>
        <w:rPr>
          <w:rFonts w:asciiTheme="minorHAnsi" w:hAnsiTheme="minorHAnsi" w:cstheme="minorHAnsi"/>
          <w:b/>
          <w:szCs w:val="24"/>
        </w:rPr>
        <w:t xml:space="preserve"> o de los presupuestos a través de la Central de Información Económico-Financiera del Ministerio de Hacienda</w:t>
      </w:r>
      <w:r>
        <w:rPr>
          <w:rFonts w:asciiTheme="minorHAnsi" w:hAnsiTheme="minorHAnsi" w:cstheme="minorHAnsi"/>
          <w:szCs w:val="24"/>
        </w:rPr>
        <w:t>.</w:t>
      </w:r>
    </w:p>
    <w:p w:rsidR="000B65C9" w:rsidRDefault="000B65C9" w:rsidP="000B65C9">
      <w:pPr>
        <w:pStyle w:val="Prrafodelista"/>
        <w:jc w:val="both"/>
        <w:rPr>
          <w:rFonts w:asciiTheme="minorHAnsi" w:hAnsiTheme="minorHAnsi" w:cstheme="minorHAnsi"/>
          <w:szCs w:val="24"/>
        </w:rPr>
      </w:pPr>
    </w:p>
    <w:p w:rsidR="000B65C9" w:rsidRDefault="000B65C9" w:rsidP="000B65C9">
      <w:pPr>
        <w:pStyle w:val="Prrafodelista"/>
        <w:jc w:val="both"/>
        <w:rPr>
          <w:rFonts w:asciiTheme="minorHAnsi" w:hAnsiTheme="minorHAnsi" w:cstheme="minorHAnsi"/>
          <w:szCs w:val="24"/>
        </w:rPr>
      </w:pPr>
      <w:r>
        <w:rPr>
          <w:rFonts w:asciiTheme="minorHAnsi" w:hAnsiTheme="minorHAnsi" w:cstheme="minorHAnsi"/>
          <w:szCs w:val="24"/>
        </w:rPr>
        <w:t>Este Consejo</w:t>
      </w:r>
      <w:r w:rsidRPr="0059627A">
        <w:t xml:space="preserve"> </w:t>
      </w:r>
      <w:r w:rsidRPr="0059627A">
        <w:rPr>
          <w:rFonts w:asciiTheme="minorHAnsi" w:hAnsiTheme="minorHAnsi" w:cstheme="minorHAnsi"/>
          <w:szCs w:val="24"/>
        </w:rPr>
        <w:t>viene señalando</w:t>
      </w:r>
      <w:r>
        <w:rPr>
          <w:rFonts w:asciiTheme="minorHAnsi" w:hAnsiTheme="minorHAnsi" w:cstheme="minorHAnsi"/>
          <w:szCs w:val="24"/>
        </w:rPr>
        <w:t xml:space="preserve"> </w:t>
      </w:r>
      <w:r w:rsidRPr="0059627A">
        <w:rPr>
          <w:rFonts w:asciiTheme="minorHAnsi" w:hAnsiTheme="minorHAnsi" w:cstheme="minorHAnsi"/>
          <w:szCs w:val="24"/>
        </w:rPr>
        <w:t xml:space="preserve">que el recurso a fuentes de datos centralizadas para publicar determinadas informaciones obligatorias, además  de las dificultades de accesibilidad a la información para usuarios no familiarizados con estas fuentes, implica un problema adicional. Al estar diseñadas para otros usos generalmente incluyen mucha información no relacionada con las obligaciones en materia de publicidad activa y por el contrario no incluyen otros contenidos que son obligatorios en aplicación de la Ley de Transparencia, Acceso a la Información y Buen </w:t>
      </w:r>
      <w:r w:rsidRPr="0059627A">
        <w:rPr>
          <w:rFonts w:asciiTheme="minorHAnsi" w:hAnsiTheme="minorHAnsi" w:cstheme="minorHAnsi"/>
          <w:szCs w:val="24"/>
        </w:rPr>
        <w:lastRenderedPageBreak/>
        <w:t xml:space="preserve">Gobierno (LTAIBG). Esta circunstancia se da en relación con la remisión al Perfil del Contratante para la publicación de la información relativa a contratación. </w:t>
      </w:r>
    </w:p>
    <w:p w:rsidR="000B65C9" w:rsidRDefault="000B65C9" w:rsidP="000B65C9">
      <w:pPr>
        <w:pStyle w:val="Prrafodelista"/>
        <w:jc w:val="both"/>
        <w:rPr>
          <w:rFonts w:asciiTheme="minorHAnsi" w:hAnsiTheme="minorHAnsi" w:cstheme="minorHAnsi"/>
          <w:szCs w:val="24"/>
        </w:rPr>
      </w:pPr>
    </w:p>
    <w:p w:rsidR="000B65C9" w:rsidRPr="0059627A" w:rsidRDefault="000B65C9" w:rsidP="000B65C9">
      <w:pPr>
        <w:pStyle w:val="Prrafodelista"/>
        <w:jc w:val="both"/>
        <w:rPr>
          <w:rFonts w:asciiTheme="minorHAnsi" w:hAnsiTheme="minorHAnsi" w:cstheme="minorHAnsi"/>
          <w:szCs w:val="24"/>
        </w:rPr>
      </w:pPr>
      <w:r>
        <w:rPr>
          <w:rFonts w:asciiTheme="minorHAnsi" w:hAnsiTheme="minorHAnsi" w:cstheme="minorHAnsi"/>
          <w:szCs w:val="24"/>
        </w:rPr>
        <w:t xml:space="preserve">Uno de estos supuestos se da por ejemplo, en relación con la publicación de la información relativa a las modificaciones de los contratos adjudicados, </w:t>
      </w:r>
      <w:r w:rsidRPr="0059627A">
        <w:rPr>
          <w:rFonts w:asciiTheme="minorHAnsi" w:hAnsiTheme="minorHAnsi" w:cstheme="minorHAnsi"/>
          <w:szCs w:val="24"/>
        </w:rPr>
        <w:t>que constituye una obligación de publicidad activa diferenciada dentro del grupo de obligaciones contratación</w:t>
      </w:r>
      <w:r>
        <w:rPr>
          <w:rFonts w:asciiTheme="minorHAnsi" w:hAnsiTheme="minorHAnsi" w:cstheme="minorHAnsi"/>
          <w:szCs w:val="24"/>
        </w:rPr>
        <w:t xml:space="preserve">. </w:t>
      </w:r>
      <w:r w:rsidRPr="0059627A">
        <w:rPr>
          <w:rFonts w:asciiTheme="minorHAnsi" w:hAnsiTheme="minorHAnsi" w:cstheme="minorHAnsi"/>
          <w:szCs w:val="24"/>
        </w:rPr>
        <w:t xml:space="preserve">La Plataforma de Contratación del Sector Público no incluye las modificaciones de contratos entre los criterios  de búsqueda de licitaciones – si incluye por el contrario, los desistimientos – por lo que para localizar los contratos modificados es preciso abrir los enlaces a cada una de las licitaciones efectuadas para conocer si han sufrido modificaciones. </w:t>
      </w:r>
    </w:p>
    <w:p w:rsidR="000B65C9" w:rsidRPr="0059627A" w:rsidRDefault="000B65C9" w:rsidP="000B65C9">
      <w:pPr>
        <w:pStyle w:val="Prrafodelista"/>
        <w:jc w:val="both"/>
        <w:rPr>
          <w:rFonts w:asciiTheme="minorHAnsi" w:hAnsiTheme="minorHAnsi" w:cstheme="minorHAnsi"/>
          <w:szCs w:val="24"/>
        </w:rPr>
      </w:pPr>
      <w:bookmarkStart w:id="0" w:name="_GoBack"/>
      <w:bookmarkEnd w:id="0"/>
    </w:p>
    <w:p w:rsidR="000B65C9" w:rsidRDefault="000B65C9" w:rsidP="000B65C9">
      <w:pPr>
        <w:pStyle w:val="Prrafodelista"/>
        <w:jc w:val="both"/>
        <w:rPr>
          <w:rFonts w:asciiTheme="minorHAnsi" w:hAnsiTheme="minorHAnsi" w:cstheme="minorHAnsi"/>
          <w:szCs w:val="24"/>
        </w:rPr>
      </w:pPr>
      <w:r w:rsidRPr="0059627A">
        <w:rPr>
          <w:rFonts w:asciiTheme="minorHAnsi" w:hAnsiTheme="minorHAnsi" w:cstheme="minorHAnsi"/>
          <w:szCs w:val="24"/>
        </w:rPr>
        <w:t xml:space="preserve">Por esta razón desde este Consejo se recomienda que para facilitar la accesibilidad y la comprensión de esta información además de enlazar a la fuente centralizada se publiquen cuadros-resumen con todos los contenidos que para cada obligación establece la </w:t>
      </w:r>
      <w:r>
        <w:rPr>
          <w:rFonts w:asciiTheme="minorHAnsi" w:hAnsiTheme="minorHAnsi" w:cstheme="minorHAnsi"/>
          <w:szCs w:val="24"/>
        </w:rPr>
        <w:t xml:space="preserve">LTAIBG. </w:t>
      </w:r>
      <w:r w:rsidRPr="0059627A">
        <w:rPr>
          <w:rFonts w:asciiTheme="minorHAnsi" w:hAnsiTheme="minorHAnsi" w:cstheme="minorHAnsi"/>
          <w:szCs w:val="24"/>
        </w:rPr>
        <w:t xml:space="preserve"> </w:t>
      </w:r>
      <w:r>
        <w:rPr>
          <w:rFonts w:asciiTheme="minorHAnsi" w:hAnsiTheme="minorHAnsi" w:cstheme="minorHAnsi"/>
          <w:szCs w:val="24"/>
        </w:rPr>
        <w:t xml:space="preserve"> </w:t>
      </w:r>
    </w:p>
    <w:p w:rsidR="000B65C9" w:rsidRDefault="000B65C9" w:rsidP="000B65C9">
      <w:pPr>
        <w:pStyle w:val="Prrafodelista"/>
        <w:jc w:val="both"/>
        <w:rPr>
          <w:rFonts w:asciiTheme="minorHAnsi" w:hAnsiTheme="minorHAnsi" w:cstheme="minorHAnsi"/>
          <w:szCs w:val="24"/>
        </w:rPr>
      </w:pPr>
    </w:p>
    <w:p w:rsidR="000B65C9" w:rsidRPr="003D01AF" w:rsidRDefault="000B65C9" w:rsidP="000B65C9">
      <w:pPr>
        <w:pStyle w:val="Prrafodelista"/>
        <w:tabs>
          <w:tab w:val="left" w:pos="284"/>
        </w:tabs>
        <w:spacing w:before="120" w:after="120" w:line="312" w:lineRule="auto"/>
        <w:jc w:val="both"/>
        <w:rPr>
          <w:rFonts w:asciiTheme="minorHAnsi" w:hAnsiTheme="minorHAnsi" w:cstheme="minorHAnsi"/>
          <w:szCs w:val="24"/>
        </w:rPr>
      </w:pPr>
      <w:r w:rsidRPr="003D01AF">
        <w:rPr>
          <w:rFonts w:asciiTheme="minorHAnsi" w:hAnsiTheme="minorHAnsi" w:cstheme="minorHAnsi"/>
          <w:szCs w:val="24"/>
        </w:rPr>
        <w:t xml:space="preserve">No </w:t>
      </w:r>
      <w:r>
        <w:rPr>
          <w:rFonts w:asciiTheme="minorHAnsi" w:hAnsiTheme="minorHAnsi" w:cstheme="minorHAnsi"/>
          <w:szCs w:val="24"/>
        </w:rPr>
        <w:t xml:space="preserve">resulta posible, </w:t>
      </w:r>
      <w:r w:rsidRPr="003D01AF">
        <w:rPr>
          <w:rFonts w:asciiTheme="minorHAnsi" w:hAnsiTheme="minorHAnsi" w:cstheme="minorHAnsi"/>
          <w:szCs w:val="24"/>
        </w:rPr>
        <w:t xml:space="preserve"> por lo tanto</w:t>
      </w:r>
      <w:r>
        <w:rPr>
          <w:rFonts w:asciiTheme="minorHAnsi" w:hAnsiTheme="minorHAnsi" w:cstheme="minorHAnsi"/>
          <w:szCs w:val="24"/>
        </w:rPr>
        <w:t>,</w:t>
      </w:r>
      <w:r w:rsidRPr="003D01AF">
        <w:rPr>
          <w:rFonts w:asciiTheme="minorHAnsi" w:hAnsiTheme="minorHAnsi" w:cstheme="minorHAnsi"/>
          <w:szCs w:val="24"/>
        </w:rPr>
        <w:t xml:space="preserve"> aceptar la observación efectuada </w:t>
      </w:r>
      <w:r>
        <w:rPr>
          <w:rFonts w:asciiTheme="minorHAnsi" w:hAnsiTheme="minorHAnsi" w:cstheme="minorHAnsi"/>
          <w:szCs w:val="24"/>
        </w:rPr>
        <w:t>por SEIASA</w:t>
      </w:r>
      <w:r w:rsidRPr="003D01AF">
        <w:rPr>
          <w:rFonts w:asciiTheme="minorHAnsi" w:hAnsiTheme="minorHAnsi" w:cstheme="minorHAnsi"/>
          <w:szCs w:val="24"/>
        </w:rPr>
        <w:t>.</w:t>
      </w:r>
    </w:p>
    <w:p w:rsidR="000B65C9" w:rsidRDefault="000B65C9" w:rsidP="000B65C9">
      <w:pPr>
        <w:pStyle w:val="Prrafodelista"/>
        <w:jc w:val="both"/>
        <w:rPr>
          <w:rFonts w:asciiTheme="minorHAnsi" w:hAnsiTheme="minorHAnsi" w:cstheme="minorHAnsi"/>
          <w:szCs w:val="24"/>
        </w:rPr>
      </w:pPr>
    </w:p>
    <w:p w:rsidR="000B65C9" w:rsidRPr="00777715" w:rsidRDefault="000B65C9" w:rsidP="009D0833">
      <w:pPr>
        <w:pStyle w:val="Prrafodelista"/>
        <w:tabs>
          <w:tab w:val="left" w:pos="284"/>
        </w:tabs>
        <w:spacing w:before="120" w:after="120" w:line="312" w:lineRule="auto"/>
        <w:ind w:left="1485"/>
        <w:jc w:val="both"/>
        <w:rPr>
          <w:rFonts w:asciiTheme="minorHAnsi" w:hAnsiTheme="minorHAnsi" w:cstheme="minorHAnsi"/>
          <w:szCs w:val="24"/>
        </w:rPr>
      </w:pPr>
    </w:p>
    <w:p w:rsidR="00194E05" w:rsidRDefault="003D0DAF" w:rsidP="00194E05">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Este Consejo valora muy positivamente la </w:t>
      </w:r>
      <w:r w:rsidR="00D239A9">
        <w:rPr>
          <w:rFonts w:asciiTheme="minorHAnsi" w:hAnsiTheme="minorHAnsi" w:cstheme="minorHAnsi"/>
          <w:szCs w:val="24"/>
        </w:rPr>
        <w:t xml:space="preserve">disposición </w:t>
      </w:r>
      <w:r w:rsidR="00A20C7C">
        <w:rPr>
          <w:rFonts w:asciiTheme="minorHAnsi" w:hAnsiTheme="minorHAnsi" w:cstheme="minorHAnsi"/>
          <w:szCs w:val="24"/>
        </w:rPr>
        <w:t xml:space="preserve">de </w:t>
      </w:r>
      <w:r w:rsidR="000B65C9">
        <w:rPr>
          <w:rFonts w:asciiTheme="minorHAnsi" w:hAnsiTheme="minorHAnsi" w:cstheme="minorHAnsi"/>
          <w:szCs w:val="24"/>
        </w:rPr>
        <w:t>SEIASA</w:t>
      </w:r>
      <w:r w:rsidR="00A20C7C">
        <w:rPr>
          <w:rFonts w:asciiTheme="minorHAnsi" w:hAnsiTheme="minorHAnsi" w:cstheme="minorHAnsi"/>
          <w:szCs w:val="24"/>
        </w:rPr>
        <w:t xml:space="preserve"> </w:t>
      </w:r>
      <w:r w:rsidR="00D239A9">
        <w:rPr>
          <w:rFonts w:asciiTheme="minorHAnsi" w:hAnsiTheme="minorHAnsi" w:cstheme="minorHAnsi"/>
          <w:szCs w:val="24"/>
        </w:rPr>
        <w:t xml:space="preserve">a </w:t>
      </w:r>
      <w:r w:rsidR="005767F7" w:rsidRPr="005767F7">
        <w:rPr>
          <w:rFonts w:asciiTheme="minorHAnsi" w:hAnsiTheme="minorHAnsi" w:cstheme="minorHAnsi"/>
          <w:szCs w:val="24"/>
        </w:rPr>
        <w:t>aplica</w:t>
      </w:r>
      <w:r w:rsidR="00D239A9">
        <w:rPr>
          <w:rFonts w:asciiTheme="minorHAnsi" w:hAnsiTheme="minorHAnsi" w:cstheme="minorHAnsi"/>
          <w:szCs w:val="24"/>
        </w:rPr>
        <w:t>r</w:t>
      </w:r>
      <w:r w:rsidR="005767F7" w:rsidRPr="005767F7">
        <w:rPr>
          <w:rFonts w:asciiTheme="minorHAnsi" w:hAnsiTheme="minorHAnsi" w:cstheme="minorHAnsi"/>
          <w:szCs w:val="24"/>
        </w:rPr>
        <w:t xml:space="preserve"> las recomendaciones </w:t>
      </w:r>
      <w:r w:rsidR="00D239A9">
        <w:rPr>
          <w:rFonts w:asciiTheme="minorHAnsi" w:hAnsiTheme="minorHAnsi" w:cstheme="minorHAnsi"/>
          <w:szCs w:val="24"/>
        </w:rPr>
        <w:t xml:space="preserve">derivadas de la evaluación, lo que redundará en un mayor nivel de cumplimiento, </w:t>
      </w:r>
      <w:r w:rsidR="005767F7" w:rsidRPr="005767F7">
        <w:rPr>
          <w:rFonts w:asciiTheme="minorHAnsi" w:hAnsiTheme="minorHAnsi" w:cstheme="minorHAnsi"/>
          <w:szCs w:val="24"/>
        </w:rPr>
        <w:t>cuando en 2022 se efectúe por parte de este Consejo un seguimiento de la aplicación de las recomendaciones efectuadas.</w:t>
      </w:r>
    </w:p>
    <w:p w:rsidR="0045134F" w:rsidRPr="00194E05" w:rsidRDefault="0045134F" w:rsidP="00194E05">
      <w:pPr>
        <w:pStyle w:val="Prrafodelista"/>
        <w:tabs>
          <w:tab w:val="left" w:pos="284"/>
        </w:tabs>
        <w:spacing w:before="120" w:after="120" w:line="312" w:lineRule="auto"/>
        <w:jc w:val="both"/>
        <w:rPr>
          <w:rFonts w:asciiTheme="minorHAnsi" w:hAnsiTheme="minorHAnsi" w:cstheme="minorHAnsi"/>
          <w:szCs w:val="24"/>
        </w:rPr>
      </w:pPr>
    </w:p>
    <w:p w:rsidR="006F17B5" w:rsidRPr="002C000A" w:rsidRDefault="006F17B5" w:rsidP="009557B1">
      <w:pPr>
        <w:autoSpaceDE w:val="0"/>
        <w:autoSpaceDN w:val="0"/>
        <w:adjustRightInd w:val="0"/>
        <w:spacing w:after="0"/>
        <w:jc w:val="right"/>
        <w:rPr>
          <w:szCs w:val="24"/>
        </w:rPr>
      </w:pPr>
      <w:r w:rsidRPr="002C000A">
        <w:rPr>
          <w:rFonts w:asciiTheme="minorHAnsi" w:hAnsiTheme="minorHAnsi" w:cstheme="minorHAnsi"/>
          <w:szCs w:val="24"/>
        </w:rPr>
        <w:t xml:space="preserve">Madrid, </w:t>
      </w:r>
      <w:r w:rsidR="00962C57">
        <w:rPr>
          <w:rFonts w:asciiTheme="minorHAnsi" w:hAnsiTheme="minorHAnsi" w:cstheme="minorHAnsi"/>
          <w:szCs w:val="24"/>
        </w:rPr>
        <w:t>agosto</w:t>
      </w:r>
      <w:r w:rsidRPr="002C000A">
        <w:rPr>
          <w:rFonts w:asciiTheme="minorHAnsi" w:hAnsiTheme="minorHAnsi" w:cstheme="minorHAnsi"/>
          <w:szCs w:val="24"/>
        </w:rPr>
        <w:t xml:space="preserve"> de 202</w:t>
      </w:r>
      <w:r w:rsidR="00D44E9D">
        <w:rPr>
          <w:rFonts w:asciiTheme="minorHAnsi" w:hAnsiTheme="minorHAnsi" w:cstheme="minorHAnsi"/>
          <w:szCs w:val="24"/>
        </w:rPr>
        <w:t>1</w:t>
      </w:r>
    </w:p>
    <w:sectPr w:rsidR="006F17B5" w:rsidRPr="002C000A" w:rsidSect="009E16B5">
      <w:headerReference w:type="default" r:id="rId9"/>
      <w:footerReference w:type="default" r:id="rId10"/>
      <w:headerReference w:type="first" r:id="rId11"/>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67A" w:rsidRDefault="00FC767A" w:rsidP="00344FE7">
      <w:pPr>
        <w:spacing w:after="0" w:line="240" w:lineRule="auto"/>
      </w:pPr>
      <w:r>
        <w:separator/>
      </w:r>
    </w:p>
  </w:endnote>
  <w:endnote w:type="continuationSeparator" w:id="0">
    <w:p w:rsidR="00FC767A" w:rsidRDefault="00FC767A"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30167"/>
      <w:docPartObj>
        <w:docPartGallery w:val="Page Numbers (Bottom of Page)"/>
        <w:docPartUnique/>
      </w:docPartObj>
    </w:sdtPr>
    <w:sdtEndPr>
      <w:rPr>
        <w:sz w:val="20"/>
        <w:szCs w:val="20"/>
      </w:rPr>
    </w:sdtEndPr>
    <w:sdtContent>
      <w:p w:rsidR="00FC767A" w:rsidRPr="00C23F36" w:rsidRDefault="00FC767A"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0B65C9">
          <w:rPr>
            <w:noProof/>
            <w:sz w:val="20"/>
            <w:szCs w:val="20"/>
          </w:rPr>
          <w:t>3</w:t>
        </w:r>
        <w:r w:rsidRPr="00C23F3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67A" w:rsidRDefault="00FC767A" w:rsidP="00344FE7">
      <w:pPr>
        <w:spacing w:after="0" w:line="240" w:lineRule="auto"/>
      </w:pPr>
      <w:r>
        <w:separator/>
      </w:r>
    </w:p>
  </w:footnote>
  <w:footnote w:type="continuationSeparator" w:id="0">
    <w:p w:rsidR="00FC767A" w:rsidRDefault="00FC767A" w:rsidP="00344F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67A" w:rsidRDefault="00FC767A">
    <w:pPr>
      <w:pStyle w:val="Encabezado"/>
    </w:pPr>
    <w:r>
      <w:rPr>
        <w:noProof/>
        <w:lang w:eastAsia="es-ES"/>
      </w:rPr>
      <w:drawing>
        <wp:anchor distT="0" distB="0" distL="0" distR="0" simplePos="0" relativeHeight="251670528" behindDoc="0" locked="0" layoutInCell="1" allowOverlap="0" wp14:anchorId="637F25F9" wp14:editId="1FE0AF88">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rsidR="00FC767A" w:rsidRDefault="00FC767A">
    <w:pPr>
      <w:pStyle w:val="Encabezado"/>
    </w:pPr>
  </w:p>
  <w:p w:rsidR="00FC767A" w:rsidRDefault="00FC767A" w:rsidP="00344FE7">
    <w:pPr>
      <w:pStyle w:val="Encabezado"/>
    </w:pPr>
  </w:p>
  <w:p w:rsidR="00FC767A" w:rsidRDefault="00FC767A" w:rsidP="00344FE7">
    <w:pPr>
      <w:pStyle w:val="Encabezado"/>
    </w:pPr>
  </w:p>
  <w:p w:rsidR="00FC767A" w:rsidRDefault="00FC767A" w:rsidP="00344FE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67A" w:rsidRDefault="00FC767A" w:rsidP="006F5890">
    <w:pPr>
      <w:jc w:val="right"/>
      <w:rPr>
        <w:noProof/>
        <w:lang w:eastAsia="es-ES"/>
      </w:rPr>
    </w:pPr>
    <w:r>
      <w:rPr>
        <w:noProof/>
        <w:lang w:eastAsia="es-ES"/>
      </w:rPr>
      <w:drawing>
        <wp:anchor distT="0" distB="0" distL="0" distR="0" simplePos="0" relativeHeight="251668480" behindDoc="0" locked="0" layoutInCell="1" allowOverlap="0" wp14:anchorId="09BAAF01" wp14:editId="59D86E7C">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14:anchorId="5F1382EE" wp14:editId="0A92D648">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37" type="#_x0000_t75" style="width:11.25pt;height:11.25pt" o:bullet="t">
        <v:imagedata r:id="rId1" o:title="BD14529_"/>
      </v:shape>
    </w:pict>
  </w:numPicBullet>
  <w:numPicBullet w:numPicBulletId="1">
    <w:pict>
      <v:shape id="_x0000_i1338" type="#_x0000_t75" style="width:9pt;height:9pt" o:bullet="t">
        <v:imagedata r:id="rId2" o:title="BD14533_"/>
      </v:shape>
    </w:pict>
  </w:numPicBullet>
  <w:abstractNum w:abstractNumId="0">
    <w:nsid w:val="052E71E7"/>
    <w:multiLevelType w:val="hybridMultilevel"/>
    <w:tmpl w:val="FDCADDE0"/>
    <w:lvl w:ilvl="0" w:tplc="AA644D84">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8025478"/>
    <w:multiLevelType w:val="hybridMultilevel"/>
    <w:tmpl w:val="0B4E1BE4"/>
    <w:lvl w:ilvl="0" w:tplc="C572239A">
      <w:start w:val="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AF470B2"/>
    <w:multiLevelType w:val="hybridMultilevel"/>
    <w:tmpl w:val="D3B44758"/>
    <w:lvl w:ilvl="0" w:tplc="7EAAE422">
      <w:start w:val="5"/>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DC70A71"/>
    <w:multiLevelType w:val="hybridMultilevel"/>
    <w:tmpl w:val="09DA4C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14A4CA9"/>
    <w:multiLevelType w:val="hybridMultilevel"/>
    <w:tmpl w:val="D4A41BB2"/>
    <w:lvl w:ilvl="0" w:tplc="B7C2270E">
      <w:start w:val="1"/>
      <w:numFmt w:val="bullet"/>
      <w:lvlText w:val=""/>
      <w:lvlPicBulletId w:val="1"/>
      <w:lvlJc w:val="left"/>
      <w:pPr>
        <w:ind w:left="1485" w:hanging="360"/>
      </w:pPr>
      <w:rPr>
        <w:rFonts w:ascii="Symbol" w:hAnsi="Symbol" w:hint="default"/>
        <w:color w:val="auto"/>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7">
    <w:nsid w:val="29247EBB"/>
    <w:multiLevelType w:val="hybridMultilevel"/>
    <w:tmpl w:val="966ADC70"/>
    <w:lvl w:ilvl="0" w:tplc="3A74F28C">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A9F4ACC"/>
    <w:multiLevelType w:val="hybridMultilevel"/>
    <w:tmpl w:val="ACA4A2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3E35655"/>
    <w:multiLevelType w:val="hybridMultilevel"/>
    <w:tmpl w:val="6ABAFFF4"/>
    <w:lvl w:ilvl="0" w:tplc="6BF4C862">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nsid w:val="58DD5AB9"/>
    <w:multiLevelType w:val="hybridMultilevel"/>
    <w:tmpl w:val="862E12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nsid w:val="684F6B2D"/>
    <w:multiLevelType w:val="hybridMultilevel"/>
    <w:tmpl w:val="F8BAAD1C"/>
    <w:lvl w:ilvl="0" w:tplc="0C0A0001">
      <w:start w:val="1"/>
      <w:numFmt w:val="bullet"/>
      <w:lvlText w:val=""/>
      <w:lvlJc w:val="left"/>
      <w:pPr>
        <w:ind w:left="773" w:hanging="360"/>
      </w:pPr>
      <w:rPr>
        <w:rFonts w:ascii="Symbol" w:hAnsi="Symbol" w:hint="default"/>
      </w:rPr>
    </w:lvl>
    <w:lvl w:ilvl="1" w:tplc="0C0A0003">
      <w:start w:val="1"/>
      <w:numFmt w:val="bullet"/>
      <w:lvlText w:val="o"/>
      <w:lvlJc w:val="left"/>
      <w:pPr>
        <w:ind w:left="1493" w:hanging="360"/>
      </w:pPr>
      <w:rPr>
        <w:rFonts w:ascii="Courier New" w:hAnsi="Courier New" w:cs="Courier New" w:hint="default"/>
      </w:rPr>
    </w:lvl>
    <w:lvl w:ilvl="2" w:tplc="0C0A0005">
      <w:start w:val="1"/>
      <w:numFmt w:val="bullet"/>
      <w:lvlText w:val=""/>
      <w:lvlJc w:val="left"/>
      <w:pPr>
        <w:ind w:left="2213" w:hanging="360"/>
      </w:pPr>
      <w:rPr>
        <w:rFonts w:ascii="Wingdings" w:hAnsi="Wingdings" w:hint="default"/>
      </w:rPr>
    </w:lvl>
    <w:lvl w:ilvl="3" w:tplc="0C0A0001">
      <w:start w:val="1"/>
      <w:numFmt w:val="bullet"/>
      <w:lvlText w:val=""/>
      <w:lvlJc w:val="left"/>
      <w:pPr>
        <w:ind w:left="2933" w:hanging="360"/>
      </w:pPr>
      <w:rPr>
        <w:rFonts w:ascii="Symbol" w:hAnsi="Symbol" w:hint="default"/>
      </w:rPr>
    </w:lvl>
    <w:lvl w:ilvl="4" w:tplc="0C0A0003">
      <w:start w:val="1"/>
      <w:numFmt w:val="bullet"/>
      <w:lvlText w:val="o"/>
      <w:lvlJc w:val="left"/>
      <w:pPr>
        <w:ind w:left="3653" w:hanging="360"/>
      </w:pPr>
      <w:rPr>
        <w:rFonts w:ascii="Courier New" w:hAnsi="Courier New" w:cs="Courier New" w:hint="default"/>
      </w:rPr>
    </w:lvl>
    <w:lvl w:ilvl="5" w:tplc="0C0A0005">
      <w:start w:val="1"/>
      <w:numFmt w:val="bullet"/>
      <w:lvlText w:val=""/>
      <w:lvlJc w:val="left"/>
      <w:pPr>
        <w:ind w:left="4373" w:hanging="360"/>
      </w:pPr>
      <w:rPr>
        <w:rFonts w:ascii="Wingdings" w:hAnsi="Wingdings" w:hint="default"/>
      </w:rPr>
    </w:lvl>
    <w:lvl w:ilvl="6" w:tplc="0C0A0001">
      <w:start w:val="1"/>
      <w:numFmt w:val="bullet"/>
      <w:lvlText w:val=""/>
      <w:lvlJc w:val="left"/>
      <w:pPr>
        <w:ind w:left="5093" w:hanging="360"/>
      </w:pPr>
      <w:rPr>
        <w:rFonts w:ascii="Symbol" w:hAnsi="Symbol" w:hint="default"/>
      </w:rPr>
    </w:lvl>
    <w:lvl w:ilvl="7" w:tplc="0C0A0003">
      <w:start w:val="1"/>
      <w:numFmt w:val="bullet"/>
      <w:lvlText w:val="o"/>
      <w:lvlJc w:val="left"/>
      <w:pPr>
        <w:ind w:left="5813" w:hanging="360"/>
      </w:pPr>
      <w:rPr>
        <w:rFonts w:ascii="Courier New" w:hAnsi="Courier New" w:cs="Courier New" w:hint="default"/>
      </w:rPr>
    </w:lvl>
    <w:lvl w:ilvl="8" w:tplc="0C0A0005">
      <w:start w:val="1"/>
      <w:numFmt w:val="bullet"/>
      <w:lvlText w:val=""/>
      <w:lvlJc w:val="left"/>
      <w:pPr>
        <w:ind w:left="6533" w:hanging="360"/>
      </w:pPr>
      <w:rPr>
        <w:rFonts w:ascii="Wingdings" w:hAnsi="Wingdings" w:hint="default"/>
      </w:rPr>
    </w:lvl>
  </w:abstractNum>
  <w:abstractNum w:abstractNumId="13">
    <w:nsid w:val="73316104"/>
    <w:multiLevelType w:val="hybridMultilevel"/>
    <w:tmpl w:val="DF2E841A"/>
    <w:lvl w:ilvl="0" w:tplc="AD02D5A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2"/>
  </w:num>
  <w:num w:numId="5">
    <w:abstractNumId w:val="5"/>
  </w:num>
  <w:num w:numId="6">
    <w:abstractNumId w:val="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
  </w:num>
  <w:num w:numId="10">
    <w:abstractNumId w:val="0"/>
  </w:num>
  <w:num w:numId="11">
    <w:abstractNumId w:val="13"/>
  </w:num>
  <w:num w:numId="12">
    <w:abstractNumId w:val="6"/>
  </w:num>
  <w:num w:numId="13">
    <w:abstractNumId w:val="2"/>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FE7"/>
    <w:rsid w:val="00014882"/>
    <w:rsid w:val="000234B9"/>
    <w:rsid w:val="000324D2"/>
    <w:rsid w:val="00033E75"/>
    <w:rsid w:val="00036A5D"/>
    <w:rsid w:val="00074030"/>
    <w:rsid w:val="000B65C9"/>
    <w:rsid w:val="001257F9"/>
    <w:rsid w:val="0014196C"/>
    <w:rsid w:val="001620F0"/>
    <w:rsid w:val="001750A8"/>
    <w:rsid w:val="00175D6C"/>
    <w:rsid w:val="0018324C"/>
    <w:rsid w:val="00194E05"/>
    <w:rsid w:val="001B02FE"/>
    <w:rsid w:val="001B16D9"/>
    <w:rsid w:val="001E44BC"/>
    <w:rsid w:val="00226CA0"/>
    <w:rsid w:val="00235A40"/>
    <w:rsid w:val="00251194"/>
    <w:rsid w:val="00292806"/>
    <w:rsid w:val="002A4771"/>
    <w:rsid w:val="002C000A"/>
    <w:rsid w:val="002F2730"/>
    <w:rsid w:val="002F5D0B"/>
    <w:rsid w:val="003259B9"/>
    <w:rsid w:val="00344FE7"/>
    <w:rsid w:val="00351475"/>
    <w:rsid w:val="00364215"/>
    <w:rsid w:val="003656B1"/>
    <w:rsid w:val="003B5DE7"/>
    <w:rsid w:val="003D01AF"/>
    <w:rsid w:val="003D0DAF"/>
    <w:rsid w:val="003F0972"/>
    <w:rsid w:val="003F38BD"/>
    <w:rsid w:val="004108BB"/>
    <w:rsid w:val="00434AE3"/>
    <w:rsid w:val="0045134F"/>
    <w:rsid w:val="004B15B8"/>
    <w:rsid w:val="004D4EF1"/>
    <w:rsid w:val="00532B7B"/>
    <w:rsid w:val="005767F7"/>
    <w:rsid w:val="005B1C12"/>
    <w:rsid w:val="005E3D42"/>
    <w:rsid w:val="00614890"/>
    <w:rsid w:val="006C0214"/>
    <w:rsid w:val="006F17B5"/>
    <w:rsid w:val="006F5890"/>
    <w:rsid w:val="0071472F"/>
    <w:rsid w:val="007342F2"/>
    <w:rsid w:val="007467AA"/>
    <w:rsid w:val="007615EB"/>
    <w:rsid w:val="00777715"/>
    <w:rsid w:val="007A662D"/>
    <w:rsid w:val="007B024C"/>
    <w:rsid w:val="007B2862"/>
    <w:rsid w:val="007C00E5"/>
    <w:rsid w:val="007C0642"/>
    <w:rsid w:val="007C1C6F"/>
    <w:rsid w:val="007D24E2"/>
    <w:rsid w:val="00815DA2"/>
    <w:rsid w:val="00855ECA"/>
    <w:rsid w:val="0089717A"/>
    <w:rsid w:val="008B79BD"/>
    <w:rsid w:val="00901F1F"/>
    <w:rsid w:val="009029E0"/>
    <w:rsid w:val="00904540"/>
    <w:rsid w:val="009557B1"/>
    <w:rsid w:val="00962C57"/>
    <w:rsid w:val="009B753B"/>
    <w:rsid w:val="009B7ADA"/>
    <w:rsid w:val="009C2E55"/>
    <w:rsid w:val="009D0833"/>
    <w:rsid w:val="009D2560"/>
    <w:rsid w:val="009D6677"/>
    <w:rsid w:val="009E16B5"/>
    <w:rsid w:val="009E30AA"/>
    <w:rsid w:val="009E35FF"/>
    <w:rsid w:val="00A20C7C"/>
    <w:rsid w:val="00A24192"/>
    <w:rsid w:val="00A26523"/>
    <w:rsid w:val="00A603C7"/>
    <w:rsid w:val="00A62936"/>
    <w:rsid w:val="00A802F7"/>
    <w:rsid w:val="00AE5BF4"/>
    <w:rsid w:val="00AF4D45"/>
    <w:rsid w:val="00AF5C68"/>
    <w:rsid w:val="00B2797F"/>
    <w:rsid w:val="00B31F84"/>
    <w:rsid w:val="00B35A53"/>
    <w:rsid w:val="00B75881"/>
    <w:rsid w:val="00B81EE6"/>
    <w:rsid w:val="00BC7A82"/>
    <w:rsid w:val="00C01613"/>
    <w:rsid w:val="00C0201F"/>
    <w:rsid w:val="00C05003"/>
    <w:rsid w:val="00C119CE"/>
    <w:rsid w:val="00C23F36"/>
    <w:rsid w:val="00C305B6"/>
    <w:rsid w:val="00C3135F"/>
    <w:rsid w:val="00C736B9"/>
    <w:rsid w:val="00C74DA9"/>
    <w:rsid w:val="00C82AB2"/>
    <w:rsid w:val="00C87BC3"/>
    <w:rsid w:val="00C94C61"/>
    <w:rsid w:val="00CF0704"/>
    <w:rsid w:val="00CF150D"/>
    <w:rsid w:val="00D23111"/>
    <w:rsid w:val="00D239A9"/>
    <w:rsid w:val="00D445A4"/>
    <w:rsid w:val="00D44E9D"/>
    <w:rsid w:val="00D72EF9"/>
    <w:rsid w:val="00DB21EC"/>
    <w:rsid w:val="00DB2CB4"/>
    <w:rsid w:val="00DB2CCC"/>
    <w:rsid w:val="00DD07B5"/>
    <w:rsid w:val="00DF5982"/>
    <w:rsid w:val="00E03C82"/>
    <w:rsid w:val="00E35741"/>
    <w:rsid w:val="00E4386D"/>
    <w:rsid w:val="00E43D90"/>
    <w:rsid w:val="00E5135F"/>
    <w:rsid w:val="00E64F85"/>
    <w:rsid w:val="00E90B21"/>
    <w:rsid w:val="00EB7058"/>
    <w:rsid w:val="00EC3AAE"/>
    <w:rsid w:val="00ED6FD3"/>
    <w:rsid w:val="00EF5F68"/>
    <w:rsid w:val="00F17B00"/>
    <w:rsid w:val="00F5121D"/>
    <w:rsid w:val="00F777C2"/>
    <w:rsid w:val="00F82E72"/>
    <w:rsid w:val="00FC767A"/>
    <w:rsid w:val="00FD4B61"/>
    <w:rsid w:val="00FD6D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comentario">
    <w:name w:val="annotation reference"/>
    <w:basedOn w:val="Fuentedeprrafopredeter"/>
    <w:uiPriority w:val="99"/>
    <w:semiHidden/>
    <w:unhideWhenUsed/>
    <w:rsid w:val="00A802F7"/>
    <w:rPr>
      <w:sz w:val="16"/>
      <w:szCs w:val="16"/>
    </w:rPr>
  </w:style>
  <w:style w:type="paragraph" w:styleId="Textocomentario">
    <w:name w:val="annotation text"/>
    <w:basedOn w:val="Normal"/>
    <w:link w:val="TextocomentarioCar"/>
    <w:uiPriority w:val="99"/>
    <w:semiHidden/>
    <w:unhideWhenUsed/>
    <w:rsid w:val="00A802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02F7"/>
    <w:rPr>
      <w:sz w:val="20"/>
      <w:szCs w:val="20"/>
    </w:rPr>
  </w:style>
  <w:style w:type="paragraph" w:styleId="Asuntodelcomentario">
    <w:name w:val="annotation subject"/>
    <w:basedOn w:val="Textocomentario"/>
    <w:next w:val="Textocomentario"/>
    <w:link w:val="AsuntodelcomentarioCar"/>
    <w:uiPriority w:val="99"/>
    <w:semiHidden/>
    <w:unhideWhenUsed/>
    <w:rsid w:val="00A802F7"/>
    <w:rPr>
      <w:b/>
      <w:bCs/>
    </w:rPr>
  </w:style>
  <w:style w:type="character" w:customStyle="1" w:styleId="AsuntodelcomentarioCar">
    <w:name w:val="Asunto del comentario Car"/>
    <w:basedOn w:val="TextocomentarioCar"/>
    <w:link w:val="Asuntodelcomentario"/>
    <w:uiPriority w:val="99"/>
    <w:semiHidden/>
    <w:rsid w:val="00A802F7"/>
    <w:rPr>
      <w:b/>
      <w:bCs/>
      <w:sz w:val="20"/>
      <w:szCs w:val="20"/>
    </w:rPr>
  </w:style>
  <w:style w:type="character" w:styleId="Refdenotaalpie">
    <w:name w:val="footnote reference"/>
    <w:basedOn w:val="Fuentedeprrafopredeter"/>
    <w:uiPriority w:val="99"/>
    <w:semiHidden/>
    <w:unhideWhenUsed/>
    <w:rsid w:val="009D083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comentario">
    <w:name w:val="annotation reference"/>
    <w:basedOn w:val="Fuentedeprrafopredeter"/>
    <w:uiPriority w:val="99"/>
    <w:semiHidden/>
    <w:unhideWhenUsed/>
    <w:rsid w:val="00A802F7"/>
    <w:rPr>
      <w:sz w:val="16"/>
      <w:szCs w:val="16"/>
    </w:rPr>
  </w:style>
  <w:style w:type="paragraph" w:styleId="Textocomentario">
    <w:name w:val="annotation text"/>
    <w:basedOn w:val="Normal"/>
    <w:link w:val="TextocomentarioCar"/>
    <w:uiPriority w:val="99"/>
    <w:semiHidden/>
    <w:unhideWhenUsed/>
    <w:rsid w:val="00A802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02F7"/>
    <w:rPr>
      <w:sz w:val="20"/>
      <w:szCs w:val="20"/>
    </w:rPr>
  </w:style>
  <w:style w:type="paragraph" w:styleId="Asuntodelcomentario">
    <w:name w:val="annotation subject"/>
    <w:basedOn w:val="Textocomentario"/>
    <w:next w:val="Textocomentario"/>
    <w:link w:val="AsuntodelcomentarioCar"/>
    <w:uiPriority w:val="99"/>
    <w:semiHidden/>
    <w:unhideWhenUsed/>
    <w:rsid w:val="00A802F7"/>
    <w:rPr>
      <w:b/>
      <w:bCs/>
    </w:rPr>
  </w:style>
  <w:style w:type="character" w:customStyle="1" w:styleId="AsuntodelcomentarioCar">
    <w:name w:val="Asunto del comentario Car"/>
    <w:basedOn w:val="TextocomentarioCar"/>
    <w:link w:val="Asuntodelcomentario"/>
    <w:uiPriority w:val="99"/>
    <w:semiHidden/>
    <w:rsid w:val="00A802F7"/>
    <w:rPr>
      <w:b/>
      <w:bCs/>
      <w:sz w:val="20"/>
      <w:szCs w:val="20"/>
    </w:rPr>
  </w:style>
  <w:style w:type="character" w:styleId="Refdenotaalpie">
    <w:name w:val="footnote reference"/>
    <w:basedOn w:val="Fuentedeprrafopredeter"/>
    <w:uiPriority w:val="99"/>
    <w:semiHidden/>
    <w:unhideWhenUsed/>
    <w:rsid w:val="009D08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633407">
      <w:bodyDiv w:val="1"/>
      <w:marLeft w:val="0"/>
      <w:marRight w:val="0"/>
      <w:marTop w:val="0"/>
      <w:marBottom w:val="0"/>
      <w:divBdr>
        <w:top w:val="none" w:sz="0" w:space="0" w:color="auto"/>
        <w:left w:val="none" w:sz="0" w:space="0" w:color="auto"/>
        <w:bottom w:val="none" w:sz="0" w:space="0" w:color="auto"/>
        <w:right w:val="none" w:sz="0" w:space="0" w:color="auto"/>
      </w:divBdr>
    </w:div>
    <w:div w:id="805973587">
      <w:bodyDiv w:val="1"/>
      <w:marLeft w:val="0"/>
      <w:marRight w:val="0"/>
      <w:marTop w:val="0"/>
      <w:marBottom w:val="0"/>
      <w:divBdr>
        <w:top w:val="none" w:sz="0" w:space="0" w:color="auto"/>
        <w:left w:val="none" w:sz="0" w:space="0" w:color="auto"/>
        <w:bottom w:val="none" w:sz="0" w:space="0" w:color="auto"/>
        <w:right w:val="none" w:sz="0" w:space="0" w:color="auto"/>
      </w:divBdr>
    </w:div>
    <w:div w:id="18176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9E228-04E2-4CFC-A00C-6AFA2AD81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Pages>
  <Words>922</Words>
  <Characters>5074</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5985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anam.ruiz</cp:lastModifiedBy>
  <cp:revision>3</cp:revision>
  <cp:lastPrinted>2015-01-27T17:42:00Z</cp:lastPrinted>
  <dcterms:created xsi:type="dcterms:W3CDTF">2021-08-18T11:30:00Z</dcterms:created>
  <dcterms:modified xsi:type="dcterms:W3CDTF">2021-08-19T07:45:00Z</dcterms:modified>
</cp:coreProperties>
</file>