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3E4B16">
        <w:rPr>
          <w:color w:val="6BA999"/>
        </w:rPr>
        <w:t>SEPES</w:t>
      </w:r>
      <w:r w:rsidR="00E12651">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B2862">
        <w:rPr>
          <w:rFonts w:asciiTheme="minorHAnsi" w:hAnsiTheme="minorHAnsi" w:cstheme="minorHAnsi"/>
          <w:szCs w:val="24"/>
        </w:rPr>
        <w:t>1</w:t>
      </w:r>
      <w:r w:rsidR="003E4B16">
        <w:rPr>
          <w:rFonts w:asciiTheme="minorHAnsi" w:hAnsiTheme="minorHAnsi" w:cstheme="minorHAnsi"/>
          <w:szCs w:val="24"/>
        </w:rPr>
        <w:t>3</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 xml:space="preserve">En relación con </w:t>
      </w:r>
      <w:r w:rsidR="00553196">
        <w:rPr>
          <w:rFonts w:asciiTheme="minorHAnsi" w:hAnsiTheme="minorHAnsi" w:cstheme="minorHAnsi"/>
          <w:b/>
          <w:szCs w:val="24"/>
        </w:rPr>
        <w:t>el</w:t>
      </w:r>
      <w:r w:rsidR="002445EA">
        <w:rPr>
          <w:rFonts w:asciiTheme="minorHAnsi" w:hAnsiTheme="minorHAnsi" w:cstheme="minorHAnsi"/>
          <w:b/>
          <w:szCs w:val="24"/>
        </w:rPr>
        <w:t xml:space="preserve"> error en el cálculo de los índices de cumplimiento de la información obligatoria</w:t>
      </w:r>
      <w:r w:rsidRPr="00532B7B">
        <w:rPr>
          <w:rFonts w:asciiTheme="minorHAnsi" w:hAnsiTheme="minorHAnsi" w:cstheme="minorHAnsi"/>
          <w:b/>
          <w:szCs w:val="24"/>
        </w:rPr>
        <w:t>.</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3C756A" w:rsidRDefault="002445E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SEPES en sus observaciones que los Índices parciales y global de cumplimiento de la información obligatoria son erróneos y que el nivel de cumplimiento que habría alcanzado SEPES sería del 87,37 y no del 81%. Sin embargo, SEPES parte de una apreciación errónea que es que los índices de Cumplimiento Global, tanto los correspondientes a cada uno de los atributos evaluados como al total, son la media aritmética de los índices de cumplimiento correspondientes a cada uno de los bloques de obligaciones. </w:t>
      </w: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7678DD" w:rsidRDefault="002445E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El ICIO no se calcula de esta manera ya que cada bloque de obligaciones contempla un número diferente de informaciones obligatorias, tiene</w:t>
      </w:r>
      <w:r w:rsidR="00553196">
        <w:rPr>
          <w:rFonts w:asciiTheme="minorHAnsi" w:hAnsiTheme="minorHAnsi" w:cstheme="minorHAnsi"/>
          <w:szCs w:val="24"/>
        </w:rPr>
        <w:t xml:space="preserve">, por lo tanto, </w:t>
      </w:r>
      <w:r>
        <w:rPr>
          <w:rFonts w:asciiTheme="minorHAnsi" w:hAnsiTheme="minorHAnsi" w:cstheme="minorHAnsi"/>
          <w:szCs w:val="24"/>
        </w:rPr>
        <w:t xml:space="preserve">un peso diferente en el cumplimiento global. Si el ICIO se calculase como plantea SEPES el bloque de información </w:t>
      </w:r>
      <w:r w:rsidR="00EC38CF">
        <w:rPr>
          <w:rFonts w:asciiTheme="minorHAnsi" w:hAnsiTheme="minorHAnsi" w:cstheme="minorHAnsi"/>
          <w:szCs w:val="24"/>
        </w:rPr>
        <w:t>patrimonial</w:t>
      </w:r>
      <w:r>
        <w:rPr>
          <w:rFonts w:asciiTheme="minorHAnsi" w:hAnsiTheme="minorHAnsi" w:cstheme="minorHAnsi"/>
          <w:szCs w:val="24"/>
        </w:rPr>
        <w:t xml:space="preserve"> (1 obligación) tendría el mismo peso que el bloque de información Económica, Presupuestaria y Estadística (18 informaciones obligatorias) para el cálculo del cumplimiento global.</w:t>
      </w: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forma de cálculo de los índices para cada bloque de obligaciones y para el ICIO global aplicado es el que se presenta en la siguiente tabla. El numerador corresponde al valor alcanzado por SEPES para cada bloque y atributo evaluado mientras que el denominador refleja la puntuación máxima obtenible por las obligaciones que son aplicables a SEPES en cada bloque de informaciones obligatorias.</w:t>
      </w: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tbl>
      <w:tblPr>
        <w:tblStyle w:val="Sombreadomedio2-nfasis3"/>
        <w:tblW w:w="9810" w:type="dxa"/>
        <w:tblInd w:w="-601" w:type="dxa"/>
        <w:tblLook w:val="04A0" w:firstRow="1" w:lastRow="0" w:firstColumn="1" w:lastColumn="0" w:noHBand="0" w:noVBand="1"/>
      </w:tblPr>
      <w:tblGrid>
        <w:gridCol w:w="3261"/>
        <w:gridCol w:w="976"/>
        <w:gridCol w:w="773"/>
        <w:gridCol w:w="773"/>
        <w:gridCol w:w="773"/>
        <w:gridCol w:w="773"/>
        <w:gridCol w:w="773"/>
        <w:gridCol w:w="773"/>
        <w:gridCol w:w="1138"/>
      </w:tblGrid>
      <w:tr w:rsidR="002445EA" w:rsidRPr="002445EA" w:rsidTr="00EC38C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3261" w:type="dxa"/>
            <w:tcBorders>
              <w:top w:val="single" w:sz="18" w:space="0" w:color="FFFFFF" w:themeColor="background1"/>
              <w:bottom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445EA" w:rsidRPr="002445EA" w:rsidRDefault="002445EA" w:rsidP="002445E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445EA">
              <w:rPr>
                <w:rFonts w:cs="Calibri"/>
                <w:sz w:val="16"/>
                <w:szCs w:val="16"/>
              </w:rPr>
              <w:t>Total</w:t>
            </w:r>
          </w:p>
        </w:tc>
      </w:tr>
      <w:tr w:rsidR="002445EA" w:rsidRPr="002445EA" w:rsidTr="00EC38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445EA" w:rsidRPr="002445EA" w:rsidRDefault="002445EA" w:rsidP="002445EA">
            <w:pPr>
              <w:spacing w:before="120" w:after="120" w:line="312" w:lineRule="auto"/>
              <w:jc w:val="center"/>
              <w:rPr>
                <w:rFonts w:cs="Calibri"/>
                <w:sz w:val="16"/>
                <w:szCs w:val="16"/>
              </w:rPr>
            </w:pPr>
            <w:r w:rsidRPr="002445EA">
              <w:rPr>
                <w:rFonts w:cs="Calibri"/>
                <w:sz w:val="16"/>
                <w:szCs w:val="16"/>
              </w:rPr>
              <w:t>Institucional, Organizativa y de Planificación</w:t>
            </w:r>
          </w:p>
        </w:tc>
        <w:tc>
          <w:tcPr>
            <w:tcW w:w="0" w:type="auto"/>
            <w:tcBorders>
              <w:left w:val="single" w:sz="18" w:space="0" w:color="FFFFFF" w:themeColor="background1"/>
            </w:tcBorders>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90/100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605/700</w:t>
            </w:r>
          </w:p>
        </w:tc>
      </w:tr>
      <w:tr w:rsidR="002445EA" w:rsidRPr="002445EA" w:rsidTr="00EC38CF">
        <w:trPr>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445EA" w:rsidRPr="002445EA" w:rsidRDefault="002445EA" w:rsidP="002445EA">
            <w:pPr>
              <w:spacing w:before="120" w:after="120" w:line="312" w:lineRule="auto"/>
              <w:jc w:val="both"/>
              <w:rPr>
                <w:rFonts w:cs="Calibri"/>
                <w:sz w:val="16"/>
                <w:szCs w:val="16"/>
              </w:rPr>
            </w:pPr>
            <w:r w:rsidRPr="002445EA">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2445EA" w:rsidRPr="002445EA" w:rsidRDefault="002445EA" w:rsidP="002445EA">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2445EA">
              <w:rPr>
                <w:sz w:val="16"/>
                <w:szCs w:val="16"/>
              </w:rPr>
              <w:t>NO APLICABLE</w:t>
            </w:r>
          </w:p>
        </w:tc>
      </w:tr>
      <w:tr w:rsidR="002445EA" w:rsidRPr="002445EA" w:rsidTr="00EC38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445EA" w:rsidRPr="002445EA" w:rsidRDefault="002445EA" w:rsidP="002445EA">
            <w:pPr>
              <w:spacing w:before="120" w:after="120" w:line="312" w:lineRule="auto"/>
              <w:jc w:val="center"/>
              <w:rPr>
                <w:rFonts w:cs="Calibri"/>
                <w:sz w:val="16"/>
                <w:szCs w:val="16"/>
              </w:rPr>
            </w:pPr>
            <w:r w:rsidRPr="002445EA">
              <w:rPr>
                <w:rFonts w:cs="Calibri"/>
                <w:sz w:val="16"/>
                <w:szCs w:val="16"/>
              </w:rPr>
              <w:t>Económica , Presupuestaria y Estadística</w:t>
            </w:r>
          </w:p>
        </w:tc>
        <w:tc>
          <w:tcPr>
            <w:tcW w:w="0" w:type="auto"/>
            <w:tcBorders>
              <w:left w:val="single" w:sz="18" w:space="0" w:color="FFFFFF" w:themeColor="background1"/>
            </w:tcBorders>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106,57/140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100/140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110/140</w:t>
            </w:r>
          </w:p>
        </w:tc>
        <w:tc>
          <w:tcPr>
            <w:tcW w:w="0" w:type="auto"/>
            <w:noWrap/>
            <w:vAlign w:val="center"/>
          </w:tcPr>
          <w:p w:rsidR="002445EA" w:rsidRPr="002445EA" w:rsidRDefault="002445EA"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100/140</w:t>
            </w:r>
          </w:p>
        </w:tc>
        <w:tc>
          <w:tcPr>
            <w:tcW w:w="0" w:type="auto"/>
            <w:noWrap/>
            <w:vAlign w:val="center"/>
          </w:tcPr>
          <w:p w:rsidR="002445EA" w:rsidRDefault="002445EA" w:rsidP="002445EA">
            <w:pPr>
              <w:jc w:val="center"/>
              <w:cnfStyle w:val="000000100000" w:firstRow="0" w:lastRow="0" w:firstColumn="0" w:lastColumn="0" w:oddVBand="0" w:evenVBand="0" w:oddHBand="1" w:evenHBand="0" w:firstRowFirstColumn="0" w:firstRowLastColumn="0" w:lastRowFirstColumn="0" w:lastRowLastColumn="0"/>
            </w:pPr>
            <w:r w:rsidRPr="00F07868">
              <w:rPr>
                <w:sz w:val="16"/>
                <w:szCs w:val="16"/>
              </w:rPr>
              <w:t>110/140</w:t>
            </w:r>
          </w:p>
        </w:tc>
        <w:tc>
          <w:tcPr>
            <w:tcW w:w="0" w:type="auto"/>
            <w:noWrap/>
            <w:vAlign w:val="center"/>
          </w:tcPr>
          <w:p w:rsidR="002445EA" w:rsidRDefault="002445EA" w:rsidP="002445EA">
            <w:pPr>
              <w:jc w:val="center"/>
              <w:cnfStyle w:val="000000100000" w:firstRow="0" w:lastRow="0" w:firstColumn="0" w:lastColumn="0" w:oddVBand="0" w:evenVBand="0" w:oddHBand="1" w:evenHBand="0" w:firstRowFirstColumn="0" w:firstRowLastColumn="0" w:lastRowFirstColumn="0" w:lastRowLastColumn="0"/>
            </w:pPr>
            <w:r w:rsidRPr="00F07868">
              <w:rPr>
                <w:sz w:val="16"/>
                <w:szCs w:val="16"/>
              </w:rPr>
              <w:t>110/140</w:t>
            </w:r>
          </w:p>
        </w:tc>
        <w:tc>
          <w:tcPr>
            <w:tcW w:w="0" w:type="auto"/>
            <w:noWrap/>
            <w:vAlign w:val="center"/>
          </w:tcPr>
          <w:p w:rsidR="002445EA"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105/140</w:t>
            </w:r>
          </w:p>
        </w:tc>
        <w:tc>
          <w:tcPr>
            <w:tcW w:w="0" w:type="auto"/>
            <w:noWrap/>
            <w:vAlign w:val="center"/>
          </w:tcPr>
          <w:p w:rsidR="002445EA"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741,57/980</w:t>
            </w:r>
          </w:p>
        </w:tc>
      </w:tr>
      <w:tr w:rsidR="00EC38CF" w:rsidRPr="002445EA" w:rsidTr="00EC38CF">
        <w:trPr>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C38CF" w:rsidRPr="002445EA" w:rsidRDefault="00EC38CF" w:rsidP="002445EA">
            <w:pPr>
              <w:spacing w:before="120" w:after="120" w:line="312" w:lineRule="auto"/>
              <w:jc w:val="center"/>
              <w:rPr>
                <w:rFonts w:cs="Calibri"/>
                <w:sz w:val="16"/>
                <w:szCs w:val="16"/>
              </w:rPr>
            </w:pPr>
            <w:r w:rsidRPr="002445EA">
              <w:rPr>
                <w:rFonts w:cs="Calibri"/>
                <w:sz w:val="16"/>
                <w:szCs w:val="16"/>
              </w:rPr>
              <w:t>Información patrimonial</w:t>
            </w:r>
          </w:p>
        </w:tc>
        <w:tc>
          <w:tcPr>
            <w:tcW w:w="0" w:type="auto"/>
            <w:tcBorders>
              <w:left w:val="single" w:sz="18" w:space="0" w:color="FFFFFF" w:themeColor="background1"/>
            </w:tcBorders>
            <w:noWrap/>
            <w:vAlign w:val="center"/>
          </w:tcPr>
          <w:p w:rsidR="00EC38CF" w:rsidRPr="002445EA" w:rsidRDefault="00EC38CF" w:rsidP="002445E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Default="00EC38CF" w:rsidP="00EC38CF">
            <w:pPr>
              <w:jc w:val="center"/>
              <w:cnfStyle w:val="000000000000" w:firstRow="0" w:lastRow="0" w:firstColumn="0" w:lastColumn="0" w:oddVBand="0" w:evenVBand="0" w:oddHBand="0" w:evenHBand="0" w:firstRowFirstColumn="0" w:firstRowLastColumn="0" w:lastRowFirstColumn="0" w:lastRowLastColumn="0"/>
            </w:pPr>
            <w:r w:rsidRPr="001135DE">
              <w:rPr>
                <w:sz w:val="16"/>
                <w:szCs w:val="16"/>
              </w:rPr>
              <w:t>10/10</w:t>
            </w:r>
          </w:p>
        </w:tc>
        <w:tc>
          <w:tcPr>
            <w:tcW w:w="0" w:type="auto"/>
            <w:noWrap/>
            <w:vAlign w:val="center"/>
          </w:tcPr>
          <w:p w:rsidR="00EC38CF" w:rsidRPr="002445EA" w:rsidRDefault="00EC38CF" w:rsidP="002445EA">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70/70</w:t>
            </w:r>
          </w:p>
        </w:tc>
      </w:tr>
      <w:tr w:rsidR="00EC38CF" w:rsidRPr="002445EA" w:rsidTr="00EC38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C38CF" w:rsidRPr="002445EA" w:rsidRDefault="00EC38CF" w:rsidP="002445EA">
            <w:pPr>
              <w:spacing w:before="120" w:after="120" w:line="312" w:lineRule="auto"/>
              <w:jc w:val="right"/>
              <w:rPr>
                <w:rFonts w:cs="Calibri"/>
                <w:i/>
                <w:sz w:val="16"/>
                <w:szCs w:val="16"/>
              </w:rPr>
            </w:pPr>
            <w:r w:rsidRPr="002445EA">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C38CF"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201,57/250</w:t>
            </w:r>
          </w:p>
        </w:tc>
        <w:tc>
          <w:tcPr>
            <w:tcW w:w="0" w:type="auto"/>
            <w:noWrap/>
            <w:vAlign w:val="center"/>
          </w:tcPr>
          <w:p w:rsidR="00EC38CF"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200/250</w:t>
            </w:r>
          </w:p>
        </w:tc>
        <w:tc>
          <w:tcPr>
            <w:tcW w:w="0" w:type="auto"/>
            <w:noWrap/>
            <w:vAlign w:val="center"/>
          </w:tcPr>
          <w:p w:rsidR="00EC38CF"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210/250</w:t>
            </w:r>
          </w:p>
        </w:tc>
        <w:tc>
          <w:tcPr>
            <w:tcW w:w="0" w:type="auto"/>
            <w:noWrap/>
            <w:vAlign w:val="center"/>
          </w:tcPr>
          <w:p w:rsidR="00EC38CF"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200/250</w:t>
            </w:r>
          </w:p>
        </w:tc>
        <w:tc>
          <w:tcPr>
            <w:tcW w:w="0" w:type="auto"/>
            <w:noWrap/>
            <w:vAlign w:val="center"/>
          </w:tcPr>
          <w:p w:rsidR="00EC38CF" w:rsidRDefault="00EC38CF" w:rsidP="00EC38CF">
            <w:pPr>
              <w:jc w:val="center"/>
              <w:cnfStyle w:val="000000100000" w:firstRow="0" w:lastRow="0" w:firstColumn="0" w:lastColumn="0" w:oddVBand="0" w:evenVBand="0" w:oddHBand="1" w:evenHBand="0" w:firstRowFirstColumn="0" w:firstRowLastColumn="0" w:lastRowFirstColumn="0" w:lastRowLastColumn="0"/>
            </w:pPr>
            <w:r w:rsidRPr="008358F0">
              <w:rPr>
                <w:b/>
                <w:i/>
                <w:sz w:val="16"/>
                <w:szCs w:val="16"/>
              </w:rPr>
              <w:t>210/250</w:t>
            </w:r>
          </w:p>
        </w:tc>
        <w:tc>
          <w:tcPr>
            <w:tcW w:w="0" w:type="auto"/>
            <w:noWrap/>
            <w:vAlign w:val="center"/>
          </w:tcPr>
          <w:p w:rsidR="00EC38CF" w:rsidRDefault="00EC38CF" w:rsidP="00EC38CF">
            <w:pPr>
              <w:jc w:val="center"/>
              <w:cnfStyle w:val="000000100000" w:firstRow="0" w:lastRow="0" w:firstColumn="0" w:lastColumn="0" w:oddVBand="0" w:evenVBand="0" w:oddHBand="1" w:evenHBand="0" w:firstRowFirstColumn="0" w:firstRowLastColumn="0" w:lastRowFirstColumn="0" w:lastRowLastColumn="0"/>
            </w:pPr>
            <w:r w:rsidRPr="008358F0">
              <w:rPr>
                <w:b/>
                <w:i/>
                <w:sz w:val="16"/>
                <w:szCs w:val="16"/>
              </w:rPr>
              <w:t>210/250</w:t>
            </w:r>
          </w:p>
        </w:tc>
        <w:tc>
          <w:tcPr>
            <w:tcW w:w="0" w:type="auto"/>
            <w:noWrap/>
            <w:vAlign w:val="center"/>
          </w:tcPr>
          <w:p w:rsidR="00EC38CF" w:rsidRDefault="00EC38CF" w:rsidP="00EC38CF">
            <w:pPr>
              <w:jc w:val="center"/>
              <w:cnfStyle w:val="000000100000" w:firstRow="0" w:lastRow="0" w:firstColumn="0" w:lastColumn="0" w:oddVBand="0" w:evenVBand="0" w:oddHBand="1" w:evenHBand="0" w:firstRowFirstColumn="0" w:firstRowLastColumn="0" w:lastRowFirstColumn="0" w:lastRowLastColumn="0"/>
            </w:pPr>
            <w:r>
              <w:rPr>
                <w:b/>
                <w:i/>
                <w:sz w:val="16"/>
                <w:szCs w:val="16"/>
              </w:rPr>
              <w:t>185/</w:t>
            </w:r>
            <w:r w:rsidRPr="008358F0">
              <w:rPr>
                <w:b/>
                <w:i/>
                <w:sz w:val="16"/>
                <w:szCs w:val="16"/>
              </w:rPr>
              <w:t>250</w:t>
            </w:r>
          </w:p>
        </w:tc>
        <w:tc>
          <w:tcPr>
            <w:tcW w:w="0" w:type="auto"/>
            <w:noWrap/>
            <w:vAlign w:val="center"/>
          </w:tcPr>
          <w:p w:rsidR="00EC38CF" w:rsidRPr="002445EA" w:rsidRDefault="00EC38CF" w:rsidP="002445EA">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1416,57/1750</w:t>
            </w:r>
          </w:p>
        </w:tc>
      </w:tr>
    </w:tbl>
    <w:p w:rsidR="002445EA" w:rsidRDefault="002445EA" w:rsidP="00532B7B">
      <w:pPr>
        <w:pStyle w:val="Prrafodelista"/>
        <w:tabs>
          <w:tab w:val="left" w:pos="284"/>
        </w:tabs>
        <w:spacing w:before="120" w:after="120" w:line="312" w:lineRule="auto"/>
        <w:jc w:val="both"/>
        <w:rPr>
          <w:rFonts w:asciiTheme="minorHAnsi" w:hAnsiTheme="minorHAnsi" w:cstheme="minorHAnsi"/>
          <w:szCs w:val="24"/>
        </w:rPr>
      </w:pPr>
    </w:p>
    <w:p w:rsidR="00EC38CF" w:rsidRDefault="00EC38CF"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Si se divide 1416,57 entre 1750 el ICIO correspondiente</w:t>
      </w:r>
      <w:r w:rsidR="00553196">
        <w:rPr>
          <w:rFonts w:asciiTheme="minorHAnsi" w:hAnsiTheme="minorHAnsi" w:cstheme="minorHAnsi"/>
          <w:szCs w:val="24"/>
        </w:rPr>
        <w:t>, expresado</w:t>
      </w:r>
      <w:r>
        <w:rPr>
          <w:rFonts w:asciiTheme="minorHAnsi" w:hAnsiTheme="minorHAnsi" w:cstheme="minorHAnsi"/>
          <w:szCs w:val="24"/>
        </w:rPr>
        <w:t xml:space="preserve"> en tanto por ciento</w:t>
      </w:r>
      <w:r w:rsidR="00553196">
        <w:rPr>
          <w:rFonts w:asciiTheme="minorHAnsi" w:hAnsiTheme="minorHAnsi" w:cstheme="minorHAnsi"/>
          <w:szCs w:val="24"/>
        </w:rPr>
        <w:t>,</w:t>
      </w:r>
      <w:r>
        <w:rPr>
          <w:rFonts w:asciiTheme="minorHAnsi" w:hAnsiTheme="minorHAnsi" w:cstheme="minorHAnsi"/>
          <w:szCs w:val="24"/>
        </w:rPr>
        <w:t xml:space="preserve"> es el 80,95% que en la evaluación se ha redondeado a 81%.</w:t>
      </w:r>
    </w:p>
    <w:p w:rsidR="00EC38CF" w:rsidRDefault="00EC38CF" w:rsidP="00532B7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3C756A" w:rsidRPr="000976D4" w:rsidRDefault="007678DD" w:rsidP="00532B7B">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47409C">
        <w:rPr>
          <w:rFonts w:asciiTheme="minorHAnsi" w:hAnsiTheme="minorHAnsi" w:cstheme="minorHAnsi"/>
          <w:b/>
          <w:szCs w:val="24"/>
        </w:rPr>
        <w:t xml:space="preserve">En relación con la publicación </w:t>
      </w:r>
      <w:r w:rsidR="000976D4">
        <w:rPr>
          <w:rFonts w:asciiTheme="minorHAnsi" w:hAnsiTheme="minorHAnsi" w:cstheme="minorHAnsi"/>
          <w:b/>
          <w:szCs w:val="24"/>
        </w:rPr>
        <w:t>de las compatibilidades autorizadas a empleados</w:t>
      </w:r>
      <w:r w:rsidR="0047409C">
        <w:rPr>
          <w:rFonts w:asciiTheme="minorHAnsi" w:hAnsiTheme="minorHAnsi" w:cstheme="minorHAnsi"/>
          <w:b/>
          <w:szCs w:val="24"/>
        </w:rPr>
        <w:t>.</w:t>
      </w:r>
    </w:p>
    <w:p w:rsidR="000976D4" w:rsidRDefault="000976D4" w:rsidP="000976D4">
      <w:pPr>
        <w:pStyle w:val="Prrafodelista"/>
        <w:tabs>
          <w:tab w:val="left" w:pos="284"/>
        </w:tabs>
        <w:spacing w:before="120" w:after="120" w:line="312" w:lineRule="auto"/>
        <w:jc w:val="both"/>
        <w:rPr>
          <w:rFonts w:asciiTheme="minorHAnsi" w:hAnsiTheme="minorHAnsi" w:cstheme="minorHAnsi"/>
          <w:b/>
          <w:szCs w:val="24"/>
        </w:rPr>
      </w:pPr>
    </w:p>
    <w:p w:rsidR="000976D4" w:rsidRDefault="000976D4" w:rsidP="000976D4">
      <w:pPr>
        <w:pStyle w:val="Prrafodelista"/>
        <w:tabs>
          <w:tab w:val="left" w:pos="284"/>
        </w:tabs>
        <w:spacing w:before="120" w:after="120" w:line="312" w:lineRule="auto"/>
        <w:jc w:val="both"/>
        <w:rPr>
          <w:rFonts w:asciiTheme="minorHAnsi" w:hAnsiTheme="minorHAnsi" w:cstheme="minorHAnsi"/>
          <w:szCs w:val="24"/>
        </w:rPr>
      </w:pPr>
      <w:r w:rsidRPr="000976D4">
        <w:rPr>
          <w:rFonts w:asciiTheme="minorHAnsi" w:hAnsiTheme="minorHAnsi" w:cstheme="minorHAnsi"/>
          <w:szCs w:val="24"/>
        </w:rPr>
        <w:t xml:space="preserve">Se acepta la observación pero se recomienda que </w:t>
      </w:r>
      <w:r>
        <w:rPr>
          <w:rFonts w:asciiTheme="minorHAnsi" w:hAnsiTheme="minorHAnsi" w:cstheme="minorHAnsi"/>
          <w:szCs w:val="24"/>
        </w:rPr>
        <w:t>el acceso a esta información se facilite generando un enlace específico dentro del bloque de información Económica, Presupuestaria y Estadística, en el que lo incluye la LTAIBG, para facilitar a la ciudadanía su localización.</w:t>
      </w:r>
    </w:p>
    <w:p w:rsidR="000976D4" w:rsidRPr="000976D4" w:rsidRDefault="000976D4" w:rsidP="000976D4">
      <w:pPr>
        <w:pStyle w:val="Prrafodelista"/>
        <w:tabs>
          <w:tab w:val="left" w:pos="284"/>
        </w:tabs>
        <w:spacing w:before="120" w:after="120" w:line="312" w:lineRule="auto"/>
        <w:jc w:val="both"/>
        <w:rPr>
          <w:rFonts w:asciiTheme="minorHAnsi" w:hAnsiTheme="minorHAnsi" w:cstheme="minorHAnsi"/>
          <w:szCs w:val="24"/>
        </w:rPr>
      </w:pPr>
    </w:p>
    <w:p w:rsidR="000976D4" w:rsidRPr="000976D4" w:rsidRDefault="000976D4" w:rsidP="00532B7B">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0976D4">
        <w:rPr>
          <w:rFonts w:asciiTheme="minorHAnsi" w:hAnsiTheme="minorHAnsi" w:cstheme="minorHAnsi"/>
          <w:b/>
          <w:szCs w:val="24"/>
        </w:rPr>
        <w:t xml:space="preserve">En relación con la inclusión de una referencia a la fecha de actualización de la sobre normativa aplicable a la entidad </w:t>
      </w:r>
    </w:p>
    <w:p w:rsidR="000976D4" w:rsidRDefault="000976D4" w:rsidP="000976D4">
      <w:pPr>
        <w:pStyle w:val="Prrafodelista"/>
        <w:tabs>
          <w:tab w:val="left" w:pos="284"/>
        </w:tabs>
        <w:spacing w:before="120" w:after="120" w:line="312" w:lineRule="auto"/>
        <w:jc w:val="both"/>
        <w:rPr>
          <w:rFonts w:asciiTheme="minorHAnsi" w:hAnsiTheme="minorHAnsi" w:cstheme="minorHAnsi"/>
          <w:szCs w:val="24"/>
        </w:rPr>
      </w:pPr>
    </w:p>
    <w:p w:rsidR="000976D4" w:rsidRDefault="00553196" w:rsidP="000976D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es posible admitir esta observación ya que la fecha de actualización de la </w:t>
      </w:r>
      <w:r w:rsidR="000976D4">
        <w:rPr>
          <w:rFonts w:asciiTheme="minorHAnsi" w:hAnsiTheme="minorHAnsi" w:cstheme="minorHAnsi"/>
          <w:szCs w:val="24"/>
        </w:rPr>
        <w:t xml:space="preserve">información -7 de julio -, se </w:t>
      </w:r>
      <w:r>
        <w:rPr>
          <w:rFonts w:asciiTheme="minorHAnsi" w:hAnsiTheme="minorHAnsi" w:cstheme="minorHAnsi"/>
          <w:szCs w:val="24"/>
        </w:rPr>
        <w:t xml:space="preserve">encuentra comprendida en </w:t>
      </w:r>
      <w:r w:rsidR="000976D4">
        <w:rPr>
          <w:rFonts w:asciiTheme="minorHAnsi" w:hAnsiTheme="minorHAnsi" w:cstheme="minorHAnsi"/>
          <w:szCs w:val="24"/>
        </w:rPr>
        <w:t>el periodo habilitado para la presentación de observaciones a los informes provisionales que se inició el 28 de junio.</w:t>
      </w:r>
      <w:r w:rsidR="0077397B">
        <w:rPr>
          <w:rFonts w:asciiTheme="minorHAnsi" w:hAnsiTheme="minorHAnsi" w:cstheme="minorHAnsi"/>
          <w:szCs w:val="24"/>
        </w:rPr>
        <w:t xml:space="preserve"> Esta misma circunstancia se da en relación con la publicación del Presupuesto 2021.</w:t>
      </w:r>
      <w:bookmarkStart w:id="0" w:name="_GoBack"/>
      <w:bookmarkEnd w:id="0"/>
    </w:p>
    <w:p w:rsidR="000976D4" w:rsidRDefault="000976D4" w:rsidP="000976D4">
      <w:pPr>
        <w:pStyle w:val="Prrafodelista"/>
        <w:tabs>
          <w:tab w:val="left" w:pos="284"/>
        </w:tabs>
        <w:spacing w:before="120" w:after="120" w:line="312" w:lineRule="auto"/>
        <w:jc w:val="both"/>
        <w:rPr>
          <w:rFonts w:asciiTheme="minorHAnsi" w:hAnsiTheme="minorHAnsi" w:cstheme="minorHAnsi"/>
          <w:szCs w:val="24"/>
        </w:rPr>
      </w:pPr>
    </w:p>
    <w:p w:rsidR="000976D4" w:rsidRDefault="00553196" w:rsidP="00532B7B">
      <w:pPr>
        <w:pStyle w:val="Prrafodelista"/>
        <w:numPr>
          <w:ilvl w:val="0"/>
          <w:numId w:val="12"/>
        </w:numPr>
        <w:tabs>
          <w:tab w:val="left" w:pos="284"/>
        </w:tabs>
        <w:spacing w:before="120" w:after="120" w:line="312" w:lineRule="auto"/>
        <w:jc w:val="both"/>
        <w:rPr>
          <w:rFonts w:asciiTheme="minorHAnsi" w:hAnsiTheme="minorHAnsi" w:cstheme="minorHAnsi"/>
          <w:b/>
          <w:szCs w:val="24"/>
        </w:rPr>
      </w:pPr>
      <w:r w:rsidRPr="00553196">
        <w:rPr>
          <w:rFonts w:asciiTheme="minorHAnsi" w:hAnsiTheme="minorHAnsi" w:cstheme="minorHAnsi"/>
          <w:b/>
          <w:szCs w:val="24"/>
        </w:rPr>
        <w:t>Sobre las modificaciones de los contratos</w:t>
      </w:r>
      <w:r>
        <w:rPr>
          <w:rFonts w:asciiTheme="minorHAnsi" w:hAnsiTheme="minorHAnsi" w:cstheme="minorHAnsi"/>
          <w:b/>
          <w:szCs w:val="24"/>
        </w:rPr>
        <w:t>.</w:t>
      </w:r>
    </w:p>
    <w:p w:rsidR="00553196" w:rsidRDefault="00553196" w:rsidP="00553196">
      <w:pPr>
        <w:pStyle w:val="Prrafodelista"/>
        <w:tabs>
          <w:tab w:val="left" w:pos="284"/>
        </w:tabs>
        <w:spacing w:before="120" w:after="120" w:line="312" w:lineRule="auto"/>
        <w:jc w:val="both"/>
        <w:rPr>
          <w:rFonts w:asciiTheme="minorHAnsi" w:hAnsiTheme="minorHAnsi" w:cstheme="minorHAnsi"/>
          <w:b/>
          <w:szCs w:val="24"/>
        </w:rPr>
      </w:pPr>
    </w:p>
    <w:p w:rsidR="00553196" w:rsidRDefault="00553196" w:rsidP="00553196">
      <w:pPr>
        <w:pStyle w:val="Prrafodelista"/>
        <w:tabs>
          <w:tab w:val="left" w:pos="284"/>
        </w:tabs>
        <w:spacing w:before="120" w:after="120" w:line="312" w:lineRule="auto"/>
        <w:jc w:val="both"/>
        <w:rPr>
          <w:rFonts w:asciiTheme="minorHAnsi" w:hAnsiTheme="minorHAnsi" w:cstheme="minorHAnsi"/>
          <w:szCs w:val="24"/>
        </w:rPr>
      </w:pPr>
      <w:r w:rsidRPr="00553196">
        <w:rPr>
          <w:rFonts w:asciiTheme="minorHAnsi" w:hAnsiTheme="minorHAnsi" w:cstheme="minorHAnsi"/>
          <w:szCs w:val="24"/>
        </w:rPr>
        <w:t>Señala SEPES</w:t>
      </w:r>
      <w:r>
        <w:rPr>
          <w:rFonts w:asciiTheme="minorHAnsi" w:hAnsiTheme="minorHAnsi" w:cstheme="minorHAnsi"/>
          <w:szCs w:val="24"/>
        </w:rPr>
        <w:t xml:space="preserve"> que en el informe de evaluación se indica que no se ha localizado información sobre las modificaciones de los contratos adjudicados por la entidad. Tal como se indica en el informe esta obligación no se ha considerado aplicable a SEPES y por lo tanto no se ha tenido en cuenta para el cálculo de los índices de cumplimiento. No obstante, se admite la observación   y se revisa el cumplimiento de esta obligación.</w:t>
      </w:r>
    </w:p>
    <w:p w:rsidR="00553196" w:rsidRPr="00553196" w:rsidRDefault="00553196" w:rsidP="00553196">
      <w:pPr>
        <w:pStyle w:val="Prrafodelista"/>
        <w:tabs>
          <w:tab w:val="left" w:pos="284"/>
        </w:tabs>
        <w:spacing w:before="120" w:after="120" w:line="312" w:lineRule="auto"/>
        <w:jc w:val="both"/>
        <w:rPr>
          <w:rFonts w:asciiTheme="minorHAnsi" w:hAnsiTheme="minorHAnsi" w:cstheme="minorHAnsi"/>
          <w:szCs w:val="24"/>
        </w:rPr>
      </w:pPr>
    </w:p>
    <w:p w:rsidR="00553196" w:rsidRDefault="00553196" w:rsidP="00532B7B">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Sobre las modificaciones de los convenios.</w:t>
      </w:r>
    </w:p>
    <w:p w:rsidR="00553196" w:rsidRDefault="00553196" w:rsidP="00553196">
      <w:pPr>
        <w:pStyle w:val="Prrafodelista"/>
        <w:tabs>
          <w:tab w:val="left" w:pos="284"/>
        </w:tabs>
        <w:spacing w:before="120" w:after="120" w:line="312" w:lineRule="auto"/>
        <w:jc w:val="both"/>
        <w:rPr>
          <w:rFonts w:asciiTheme="minorHAnsi" w:hAnsiTheme="minorHAnsi" w:cstheme="minorHAnsi"/>
          <w:b/>
          <w:szCs w:val="24"/>
        </w:rPr>
      </w:pPr>
    </w:p>
    <w:p w:rsidR="00553196" w:rsidRDefault="00553196" w:rsidP="00553196">
      <w:pPr>
        <w:pStyle w:val="Prrafodelista"/>
        <w:tabs>
          <w:tab w:val="left" w:pos="284"/>
        </w:tabs>
        <w:spacing w:before="120" w:after="120" w:line="312" w:lineRule="auto"/>
        <w:jc w:val="both"/>
        <w:rPr>
          <w:rFonts w:asciiTheme="minorHAnsi" w:hAnsiTheme="minorHAnsi" w:cstheme="minorHAnsi"/>
          <w:szCs w:val="24"/>
        </w:rPr>
      </w:pPr>
      <w:r w:rsidRPr="00553196">
        <w:rPr>
          <w:rFonts w:asciiTheme="minorHAnsi" w:hAnsiTheme="minorHAnsi" w:cstheme="minorHAnsi"/>
          <w:szCs w:val="24"/>
        </w:rPr>
        <w:t>Se acepta la observación y se reevalúa el cumplimiento de la obligaci</w:t>
      </w:r>
      <w:r>
        <w:rPr>
          <w:rFonts w:asciiTheme="minorHAnsi" w:hAnsiTheme="minorHAnsi" w:cstheme="minorHAnsi"/>
          <w:szCs w:val="24"/>
        </w:rPr>
        <w:t>ón.</w:t>
      </w:r>
    </w:p>
    <w:p w:rsidR="00553196" w:rsidRPr="00553196" w:rsidRDefault="00553196" w:rsidP="00553196">
      <w:pPr>
        <w:pStyle w:val="Prrafodelista"/>
        <w:tabs>
          <w:tab w:val="left" w:pos="284"/>
        </w:tabs>
        <w:spacing w:before="120" w:after="120" w:line="312" w:lineRule="auto"/>
        <w:jc w:val="both"/>
        <w:rPr>
          <w:rFonts w:asciiTheme="minorHAnsi" w:hAnsiTheme="minorHAnsi" w:cstheme="minorHAnsi"/>
          <w:szCs w:val="24"/>
        </w:rPr>
      </w:pPr>
    </w:p>
    <w:p w:rsidR="00553196" w:rsidRDefault="00553196" w:rsidP="00532B7B">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publicación las autorizaciones para el ejercicio de actividades privadas al cese de altos cargos. </w:t>
      </w:r>
    </w:p>
    <w:p w:rsidR="00553196" w:rsidRDefault="00553196" w:rsidP="00553196">
      <w:pPr>
        <w:pStyle w:val="Prrafodelista"/>
        <w:tabs>
          <w:tab w:val="left" w:pos="284"/>
        </w:tabs>
        <w:spacing w:before="120" w:after="120" w:line="312" w:lineRule="auto"/>
        <w:jc w:val="both"/>
        <w:rPr>
          <w:rFonts w:asciiTheme="minorHAnsi" w:hAnsiTheme="minorHAnsi" w:cstheme="minorHAnsi"/>
          <w:b/>
          <w:szCs w:val="24"/>
        </w:rPr>
      </w:pPr>
    </w:p>
    <w:p w:rsidR="00553196" w:rsidRDefault="001A14C7" w:rsidP="00553196">
      <w:pPr>
        <w:pStyle w:val="Prrafodelista"/>
        <w:tabs>
          <w:tab w:val="left" w:pos="284"/>
        </w:tabs>
        <w:spacing w:before="120" w:after="120" w:line="312" w:lineRule="auto"/>
        <w:jc w:val="both"/>
        <w:rPr>
          <w:rFonts w:asciiTheme="minorHAnsi" w:hAnsiTheme="minorHAnsi" w:cstheme="minorHAnsi"/>
          <w:szCs w:val="24"/>
        </w:rPr>
      </w:pPr>
      <w:r w:rsidRPr="001A14C7">
        <w:rPr>
          <w:rFonts w:asciiTheme="minorHAnsi" w:hAnsiTheme="minorHAnsi" w:cstheme="minorHAnsi"/>
          <w:szCs w:val="24"/>
        </w:rPr>
        <w:t xml:space="preserve">Señala SEPES que no ha </w:t>
      </w:r>
      <w:r w:rsidR="002D00A0" w:rsidRPr="001A14C7">
        <w:rPr>
          <w:rFonts w:asciiTheme="minorHAnsi" w:hAnsiTheme="minorHAnsi" w:cstheme="minorHAnsi"/>
          <w:szCs w:val="24"/>
        </w:rPr>
        <w:t>recibido</w:t>
      </w:r>
      <w:r w:rsidRPr="001A14C7">
        <w:rPr>
          <w:rFonts w:asciiTheme="minorHAnsi" w:hAnsiTheme="minorHAnsi" w:cstheme="minorHAnsi"/>
          <w:szCs w:val="24"/>
        </w:rPr>
        <w:t xml:space="preserve"> ninguna </w:t>
      </w:r>
      <w:r w:rsidR="002D00A0" w:rsidRPr="002D00A0">
        <w:rPr>
          <w:rFonts w:asciiTheme="minorHAnsi" w:hAnsiTheme="minorHAnsi" w:cstheme="minorHAnsi"/>
          <w:szCs w:val="24"/>
        </w:rPr>
        <w:t>comunicación de la Oficina de Conflictos de Intereses</w:t>
      </w:r>
      <w:r w:rsidR="002D00A0">
        <w:rPr>
          <w:rFonts w:asciiTheme="minorHAnsi" w:hAnsiTheme="minorHAnsi" w:cstheme="minorHAnsi"/>
          <w:szCs w:val="24"/>
        </w:rPr>
        <w:t xml:space="preserve"> al respecto y que por esta razón no se publica información. D</w:t>
      </w:r>
      <w:r w:rsidR="002D00A0" w:rsidRPr="002D00A0">
        <w:rPr>
          <w:rFonts w:asciiTheme="minorHAnsi" w:hAnsiTheme="minorHAnsi" w:cstheme="minorHAnsi"/>
          <w:szCs w:val="24"/>
        </w:rPr>
        <w:t xml:space="preserve">esde este Consejo viene </w:t>
      </w:r>
      <w:r w:rsidR="002D00A0">
        <w:rPr>
          <w:rFonts w:asciiTheme="minorHAnsi" w:hAnsiTheme="minorHAnsi" w:cstheme="minorHAnsi"/>
          <w:szCs w:val="24"/>
        </w:rPr>
        <w:t>indicándose</w:t>
      </w:r>
      <w:r w:rsidR="002D00A0" w:rsidRPr="002D00A0">
        <w:rPr>
          <w:rFonts w:asciiTheme="minorHAnsi" w:hAnsiTheme="minorHAnsi" w:cstheme="minorHAnsi"/>
          <w:szCs w:val="24"/>
        </w:rPr>
        <w:t xml:space="preserv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w:t>
      </w:r>
    </w:p>
    <w:p w:rsidR="002D00A0" w:rsidRDefault="002D00A0" w:rsidP="00553196">
      <w:pPr>
        <w:pStyle w:val="Prrafodelista"/>
        <w:tabs>
          <w:tab w:val="left" w:pos="284"/>
        </w:tabs>
        <w:spacing w:before="120" w:after="120" w:line="312" w:lineRule="auto"/>
        <w:jc w:val="both"/>
        <w:rPr>
          <w:rFonts w:asciiTheme="minorHAnsi" w:hAnsiTheme="minorHAnsi" w:cstheme="minorHAnsi"/>
          <w:szCs w:val="24"/>
        </w:rPr>
      </w:pPr>
    </w:p>
    <w:p w:rsidR="00553196" w:rsidRPr="002D00A0" w:rsidRDefault="002D00A0" w:rsidP="00532B7B">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alcanzado por SEPES es del 85,6%.</w:t>
      </w:r>
    </w:p>
    <w:p w:rsidR="00194E05" w:rsidRPr="00B04F77" w:rsidRDefault="000976D4" w:rsidP="00B04F77">
      <w:pPr>
        <w:tabs>
          <w:tab w:val="left" w:pos="284"/>
        </w:tabs>
        <w:spacing w:before="120" w:after="120" w:line="312" w:lineRule="auto"/>
        <w:jc w:val="both"/>
        <w:rPr>
          <w:rFonts w:asciiTheme="minorHAnsi" w:hAnsiTheme="minorHAnsi" w:cstheme="minorHAnsi"/>
          <w:szCs w:val="24"/>
        </w:rPr>
      </w:pPr>
      <w:r w:rsidRPr="000976D4">
        <w:rPr>
          <w:rFonts w:asciiTheme="minorHAnsi" w:hAnsiTheme="minorHAnsi" w:cstheme="minorHAnsi"/>
          <w:szCs w:val="24"/>
        </w:rPr>
        <w:t xml:space="preserve"> </w:t>
      </w:r>
      <w:r w:rsidR="003D0DAF" w:rsidRPr="00B04F77">
        <w:rPr>
          <w:rFonts w:asciiTheme="minorHAnsi" w:hAnsiTheme="minorHAnsi" w:cstheme="minorHAnsi"/>
          <w:szCs w:val="24"/>
        </w:rPr>
        <w:t xml:space="preserve">Este Consejo valora muy positivamente la </w:t>
      </w:r>
      <w:r w:rsidR="00D239A9" w:rsidRPr="00B04F77">
        <w:rPr>
          <w:rFonts w:asciiTheme="minorHAnsi" w:hAnsiTheme="minorHAnsi" w:cstheme="minorHAnsi"/>
          <w:szCs w:val="24"/>
        </w:rPr>
        <w:t>disposición de</w:t>
      </w:r>
      <w:r w:rsidR="003D0DAF" w:rsidRPr="00B04F77">
        <w:rPr>
          <w:rFonts w:asciiTheme="minorHAnsi" w:hAnsiTheme="minorHAnsi" w:cstheme="minorHAnsi"/>
          <w:szCs w:val="24"/>
        </w:rPr>
        <w:t xml:space="preserve"> </w:t>
      </w:r>
      <w:r w:rsidR="003E4B16">
        <w:rPr>
          <w:rFonts w:asciiTheme="minorHAnsi" w:hAnsiTheme="minorHAnsi" w:cstheme="minorHAnsi"/>
          <w:szCs w:val="24"/>
        </w:rPr>
        <w:t>SEPES</w:t>
      </w:r>
      <w:r w:rsidR="00D32955" w:rsidRPr="00B04F77">
        <w:rPr>
          <w:rFonts w:asciiTheme="minorHAnsi" w:hAnsiTheme="minorHAnsi" w:cstheme="minorHAnsi"/>
          <w:szCs w:val="24"/>
        </w:rPr>
        <w:t xml:space="preserve"> </w:t>
      </w:r>
      <w:r w:rsidR="00D239A9" w:rsidRPr="00B04F77">
        <w:rPr>
          <w:rFonts w:asciiTheme="minorHAnsi" w:hAnsiTheme="minorHAnsi" w:cstheme="minorHAnsi"/>
          <w:szCs w:val="24"/>
        </w:rPr>
        <w:t xml:space="preserve">a </w:t>
      </w:r>
      <w:r w:rsidR="005767F7" w:rsidRPr="00B04F77">
        <w:rPr>
          <w:rFonts w:asciiTheme="minorHAnsi" w:hAnsiTheme="minorHAnsi" w:cstheme="minorHAnsi"/>
          <w:szCs w:val="24"/>
        </w:rPr>
        <w:t>aplica</w:t>
      </w:r>
      <w:r w:rsidR="00D239A9" w:rsidRPr="00B04F77">
        <w:rPr>
          <w:rFonts w:asciiTheme="minorHAnsi" w:hAnsiTheme="minorHAnsi" w:cstheme="minorHAnsi"/>
          <w:szCs w:val="24"/>
        </w:rPr>
        <w:t>r</w:t>
      </w:r>
      <w:r w:rsidR="005767F7" w:rsidRPr="00B04F77">
        <w:rPr>
          <w:rFonts w:asciiTheme="minorHAnsi" w:hAnsiTheme="minorHAnsi" w:cstheme="minorHAnsi"/>
          <w:szCs w:val="24"/>
        </w:rPr>
        <w:t xml:space="preserve"> las recomendaciones </w:t>
      </w:r>
      <w:r w:rsidR="00D239A9" w:rsidRPr="00B04F77">
        <w:rPr>
          <w:rFonts w:asciiTheme="minorHAnsi" w:hAnsiTheme="minorHAnsi" w:cstheme="minorHAnsi"/>
          <w:szCs w:val="24"/>
        </w:rPr>
        <w:t xml:space="preserve">derivadas de la evaluación, lo que redundará en un mayor nivel de cumplimiento, </w:t>
      </w:r>
      <w:r w:rsidR="005767F7" w:rsidRPr="00B04F77">
        <w:rPr>
          <w:rFonts w:asciiTheme="minorHAnsi" w:hAnsiTheme="minorHAnsi" w:cstheme="minorHAnsi"/>
          <w:szCs w:val="24"/>
        </w:rPr>
        <w:t>cuando en 2022 se efectúe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B04F7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BC" w:rsidRDefault="008937BC" w:rsidP="00344FE7">
      <w:pPr>
        <w:spacing w:after="0" w:line="240" w:lineRule="auto"/>
      </w:pPr>
      <w:r>
        <w:separator/>
      </w:r>
    </w:p>
  </w:endnote>
  <w:endnote w:type="continuationSeparator" w:id="0">
    <w:p w:rsidR="008937BC" w:rsidRDefault="008937B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937BC" w:rsidRPr="00C23F36" w:rsidRDefault="008937B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7397B">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BC" w:rsidRDefault="008937BC" w:rsidP="00344FE7">
      <w:pPr>
        <w:spacing w:after="0" w:line="240" w:lineRule="auto"/>
      </w:pPr>
      <w:r>
        <w:separator/>
      </w:r>
    </w:p>
  </w:footnote>
  <w:footnote w:type="continuationSeparator" w:id="0">
    <w:p w:rsidR="008937BC" w:rsidRDefault="008937B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BC" w:rsidRDefault="008937B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937BC" w:rsidRDefault="008937BC">
    <w:pPr>
      <w:pStyle w:val="Encabezado"/>
    </w:pPr>
  </w:p>
  <w:p w:rsidR="008937BC" w:rsidRDefault="008937BC" w:rsidP="00344FE7">
    <w:pPr>
      <w:pStyle w:val="Encabezado"/>
    </w:pPr>
  </w:p>
  <w:p w:rsidR="008937BC" w:rsidRDefault="008937BC" w:rsidP="00344FE7">
    <w:pPr>
      <w:pStyle w:val="Encabezado"/>
    </w:pPr>
  </w:p>
  <w:p w:rsidR="008937BC" w:rsidRDefault="008937B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BC" w:rsidRDefault="008937B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1923AF4"/>
    <w:multiLevelType w:val="hybridMultilevel"/>
    <w:tmpl w:val="000C3D10"/>
    <w:lvl w:ilvl="0" w:tplc="DBDE58D0">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976D4"/>
    <w:rsid w:val="00113D1C"/>
    <w:rsid w:val="001257F9"/>
    <w:rsid w:val="0014196C"/>
    <w:rsid w:val="00142CA1"/>
    <w:rsid w:val="001620F0"/>
    <w:rsid w:val="001750A8"/>
    <w:rsid w:val="00175D6C"/>
    <w:rsid w:val="0018324C"/>
    <w:rsid w:val="00194E05"/>
    <w:rsid w:val="001A14C7"/>
    <w:rsid w:val="001B02FE"/>
    <w:rsid w:val="001B16D9"/>
    <w:rsid w:val="001E44BC"/>
    <w:rsid w:val="00226CA0"/>
    <w:rsid w:val="00235A40"/>
    <w:rsid w:val="002445EA"/>
    <w:rsid w:val="00251194"/>
    <w:rsid w:val="00292806"/>
    <w:rsid w:val="00296823"/>
    <w:rsid w:val="002A4771"/>
    <w:rsid w:val="002C000A"/>
    <w:rsid w:val="002D00A0"/>
    <w:rsid w:val="002F2730"/>
    <w:rsid w:val="002F5D0B"/>
    <w:rsid w:val="003259B9"/>
    <w:rsid w:val="00344FE7"/>
    <w:rsid w:val="00351475"/>
    <w:rsid w:val="00364215"/>
    <w:rsid w:val="003656B1"/>
    <w:rsid w:val="00365D79"/>
    <w:rsid w:val="003B5DE7"/>
    <w:rsid w:val="003C756A"/>
    <w:rsid w:val="003D01AF"/>
    <w:rsid w:val="003D0DAF"/>
    <w:rsid w:val="003E4B16"/>
    <w:rsid w:val="003F0972"/>
    <w:rsid w:val="003F38BD"/>
    <w:rsid w:val="004108BB"/>
    <w:rsid w:val="00434AE3"/>
    <w:rsid w:val="0045134F"/>
    <w:rsid w:val="0047409C"/>
    <w:rsid w:val="004B15B8"/>
    <w:rsid w:val="004D4EF1"/>
    <w:rsid w:val="00532B7B"/>
    <w:rsid w:val="005460BF"/>
    <w:rsid w:val="00553196"/>
    <w:rsid w:val="005767F7"/>
    <w:rsid w:val="005B1C12"/>
    <w:rsid w:val="005C3B65"/>
    <w:rsid w:val="005E3D42"/>
    <w:rsid w:val="00614890"/>
    <w:rsid w:val="006C0214"/>
    <w:rsid w:val="006F17B5"/>
    <w:rsid w:val="006F5890"/>
    <w:rsid w:val="0071472F"/>
    <w:rsid w:val="007342F2"/>
    <w:rsid w:val="007467AA"/>
    <w:rsid w:val="007678DD"/>
    <w:rsid w:val="0077397B"/>
    <w:rsid w:val="007A662D"/>
    <w:rsid w:val="007B024C"/>
    <w:rsid w:val="007B2862"/>
    <w:rsid w:val="007C00E5"/>
    <w:rsid w:val="007C0642"/>
    <w:rsid w:val="007C1C6F"/>
    <w:rsid w:val="007D24E2"/>
    <w:rsid w:val="00815DA2"/>
    <w:rsid w:val="00855ECA"/>
    <w:rsid w:val="008937BC"/>
    <w:rsid w:val="0089717A"/>
    <w:rsid w:val="008B79BD"/>
    <w:rsid w:val="00901F1F"/>
    <w:rsid w:val="009029E0"/>
    <w:rsid w:val="00922262"/>
    <w:rsid w:val="009261A4"/>
    <w:rsid w:val="009557B1"/>
    <w:rsid w:val="00993769"/>
    <w:rsid w:val="009B753B"/>
    <w:rsid w:val="009B7ADA"/>
    <w:rsid w:val="009C2E55"/>
    <w:rsid w:val="009D2560"/>
    <w:rsid w:val="009D6677"/>
    <w:rsid w:val="009E16B5"/>
    <w:rsid w:val="009E30AA"/>
    <w:rsid w:val="009E35FF"/>
    <w:rsid w:val="00A24192"/>
    <w:rsid w:val="00A26523"/>
    <w:rsid w:val="00A603C7"/>
    <w:rsid w:val="00A62936"/>
    <w:rsid w:val="00A802F7"/>
    <w:rsid w:val="00A83E36"/>
    <w:rsid w:val="00AD14C3"/>
    <w:rsid w:val="00AE5BF4"/>
    <w:rsid w:val="00AF4D45"/>
    <w:rsid w:val="00AF5C68"/>
    <w:rsid w:val="00B04F77"/>
    <w:rsid w:val="00B2797F"/>
    <w:rsid w:val="00B31F84"/>
    <w:rsid w:val="00B35A53"/>
    <w:rsid w:val="00B75881"/>
    <w:rsid w:val="00B81922"/>
    <w:rsid w:val="00B81EE6"/>
    <w:rsid w:val="00BC7A82"/>
    <w:rsid w:val="00BD3536"/>
    <w:rsid w:val="00C01613"/>
    <w:rsid w:val="00C0201F"/>
    <w:rsid w:val="00C05003"/>
    <w:rsid w:val="00C119CE"/>
    <w:rsid w:val="00C23F36"/>
    <w:rsid w:val="00C305B6"/>
    <w:rsid w:val="00C3135F"/>
    <w:rsid w:val="00C736B9"/>
    <w:rsid w:val="00C82AB2"/>
    <w:rsid w:val="00C87BC3"/>
    <w:rsid w:val="00C94C61"/>
    <w:rsid w:val="00CB06E5"/>
    <w:rsid w:val="00CE3FB2"/>
    <w:rsid w:val="00CF0704"/>
    <w:rsid w:val="00D23111"/>
    <w:rsid w:val="00D239A9"/>
    <w:rsid w:val="00D32955"/>
    <w:rsid w:val="00D445A4"/>
    <w:rsid w:val="00D44E9D"/>
    <w:rsid w:val="00D566A8"/>
    <w:rsid w:val="00D70994"/>
    <w:rsid w:val="00D72EF9"/>
    <w:rsid w:val="00DB21EC"/>
    <w:rsid w:val="00DB2CB4"/>
    <w:rsid w:val="00DB2CCC"/>
    <w:rsid w:val="00DB7729"/>
    <w:rsid w:val="00DC6550"/>
    <w:rsid w:val="00DD07B5"/>
    <w:rsid w:val="00DF5982"/>
    <w:rsid w:val="00E03C82"/>
    <w:rsid w:val="00E12651"/>
    <w:rsid w:val="00E35741"/>
    <w:rsid w:val="00E4386D"/>
    <w:rsid w:val="00E43D90"/>
    <w:rsid w:val="00E5135F"/>
    <w:rsid w:val="00E64F85"/>
    <w:rsid w:val="00E90B21"/>
    <w:rsid w:val="00EB7058"/>
    <w:rsid w:val="00EC38CF"/>
    <w:rsid w:val="00EC3AAE"/>
    <w:rsid w:val="00ED6FD3"/>
    <w:rsid w:val="00EE5209"/>
    <w:rsid w:val="00EF25C5"/>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styleId="Sombreadomedio2-nfasis3">
    <w:name w:val="Medium Shading 2 Accent 3"/>
    <w:basedOn w:val="Tablanormal"/>
    <w:uiPriority w:val="64"/>
    <w:rsid w:val="002445EA"/>
    <w:pPr>
      <w:spacing w:after="0" w:line="240" w:lineRule="auto"/>
    </w:pPr>
    <w:rPr>
      <w:rFonts w:asciiTheme="minorHAnsi" w:hAnsiTheme="minorHAns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styleId="Sombreadomedio2-nfasis3">
    <w:name w:val="Medium Shading 2 Accent 3"/>
    <w:basedOn w:val="Tablanormal"/>
    <w:uiPriority w:val="64"/>
    <w:rsid w:val="002445EA"/>
    <w:pPr>
      <w:spacing w:after="0" w:line="240" w:lineRule="auto"/>
    </w:pPr>
    <w:rPr>
      <w:rFonts w:asciiTheme="minorHAnsi" w:hAnsiTheme="minorHAns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9</cp:revision>
  <cp:lastPrinted>2015-01-27T17:42:00Z</cp:lastPrinted>
  <dcterms:created xsi:type="dcterms:W3CDTF">2021-08-17T08:10:00Z</dcterms:created>
  <dcterms:modified xsi:type="dcterms:W3CDTF">2021-08-17T11:04:00Z</dcterms:modified>
</cp:coreProperties>
</file>