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300642" w:rsidRDefault="0030064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300642" w:rsidRPr="00006957" w:rsidRDefault="0030064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610D8A" w:rsidRDefault="00610D8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610D8A" w:rsidRPr="00006957" w:rsidRDefault="00610D8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0642" w:rsidRDefault="0030064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10D8A" w:rsidRDefault="00610D8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E1CBE" w:rsidP="007C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Autoridad Portuaria de </w:t>
            </w:r>
            <w:r w:rsidR="007C5F74">
              <w:rPr>
                <w:sz w:val="24"/>
                <w:szCs w:val="24"/>
              </w:rPr>
              <w:t>Gijón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E1CBE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30064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300642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AP de Gijón no ha remitido información al respecto.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300642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300642" w:rsidRDefault="00300642" w:rsidP="00300642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AP de Gijón no ha remitido información al respecto.</w:t>
      </w:r>
    </w:p>
    <w:p w:rsidR="00300642" w:rsidRDefault="00300642" w:rsidP="00300642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E34195" w:rsidRDefault="00300642" w:rsidP="00300642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B378E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AP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Cuenta con </w:t>
      </w:r>
      <w:r w:rsidR="00300642">
        <w:rPr>
          <w:rStyle w:val="Ttulo2Car"/>
          <w:b w:val="0"/>
          <w:color w:val="auto"/>
          <w:sz w:val="22"/>
          <w:szCs w:val="22"/>
          <w:lang w:bidi="es-ES"/>
        </w:rPr>
        <w:t xml:space="preserve">un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apartado </w:t>
      </w:r>
      <w:r w:rsidR="00610D8A">
        <w:rPr>
          <w:rStyle w:val="Ttulo2Car"/>
          <w:b w:val="0"/>
          <w:color w:val="auto"/>
          <w:sz w:val="22"/>
          <w:szCs w:val="22"/>
          <w:lang w:bidi="es-ES"/>
        </w:rPr>
        <w:t>en su sede electrónica para la presentación de solicitudes de carácter general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>a través del Portal de Transparencia AGE, dirigidas al Ministerio de Transpo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rtes, Agenda Urbana y Movilidad, alternativa sobre la que no se informa en la web de la AP.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467A7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>sobre el derecho de los ciudadanos a solicitar información pública de la entidad. En cuanto a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los canales a través de los cuales puede solicitarse la información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en el fichero de instrucciones para la realización de consultas o peticiones de carácter general se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informa de que estas solicitudes pueden efectuarse presencialmente o a través de la sede electrónica. No se informa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se </w:t>
      </w:r>
      <w:r w:rsidR="00266692">
        <w:rPr>
          <w:rStyle w:val="Ttulo2Car"/>
          <w:b w:val="0"/>
          <w:color w:val="auto"/>
          <w:sz w:val="22"/>
          <w:szCs w:val="22"/>
          <w:lang w:bidi="es-ES"/>
        </w:rPr>
        <w:t>establece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como requisito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 xml:space="preserve">pero exige alguno de los medios de </w:t>
      </w:r>
      <w:r w:rsidR="00266692">
        <w:rPr>
          <w:rStyle w:val="Ttulo2Car"/>
          <w:b w:val="0"/>
          <w:color w:val="auto"/>
          <w:sz w:val="22"/>
          <w:szCs w:val="22"/>
          <w:lang w:bidi="es-ES"/>
        </w:rPr>
        <w:t>identificación</w:t>
      </w:r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 xml:space="preserve"> permitidos por el sistema </w:t>
      </w:r>
      <w:proofErr w:type="spellStart"/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>Cl@ve</w:t>
      </w:r>
      <w:proofErr w:type="spellEnd"/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También debe indicarse la forma de notificación preferida por la persona que solicita la información. </w:t>
      </w:r>
      <w:r w:rsidR="00F900E1">
        <w:rPr>
          <w:rStyle w:val="Ttulo2Car"/>
          <w:b w:val="0"/>
          <w:color w:val="auto"/>
          <w:sz w:val="22"/>
          <w:szCs w:val="22"/>
          <w:lang w:bidi="es-ES"/>
        </w:rPr>
        <w:t>Si la presentación es presencial debe acompañarse copia del DNI.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D41FBA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AP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proporciona un formulario web para la cumplimentación de las solicitudes </w:t>
      </w: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incluye instrucciones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y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explicaciones adicionales</w:t>
      </w:r>
      <w:r w:rsidR="0062681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todas ellas relativas a las solicitudes de carácter general que se remitan al organismo.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0064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D41FBA">
        <w:rPr>
          <w:color w:val="auto"/>
          <w:lang w:bidi="es-ES"/>
        </w:rPr>
        <w:t>12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de la AP de </w:t>
      </w:r>
      <w:r w:rsidR="00255A7E">
        <w:rPr>
          <w:color w:val="auto"/>
          <w:lang w:bidi="es-ES"/>
        </w:rPr>
        <w:t>Gijón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>De manera inmediata se emite un acuse de recibo por parte del organis</w:t>
      </w:r>
      <w:r w:rsidR="000B2A81" w:rsidRPr="00255A7E">
        <w:rPr>
          <w:b/>
          <w:color w:val="auto"/>
          <w:lang w:bidi="es-ES"/>
        </w:rPr>
        <w:t>m</w:t>
      </w:r>
      <w:r w:rsidR="000B2A81">
        <w:rPr>
          <w:color w:val="auto"/>
          <w:lang w:bidi="es-ES"/>
        </w:rPr>
        <w:t xml:space="preserve">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E1C29" w:rsidRDefault="00B108F0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13/05/2021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  <w:r>
        <w:rPr>
          <w:color w:val="auto"/>
          <w:lang w:bidi="es-ES"/>
        </w:rPr>
        <w:t>En dicha comunicación figura como fecha de presentación de la solicitud 13/05/2021.</w:t>
      </w:r>
    </w:p>
    <w:p w:rsidR="00AB4742" w:rsidRDefault="00AB4742" w:rsidP="00AB474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En el formulario de solicitud se ofrece la posibilidad de notificación de los cambios producidos en el expediente durante la tramitación.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C715D">
        <w:rPr>
          <w:color w:val="auto"/>
          <w:lang w:bidi="es-ES"/>
        </w:rPr>
        <w:t>. Con fecha 1</w:t>
      </w:r>
      <w:r>
        <w:rPr>
          <w:color w:val="auto"/>
          <w:lang w:bidi="es-ES"/>
        </w:rPr>
        <w:t>8</w:t>
      </w:r>
      <w:r w:rsidR="00AC715D">
        <w:rPr>
          <w:color w:val="auto"/>
          <w:lang w:bidi="es-ES"/>
        </w:rPr>
        <w:t>/05/2021</w:t>
      </w:r>
      <w:r>
        <w:rPr>
          <w:color w:val="auto"/>
          <w:lang w:bidi="es-ES"/>
        </w:rPr>
        <w:t>, aunque la firma es del día 25/05/2021,</w:t>
      </w:r>
      <w:r w:rsidR="00AC715D">
        <w:rPr>
          <w:color w:val="auto"/>
          <w:lang w:bidi="es-ES"/>
        </w:rPr>
        <w:t xml:space="preserve"> </w:t>
      </w:r>
      <w:r w:rsidR="00626819">
        <w:rPr>
          <w:color w:val="auto"/>
          <w:lang w:bidi="es-ES"/>
        </w:rPr>
        <w:t>en respuesta a la solicitud de información</w:t>
      </w:r>
      <w:r w:rsidR="00B108F0">
        <w:rPr>
          <w:color w:val="auto"/>
          <w:lang w:bidi="es-ES"/>
        </w:rPr>
        <w:t xml:space="preserve"> y</w:t>
      </w:r>
      <w:r w:rsidR="00626819">
        <w:rPr>
          <w:color w:val="auto"/>
          <w:lang w:bidi="es-ES"/>
        </w:rPr>
        <w:t xml:space="preserve"> se remite por correo electrónico</w:t>
      </w:r>
      <w:r w:rsidR="001C238B">
        <w:rPr>
          <w:color w:val="auto"/>
          <w:lang w:bidi="es-ES"/>
        </w:rPr>
        <w:t xml:space="preserve"> un fichero con la información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firmada por el Presidente de Puertos del Estado.</w:t>
      </w:r>
    </w:p>
    <w:p w:rsidR="00DF2ACE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En ella se comunica que la solicitud se ha acumulado a otras </w:t>
      </w:r>
      <w:r w:rsidR="00144AA7">
        <w:rPr>
          <w:color w:val="auto"/>
          <w:lang w:bidi="es-ES"/>
        </w:rPr>
        <w:t>4</w:t>
      </w:r>
      <w:r>
        <w:rPr>
          <w:color w:val="auto"/>
          <w:lang w:bidi="es-ES"/>
        </w:rPr>
        <w:t xml:space="preserve"> remitidas por el mismo solicitante con contenidos idénticos dirigidas a otras Autoridades Portuarias</w:t>
      </w:r>
      <w:r w:rsidR="00144AA7">
        <w:rPr>
          <w:color w:val="auto"/>
          <w:lang w:bidi="es-ES"/>
        </w:rPr>
        <w:t xml:space="preserve"> y organismos dependientes de Puertos del Estado</w:t>
      </w:r>
      <w:r w:rsidR="00DF2ACE"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Pr="00046805">
        <w:rPr>
          <w:color w:val="auto"/>
          <w:lang w:bidi="es-ES"/>
        </w:rPr>
        <w:t xml:space="preserve">mediante un fichero </w:t>
      </w:r>
      <w:r w:rsidR="00AC715D">
        <w:rPr>
          <w:color w:val="auto"/>
          <w:lang w:bidi="es-ES"/>
        </w:rPr>
        <w:t>Excel,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>
        <w:rPr>
          <w:color w:val="auto"/>
          <w:lang w:bidi="es-ES"/>
        </w:rPr>
        <w:t>.</w:t>
      </w:r>
    </w:p>
    <w:p w:rsidR="00467A73" w:rsidRDefault="00467A73" w:rsidP="00467A73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p w:rsidR="00046805" w:rsidRDefault="004A133A" w:rsidP="00046805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Aunque no se </w:t>
      </w:r>
      <w:r w:rsidR="00046805">
        <w:rPr>
          <w:color w:val="auto"/>
          <w:lang w:bidi="es-ES"/>
        </w:rPr>
        <w:t>entrega la totalid</w:t>
      </w:r>
      <w:r>
        <w:rPr>
          <w:color w:val="auto"/>
          <w:lang w:bidi="es-ES"/>
        </w:rPr>
        <w:t xml:space="preserve">ad de la información solicitada, se proporcionan explicaciones sobre la información que no se facilita y enlaces que posibilitan su localización en la web de otros organismos. 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467A73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Pr="004A133A" w:rsidRDefault="00F34803" w:rsidP="004A133A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</w:t>
      </w:r>
      <w:r w:rsidR="004A133A">
        <w:rPr>
          <w:color w:val="auto"/>
        </w:rPr>
        <w:t xml:space="preserve"> un total de </w:t>
      </w:r>
      <w:r w:rsidR="00B108F0">
        <w:rPr>
          <w:color w:val="auto"/>
        </w:rPr>
        <w:t>3</w:t>
      </w:r>
      <w:r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la AP de </w:t>
      </w:r>
      <w:r w:rsidR="007C5F74">
        <w:rPr>
          <w:color w:val="auto"/>
        </w:rPr>
        <w:t>Gijón</w:t>
      </w:r>
      <w:r>
        <w:rPr>
          <w:color w:val="auto"/>
        </w:rPr>
        <w:t xml:space="preserve"> en materia de acceso a la información pública. </w:t>
      </w:r>
      <w:r w:rsidR="004A133A">
        <w:rPr>
          <w:color w:val="auto"/>
        </w:rPr>
        <w:t>Todas las reclamaciones fueron</w:t>
      </w:r>
      <w:r w:rsidR="004A133A" w:rsidRPr="004A133A">
        <w:t xml:space="preserve"> estimadas – en </w:t>
      </w:r>
      <w:r w:rsidR="00B108F0">
        <w:t>un caso</w:t>
      </w:r>
      <w:r w:rsidR="004A133A" w:rsidRPr="004A133A">
        <w:t xml:space="preserve"> la </w:t>
      </w:r>
      <w:r w:rsidR="004A133A">
        <w:t>AP</w:t>
      </w:r>
      <w:r w:rsidR="004A133A" w:rsidRPr="004A133A">
        <w:t xml:space="preserve"> concedió la información antes de finalizar el procedimiento de reclamación -. </w:t>
      </w:r>
    </w:p>
    <w:p w:rsidR="004A133A" w:rsidRPr="004A133A" w:rsidRDefault="004A133A" w:rsidP="004A133A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Por lo tanto, de las </w:t>
      </w:r>
      <w:r w:rsidR="00B108F0">
        <w:rPr>
          <w:szCs w:val="24"/>
        </w:rPr>
        <w:t>3</w:t>
      </w:r>
      <w:r w:rsidRPr="004A133A">
        <w:rPr>
          <w:szCs w:val="24"/>
        </w:rPr>
        <w:t xml:space="preserve"> reclamaciones admitidas a trámite, un </w:t>
      </w:r>
      <w:r>
        <w:rPr>
          <w:szCs w:val="24"/>
        </w:rPr>
        <w:t>100</w:t>
      </w:r>
      <w:r w:rsidRPr="004A133A">
        <w:rPr>
          <w:szCs w:val="24"/>
        </w:rPr>
        <w:t xml:space="preserve">% </w:t>
      </w:r>
      <w:r>
        <w:rPr>
          <w:szCs w:val="24"/>
        </w:rPr>
        <w:t>fue favorable a</w:t>
      </w:r>
      <w:r w:rsidRPr="004A133A">
        <w:rPr>
          <w:szCs w:val="24"/>
        </w:rPr>
        <w:t xml:space="preserve"> los reclamantes. </w:t>
      </w:r>
    </w:p>
    <w:p w:rsidR="004A133A" w:rsidRPr="004A133A" w:rsidRDefault="004A133A" w:rsidP="004A133A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La </w:t>
      </w:r>
      <w:r>
        <w:rPr>
          <w:szCs w:val="24"/>
        </w:rPr>
        <w:t xml:space="preserve">AP </w:t>
      </w:r>
      <w:r w:rsidRPr="004A133A">
        <w:rPr>
          <w:szCs w:val="24"/>
        </w:rPr>
        <w:t xml:space="preserve">ha presentado recurso contencioso-administrativo contra </w:t>
      </w:r>
      <w:r w:rsidR="00B108F0">
        <w:rPr>
          <w:szCs w:val="24"/>
        </w:rPr>
        <w:t>una</w:t>
      </w:r>
      <w:r w:rsidRPr="004A133A">
        <w:rPr>
          <w:szCs w:val="24"/>
        </w:rPr>
        <w:t xml:space="preserve"> de las resoluciones del CTBG, lo que sitúa la tasa de litigiosidad en el </w:t>
      </w:r>
      <w:r w:rsidR="00B108F0">
        <w:rPr>
          <w:szCs w:val="24"/>
        </w:rPr>
        <w:t>33,3</w:t>
      </w:r>
      <w:r w:rsidRPr="004A133A">
        <w:rPr>
          <w:szCs w:val="24"/>
        </w:rPr>
        <w:t xml:space="preserve">%. </w:t>
      </w:r>
      <w:r w:rsidR="00B108F0" w:rsidRPr="00B108F0">
        <w:rPr>
          <w:szCs w:val="24"/>
        </w:rPr>
        <w:t xml:space="preserve">El recurso finalmente se resolvió mediante sentencia favorable </w:t>
      </w:r>
      <w:r w:rsidR="00B108F0">
        <w:rPr>
          <w:szCs w:val="24"/>
        </w:rPr>
        <w:t>a la entidad</w:t>
      </w:r>
      <w:r w:rsidR="00B108F0" w:rsidRPr="00B108F0">
        <w:rPr>
          <w:szCs w:val="24"/>
        </w:rPr>
        <w:t xml:space="preserve"> que ha adquirido firmeza</w:t>
      </w:r>
      <w:r w:rsidR="007B1EF0">
        <w:rPr>
          <w:szCs w:val="24"/>
        </w:rPr>
        <w:t>.</w:t>
      </w:r>
    </w:p>
    <w:p w:rsidR="004A133A" w:rsidRPr="004A133A" w:rsidRDefault="004A133A" w:rsidP="004A133A">
      <w:pPr>
        <w:spacing w:before="120" w:after="120"/>
        <w:ind w:left="425"/>
        <w:jc w:val="both"/>
        <w:rPr>
          <w:szCs w:val="24"/>
        </w:rPr>
      </w:pPr>
    </w:p>
    <w:p w:rsidR="004A133A" w:rsidRPr="00DA4FE5" w:rsidRDefault="004A133A" w:rsidP="004A133A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DA4FE5">
        <w:rPr>
          <w:rFonts w:eastAsiaTheme="majorEastAsia" w:cstheme="majorBidi"/>
          <w:b/>
          <w:color w:val="00642D"/>
          <w:lang w:bidi="es-ES"/>
        </w:rPr>
        <w:t xml:space="preserve">Tabla 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DA4FE5">
        <w:rPr>
          <w:rFonts w:eastAsiaTheme="majorEastAsia" w:cstheme="majorBidi"/>
          <w:b/>
          <w:color w:val="00642D"/>
          <w:lang w:bidi="es-ES"/>
        </w:rPr>
        <w:instrText xml:space="preserve"> SEQ Tabla \* ARABIC </w:instrTex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separate"/>
      </w:r>
      <w:r w:rsidRPr="00DA4FE5">
        <w:rPr>
          <w:rFonts w:eastAsiaTheme="majorEastAsia" w:cstheme="majorBidi"/>
          <w:b/>
          <w:color w:val="00642D"/>
          <w:lang w:bidi="es-ES"/>
        </w:rPr>
        <w:t>3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end"/>
      </w:r>
      <w:r w:rsidRPr="00DA4FE5">
        <w:rPr>
          <w:rFonts w:eastAsiaTheme="majorEastAsia" w:cstheme="majorBidi"/>
          <w:b/>
          <w:color w:val="00642D"/>
          <w:lang w:bidi="es-ES"/>
        </w:rPr>
        <w:t>: Reclamaciones ante el Consejo de Transparencia y Buen Gobierno</w:t>
      </w:r>
    </w:p>
    <w:tbl>
      <w:tblPr>
        <w:tblStyle w:val="Tablaconcuadrcula2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4A133A" w:rsidRPr="004A133A" w:rsidTr="004A133A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4A133A" w:rsidRPr="004A133A" w:rsidRDefault="00B108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133A" w:rsidRPr="004A133A" w:rsidTr="004A133A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33A" w:rsidRPr="004A133A" w:rsidTr="004A133A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B108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33A" w:rsidRPr="004A133A" w:rsidTr="004A133A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4A133A" w:rsidRPr="004A133A" w:rsidRDefault="00B108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133A" w:rsidRPr="004A133A" w:rsidTr="004A133A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133A" w:rsidRPr="004A133A" w:rsidTr="004A133A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4A133A" w:rsidRPr="004A133A" w:rsidRDefault="00B108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33A" w:rsidRPr="004A133A" w:rsidTr="004A133A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4A133A" w:rsidRPr="004A133A" w:rsidRDefault="00B108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4A133A" w:rsidRPr="004A133A" w:rsidTr="004A133A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4A133A" w:rsidRPr="004A133A" w:rsidRDefault="007B1E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33A" w:rsidRPr="004A133A" w:rsidTr="004A133A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7B1E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33A" w:rsidRPr="004A133A" w:rsidTr="004A133A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4A133A" w:rsidRPr="004A133A" w:rsidRDefault="00B108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33A" w:rsidRPr="004A133A" w:rsidTr="004A133A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B108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A133A" w:rsidRPr="004A133A" w:rsidRDefault="004A133A" w:rsidP="004A133A">
      <w:pPr>
        <w:spacing w:line="240" w:lineRule="auto"/>
        <w:jc w:val="both"/>
        <w:rPr>
          <w:color w:val="000000"/>
          <w:szCs w:val="24"/>
        </w:rPr>
      </w:pPr>
    </w:p>
    <w:p w:rsidR="001F251B" w:rsidRPr="00256215" w:rsidRDefault="0030064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467A7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467A73" w:rsidRDefault="00DC0848" w:rsidP="00DC0848">
      <w:pPr>
        <w:ind w:left="426"/>
        <w:jc w:val="both"/>
      </w:pPr>
      <w:r w:rsidRPr="00DC0848">
        <w:t xml:space="preserve">La gestión de las solicitudes de acceso a la información pública por parte </w:t>
      </w:r>
      <w:r w:rsidR="007B1EF0">
        <w:t xml:space="preserve">de la AP de </w:t>
      </w:r>
      <w:r w:rsidR="00B108F0">
        <w:t>Gijón</w:t>
      </w:r>
      <w:r w:rsidRPr="00DC0848">
        <w:t xml:space="preserve"> presenta algunas buenas prácticas que serían aplicables po</w:t>
      </w:r>
      <w:r w:rsidR="0096522C">
        <w:t xml:space="preserve">r otras organizaciones públicas, aunque algunas de estas prácticas son imputables no tanto a la AP como al Organismo </w:t>
      </w:r>
    </w:p>
    <w:p w:rsidR="00467A73" w:rsidRDefault="00467A73" w:rsidP="00DC0848">
      <w:pPr>
        <w:ind w:left="426"/>
        <w:jc w:val="both"/>
      </w:pPr>
    </w:p>
    <w:p w:rsidR="00F34803" w:rsidRDefault="0096522C" w:rsidP="00DC0848">
      <w:pPr>
        <w:ind w:left="426"/>
        <w:jc w:val="both"/>
      </w:pPr>
      <w:r>
        <w:t xml:space="preserve">Público Puertos del Estado que es quien resuelve las solicitudes de acceso a información pública de las Autoridades Portuarias.  </w:t>
      </w:r>
      <w:r w:rsidR="00DC0848" w:rsidRPr="00DC0848">
        <w:t xml:space="preserve"> Así cabe destacar:</w:t>
      </w:r>
    </w:p>
    <w:p w:rsidR="00256215" w:rsidRDefault="00A544D3" w:rsidP="00A544D3">
      <w:pPr>
        <w:pStyle w:val="Prrafodelista"/>
        <w:numPr>
          <w:ilvl w:val="0"/>
          <w:numId w:val="5"/>
        </w:numPr>
      </w:pPr>
      <w:r>
        <w:t>La disponibilidad de un formulario web para la presentación de las solicitudes.</w:t>
      </w:r>
    </w:p>
    <w:p w:rsidR="00A544D3" w:rsidRDefault="007B1EF0" w:rsidP="00A544D3">
      <w:pPr>
        <w:pStyle w:val="Prrafodelista"/>
        <w:numPr>
          <w:ilvl w:val="0"/>
          <w:numId w:val="5"/>
        </w:numPr>
      </w:pPr>
      <w:r>
        <w:t>La posibilidad de efectuar un seguimiento de la tramitación de la solicitud</w:t>
      </w:r>
      <w:r w:rsidR="00AC715D">
        <w:t>.</w:t>
      </w:r>
    </w:p>
    <w:p w:rsidR="007B1EF0" w:rsidRDefault="007B1EF0" w:rsidP="00A544D3">
      <w:pPr>
        <w:pStyle w:val="Prrafodelista"/>
        <w:numPr>
          <w:ilvl w:val="0"/>
          <w:numId w:val="5"/>
        </w:numPr>
      </w:pPr>
      <w:r>
        <w:t xml:space="preserve">Las explicaciones de las razones por las que no se concede determinada información. </w:t>
      </w:r>
    </w:p>
    <w:p w:rsidR="007B1EF0" w:rsidRDefault="007B1EF0" w:rsidP="00A544D3">
      <w:pPr>
        <w:pStyle w:val="Prrafodelista"/>
        <w:numPr>
          <w:ilvl w:val="0"/>
          <w:numId w:val="5"/>
        </w:numPr>
      </w:pPr>
      <w:r>
        <w:t xml:space="preserve">El enlace a la información solicitada que está disponible en las webs de otros organismos. </w:t>
      </w:r>
    </w:p>
    <w:p w:rsidR="00256215" w:rsidRDefault="0030064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467A73" w:rsidRDefault="00467A73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La AP de Gijón no ha informado sobre las solicitudes de información pública recibidas y tramitadas en 2020.</w:t>
      </w:r>
    </w:p>
    <w:p w:rsidR="00D74E79" w:rsidRDefault="00467A73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 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7B1EF0">
        <w:rPr>
          <w:bCs/>
        </w:rPr>
        <w:t xml:space="preserve">AP de </w:t>
      </w:r>
      <w:r w:rsidR="007C5F74">
        <w:rPr>
          <w:bCs/>
        </w:rPr>
        <w:t>Gijón</w:t>
      </w:r>
      <w:r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7B1EF0">
        <w:t>La AP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>
        <w:t xml:space="preserve">de la AP de </w:t>
      </w:r>
      <w:r w:rsidR="007C5F74">
        <w:t>Gijón</w:t>
      </w:r>
      <w:r w:rsidRPr="00C627FB">
        <w:t xml:space="preserve">. </w:t>
      </w: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467A73" w:rsidRDefault="00467A73" w:rsidP="00F34803">
      <w:pPr>
        <w:pStyle w:val="Prrafodelista"/>
        <w:ind w:left="644"/>
        <w:jc w:val="both"/>
      </w:pPr>
    </w:p>
    <w:p w:rsidR="00467A73" w:rsidRDefault="00467A73" w:rsidP="00F34803">
      <w:pPr>
        <w:pStyle w:val="Prrafodelista"/>
        <w:ind w:left="644"/>
        <w:jc w:val="both"/>
      </w:pPr>
    </w:p>
    <w:p w:rsidR="00467A73" w:rsidRDefault="00467A73" w:rsidP="00F34803">
      <w:pPr>
        <w:pStyle w:val="Prrafodelista"/>
        <w:ind w:left="644"/>
        <w:jc w:val="both"/>
      </w:pPr>
    </w:p>
    <w:p w:rsidR="00A915A2" w:rsidRDefault="00C627FB" w:rsidP="00F34803">
      <w:pPr>
        <w:pStyle w:val="Prrafodelista"/>
        <w:ind w:left="644"/>
        <w:jc w:val="both"/>
      </w:pPr>
      <w:r>
        <w:t>L</w:t>
      </w:r>
      <w:r w:rsidR="007B1EF0">
        <w:t xml:space="preserve">as solicitudes de acceso al amparo de la Ley 19/2013 se canalizan junto </w:t>
      </w:r>
      <w:r w:rsidR="00D93A14">
        <w:t>a las</w:t>
      </w:r>
      <w:r w:rsidR="007B1EF0">
        <w:t xml:space="preserve"> solicitudes </w:t>
      </w:r>
      <w:r w:rsidR="00D93A14">
        <w:t xml:space="preserve">de carácter general </w:t>
      </w:r>
      <w:r w:rsidR="007B1EF0">
        <w:t xml:space="preserve">dirigidas al organismo. Por otra parte, tampoco se informa de la posibilidad de que los solicitantes presenten sus solicitudes a través del Portal de Transparencia de la AGE, ni de los medios de contacto establecidos por la Ley 39/2015 a través de los cuales los ciudadanos pueden relacionarse con las administraciones públicas. </w:t>
      </w: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al que va di</w:t>
      </w:r>
      <w:r w:rsidR="00032FA6">
        <w:t xml:space="preserve">rigida la solicitud, información de la que no generalmente la ciudadanía. </w:t>
      </w:r>
    </w:p>
    <w:p w:rsidR="007B1EF0" w:rsidRDefault="007B1EF0" w:rsidP="00F34803">
      <w:pPr>
        <w:pStyle w:val="Prrafodelista"/>
        <w:ind w:left="644"/>
        <w:jc w:val="both"/>
      </w:pPr>
    </w:p>
    <w:p w:rsidR="00F900E1" w:rsidRPr="00D84B7B" w:rsidRDefault="00F900E1" w:rsidP="00F900E1">
      <w:pPr>
        <w:pStyle w:val="Prrafodelista"/>
        <w:ind w:left="644"/>
        <w:jc w:val="both"/>
      </w:pPr>
      <w:r>
        <w:t xml:space="preserve">La presentación a través de la sede requiere identificación electrónica. Si la presentación se efectúa presencialmente se solicita copia del DNI. </w:t>
      </w:r>
    </w:p>
    <w:p w:rsidR="00F900E1" w:rsidRDefault="00F900E1" w:rsidP="00F900E1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F900E1" w:rsidRPr="00D84B7B" w:rsidRDefault="00F900E1" w:rsidP="00F900E1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Como es sabido el artículo 28.2 de la Ley 39/2015 establece el derecho de los ciudadanos a no aportar información que esté en poder de la administración.</w:t>
      </w:r>
    </w:p>
    <w:p w:rsidR="00F900E1" w:rsidRPr="00D84B7B" w:rsidRDefault="00F900E1" w:rsidP="00F900E1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F900E1" w:rsidRPr="00D84B7B" w:rsidRDefault="00F900E1" w:rsidP="00F900E1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Este es el caso de los documentos de identidad. Por esta razón, este Consejo recomienda que las instituciones que soliciten la acreditación de la identidad por esta vía, valoren</w:t>
      </w:r>
      <w:r>
        <w:t xml:space="preserve"> </w:t>
      </w:r>
      <w:r w:rsidRPr="00D84B7B">
        <w:t>recurrir a la Plataforma de Intermediación de Datos (PID) que da acceso a numerosos documentos que obran en poder de las administraciones públicas, entre ellos los documentos de identidad.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2E0A33">
        <w:t>Puertos del Estado</w:t>
      </w:r>
      <w:r w:rsidR="002E0A33" w:rsidRPr="002E0A33">
        <w:t xml:space="preserve"> está motivada y correctamente estructurada, es clara y comprensible, incluye pie de recurso y además proporciona un gran número de explicaciones adicionales relativas </w:t>
      </w:r>
      <w:r w:rsidR="002E0A33">
        <w:t>a la información que no se proporciona incluyendo enlaces otras webs institucionales que si disponen de ella.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  <w:r w:rsidRPr="00D84B7B">
        <w:t xml:space="preserve">La notificación se efectúa </w:t>
      </w:r>
      <w:r w:rsidR="00C627FB">
        <w:t>mediante comparece</w:t>
      </w:r>
      <w:bookmarkStart w:id="0" w:name="_GoBack"/>
      <w:bookmarkEnd w:id="0"/>
      <w:r w:rsidR="00C627FB">
        <w:t>ncia en sede – coincide con la opción del solicitante -</w:t>
      </w:r>
      <w:r w:rsidRPr="00D84B7B">
        <w:t xml:space="preserve"> y la información se proporciona en el momento de la notificación.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42" w:rsidRDefault="00300642" w:rsidP="00932008">
      <w:pPr>
        <w:spacing w:after="0" w:line="240" w:lineRule="auto"/>
      </w:pPr>
      <w:r>
        <w:separator/>
      </w:r>
    </w:p>
  </w:endnote>
  <w:endnote w:type="continuationSeparator" w:id="0">
    <w:p w:rsidR="00300642" w:rsidRDefault="0030064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00642" w:rsidRPr="00C533E7" w:rsidRDefault="0030064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467A73">
          <w:rPr>
            <w:noProof/>
            <w:sz w:val="18"/>
            <w:szCs w:val="18"/>
          </w:rPr>
          <w:t>5</w:t>
        </w:r>
        <w:r w:rsidRPr="00C533E7">
          <w:rPr>
            <w:sz w:val="18"/>
            <w:szCs w:val="18"/>
          </w:rPr>
          <w:fldChar w:fldCharType="end"/>
        </w:r>
      </w:p>
    </w:sdtContent>
  </w:sdt>
  <w:p w:rsidR="00300642" w:rsidRDefault="003006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42" w:rsidRDefault="00300642" w:rsidP="00932008">
      <w:pPr>
        <w:spacing w:after="0" w:line="240" w:lineRule="auto"/>
      </w:pPr>
      <w:r>
        <w:separator/>
      </w:r>
    </w:p>
  </w:footnote>
  <w:footnote w:type="continuationSeparator" w:id="0">
    <w:p w:rsidR="00300642" w:rsidRDefault="0030064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44AA7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281C"/>
    <w:rsid w:val="00266692"/>
    <w:rsid w:val="002A154B"/>
    <w:rsid w:val="002E0A33"/>
    <w:rsid w:val="00300642"/>
    <w:rsid w:val="003145AD"/>
    <w:rsid w:val="00334115"/>
    <w:rsid w:val="00340559"/>
    <w:rsid w:val="003B5288"/>
    <w:rsid w:val="003F271E"/>
    <w:rsid w:val="003F572A"/>
    <w:rsid w:val="00467A73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54162"/>
    <w:rsid w:val="006A2766"/>
    <w:rsid w:val="006A2E9A"/>
    <w:rsid w:val="00706E04"/>
    <w:rsid w:val="00707CFE"/>
    <w:rsid w:val="00710031"/>
    <w:rsid w:val="00727BA2"/>
    <w:rsid w:val="00743756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A41DD5"/>
    <w:rsid w:val="00A544D3"/>
    <w:rsid w:val="00A8003E"/>
    <w:rsid w:val="00A915A2"/>
    <w:rsid w:val="00AB4742"/>
    <w:rsid w:val="00AC715D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F14DA4"/>
    <w:rsid w:val="00F34803"/>
    <w:rsid w:val="00F47C3B"/>
    <w:rsid w:val="00F50AE2"/>
    <w:rsid w:val="00F71D7D"/>
    <w:rsid w:val="00F7263F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02686"/>
    <w:rsid w:val="002A5B0E"/>
    <w:rsid w:val="002C1748"/>
    <w:rsid w:val="002C7AFA"/>
    <w:rsid w:val="003D088C"/>
    <w:rsid w:val="00543A52"/>
    <w:rsid w:val="00546DCA"/>
    <w:rsid w:val="0087096B"/>
    <w:rsid w:val="00A80EAD"/>
    <w:rsid w:val="00AB1850"/>
    <w:rsid w:val="00C20906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16D72-FDFA-4EC6-82C4-1E1ED3F0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81</TotalTime>
  <Pages>5</Pages>
  <Words>1508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subject/>
  <dc:creator>anam.ruiz</dc:creator>
  <cp:keywords/>
  <dc:description/>
  <cp:lastModifiedBy>anam.ruiz</cp:lastModifiedBy>
  <cp:revision>10</cp:revision>
  <cp:lastPrinted>2007-10-26T10:03:00Z</cp:lastPrinted>
  <dcterms:created xsi:type="dcterms:W3CDTF">2021-05-31T12:22:00Z</dcterms:created>
  <dcterms:modified xsi:type="dcterms:W3CDTF">2021-08-24T10:52:00Z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