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A47759" w:rsidRDefault="00A4775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A47759" w:rsidRPr="00006957" w:rsidRDefault="00A4775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40E06" w:rsidRDefault="00E40E0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40E06" w:rsidRPr="00006957" w:rsidRDefault="00E40E0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7759" w:rsidRDefault="00A4775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40E06" w:rsidRDefault="00E40E06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05286" w:rsidP="00AC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Alimentos y Aceites, SA. SME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D05286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FF69C4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FF69C4" w:rsidP="00FF69C4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FF69C4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F69C4" w:rsidRDefault="00FF69C4" w:rsidP="00FF69C4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F96C5F">
        <w:rPr>
          <w:rStyle w:val="Ttulo2Car"/>
          <w:b w:val="0"/>
          <w:color w:val="auto"/>
          <w:sz w:val="22"/>
          <w:szCs w:val="22"/>
          <w:lang w:bidi="es-ES"/>
        </w:rPr>
        <w:t>A</w:t>
      </w:r>
      <w:r w:rsidR="00921515">
        <w:rPr>
          <w:rStyle w:val="Ttulo2Car"/>
          <w:b w:val="0"/>
          <w:color w:val="auto"/>
          <w:sz w:val="22"/>
          <w:szCs w:val="22"/>
          <w:lang w:bidi="es-ES"/>
        </w:rPr>
        <w:t>limentos</w:t>
      </w:r>
      <w:r w:rsidR="00F96C5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921515">
        <w:rPr>
          <w:rStyle w:val="Ttulo2Car"/>
          <w:b w:val="0"/>
          <w:color w:val="auto"/>
          <w:sz w:val="22"/>
          <w:szCs w:val="22"/>
          <w:lang w:bidi="es-ES"/>
        </w:rPr>
        <w:t>y</w:t>
      </w:r>
      <w:r w:rsidR="00F96C5F">
        <w:rPr>
          <w:rStyle w:val="Ttulo2Car"/>
          <w:b w:val="0"/>
          <w:color w:val="auto"/>
          <w:sz w:val="22"/>
          <w:szCs w:val="22"/>
          <w:lang w:bidi="es-ES"/>
        </w:rPr>
        <w:t xml:space="preserve"> A</w:t>
      </w:r>
      <w:r w:rsidR="00921515">
        <w:rPr>
          <w:rStyle w:val="Ttulo2Car"/>
          <w:b w:val="0"/>
          <w:color w:val="auto"/>
          <w:sz w:val="22"/>
          <w:szCs w:val="22"/>
          <w:lang w:bidi="es-ES"/>
        </w:rPr>
        <w:t>ceites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, información sobre las solicitudes denegadas </w:t>
      </w:r>
      <w:r w:rsidR="006B57D9">
        <w:rPr>
          <w:rStyle w:val="Ttulo2Car"/>
          <w:b w:val="0"/>
          <w:color w:val="auto"/>
          <w:sz w:val="22"/>
          <w:szCs w:val="22"/>
          <w:lang w:bidi="es-ES"/>
        </w:rPr>
        <w:t>por apli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FF69C4" w:rsidP="00FF69C4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FF69C4" w:rsidRDefault="00B378E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 xml:space="preserve"> web institucional de </w:t>
      </w:r>
      <w:r w:rsidR="00F96C5F">
        <w:rPr>
          <w:rStyle w:val="Ttulo2Car"/>
          <w:b w:val="0"/>
          <w:color w:val="auto"/>
          <w:sz w:val="22"/>
          <w:szCs w:val="22"/>
          <w:lang w:bidi="es-ES"/>
        </w:rPr>
        <w:t>Alimentos y Aceites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3633A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E3633A" w:rsidRPr="00E3633A">
        <w:rPr>
          <w:rStyle w:val="Ttulo2Car"/>
          <w:b w:val="0"/>
          <w:color w:val="auto"/>
          <w:sz w:val="22"/>
          <w:szCs w:val="22"/>
          <w:lang w:bidi="es-ES"/>
        </w:rPr>
        <w:t xml:space="preserve">uenta con un acceso </w:t>
      </w:r>
      <w:r w:rsidR="00056498" w:rsidRPr="00056498">
        <w:rPr>
          <w:rStyle w:val="Ttulo2Car"/>
          <w:b w:val="0"/>
          <w:color w:val="auto"/>
          <w:sz w:val="22"/>
          <w:szCs w:val="22"/>
          <w:lang w:bidi="es-ES"/>
        </w:rPr>
        <w:t>“</w:t>
      </w:r>
      <w:r w:rsidR="00F96C5F">
        <w:rPr>
          <w:rStyle w:val="Ttulo2Car"/>
          <w:b w:val="0"/>
          <w:color w:val="auto"/>
          <w:sz w:val="22"/>
          <w:szCs w:val="22"/>
          <w:lang w:bidi="es-ES"/>
        </w:rPr>
        <w:t>buzón de Transparencia</w:t>
      </w:r>
      <w:r w:rsidR="00056498" w:rsidRPr="00056498">
        <w:rPr>
          <w:rStyle w:val="Ttulo2Car"/>
          <w:b w:val="0"/>
          <w:color w:val="auto"/>
          <w:sz w:val="22"/>
          <w:szCs w:val="22"/>
          <w:lang w:bidi="es-ES"/>
        </w:rPr>
        <w:t xml:space="preserve">” </w:t>
      </w:r>
      <w:r w:rsidR="00056498">
        <w:rPr>
          <w:rStyle w:val="Ttulo2Car"/>
          <w:b w:val="0"/>
          <w:color w:val="auto"/>
          <w:sz w:val="22"/>
          <w:szCs w:val="22"/>
          <w:lang w:bidi="es-ES"/>
        </w:rPr>
        <w:t>dentro de su Portal de Transparencia. En dicho espacio</w:t>
      </w:r>
      <w:r w:rsidR="00F96C5F"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056498">
        <w:rPr>
          <w:rStyle w:val="Ttulo2Car"/>
          <w:b w:val="0"/>
          <w:color w:val="auto"/>
          <w:sz w:val="22"/>
          <w:szCs w:val="22"/>
          <w:lang w:bidi="es-ES"/>
        </w:rPr>
        <w:t xml:space="preserve"> s</w:t>
      </w:r>
      <w:r w:rsidR="00056498" w:rsidRPr="00056498">
        <w:rPr>
          <w:rStyle w:val="Ttulo2Car"/>
          <w:b w:val="0"/>
          <w:color w:val="auto"/>
          <w:sz w:val="22"/>
          <w:szCs w:val="22"/>
          <w:lang w:bidi="es-ES"/>
        </w:rPr>
        <w:t xml:space="preserve">e hace expresa referencia a la posibilidad de solicitar información a </w:t>
      </w:r>
      <w:r w:rsidR="00F96C5F">
        <w:rPr>
          <w:rStyle w:val="Ttulo2Car"/>
          <w:b w:val="0"/>
          <w:color w:val="auto"/>
          <w:sz w:val="22"/>
          <w:szCs w:val="22"/>
          <w:lang w:bidi="es-ES"/>
        </w:rPr>
        <w:t xml:space="preserve">Alimentos y Aceites y </w:t>
      </w:r>
      <w:r w:rsidR="00F96C5F" w:rsidRPr="00F96C5F">
        <w:rPr>
          <w:rStyle w:val="Ttulo2Car"/>
          <w:b w:val="0"/>
          <w:color w:val="auto"/>
          <w:sz w:val="22"/>
          <w:szCs w:val="22"/>
          <w:lang w:bidi="es-ES"/>
        </w:rPr>
        <w:t xml:space="preserve">se informa </w:t>
      </w:r>
      <w:r w:rsidR="00F96C5F">
        <w:rPr>
          <w:rStyle w:val="Ttulo2Car"/>
          <w:b w:val="0"/>
          <w:color w:val="auto"/>
          <w:sz w:val="22"/>
          <w:szCs w:val="22"/>
          <w:lang w:bidi="es-ES"/>
        </w:rPr>
        <w:t xml:space="preserve">de </w:t>
      </w:r>
      <w:r w:rsidR="00F96C5F" w:rsidRPr="00F96C5F">
        <w:rPr>
          <w:rStyle w:val="Ttulo2Car"/>
          <w:b w:val="0"/>
          <w:color w:val="auto"/>
          <w:sz w:val="22"/>
          <w:szCs w:val="22"/>
          <w:lang w:bidi="es-ES"/>
        </w:rPr>
        <w:t xml:space="preserve">que el órgano competente para conocer de las solicitudes de acceso de la sociedad será la Unidad </w:t>
      </w:r>
    </w:p>
    <w:p w:rsidR="00FF69C4" w:rsidRDefault="00FF69C4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378E2" w:rsidRPr="00B378E2" w:rsidRDefault="00F96C5F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F96C5F">
        <w:rPr>
          <w:rStyle w:val="Ttulo2Car"/>
          <w:b w:val="0"/>
          <w:color w:val="auto"/>
          <w:sz w:val="22"/>
          <w:szCs w:val="22"/>
          <w:lang w:bidi="es-ES"/>
        </w:rPr>
        <w:t xml:space="preserve">Responsable de Transparencia de </w:t>
      </w:r>
      <w:proofErr w:type="spellStart"/>
      <w:r w:rsidRPr="00F96C5F">
        <w:rPr>
          <w:rStyle w:val="Ttulo2Car"/>
          <w:b w:val="0"/>
          <w:color w:val="auto"/>
          <w:sz w:val="22"/>
          <w:szCs w:val="22"/>
          <w:lang w:bidi="es-ES"/>
        </w:rPr>
        <w:t>Cofivacasa</w:t>
      </w:r>
      <w:proofErr w:type="spellEnd"/>
      <w:r w:rsidRPr="00F96C5F">
        <w:rPr>
          <w:rStyle w:val="Ttulo2Car"/>
          <w:b w:val="0"/>
          <w:color w:val="auto"/>
          <w:sz w:val="22"/>
          <w:szCs w:val="22"/>
          <w:lang w:bidi="es-ES"/>
        </w:rPr>
        <w:t>, S.A., S.M.E., entidad que ostenta el cargo de Ad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ministrador Único de la empresa, dado que Alimentos y Aceites </w:t>
      </w:r>
      <w:proofErr w:type="gramStart"/>
      <w:r>
        <w:rPr>
          <w:rStyle w:val="Ttulo2Car"/>
          <w:b w:val="0"/>
          <w:color w:val="auto"/>
          <w:sz w:val="22"/>
          <w:szCs w:val="22"/>
          <w:lang w:bidi="es-ES"/>
        </w:rPr>
        <w:t>carece</w:t>
      </w:r>
      <w:proofErr w:type="gramEnd"/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plantilla propia. </w:t>
      </w:r>
      <w:r w:rsidRPr="00F96C5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561402" w:rsidRPr="00BB6799" w:rsidRDefault="00F96C5F" w:rsidP="00F96C5F">
      <w:pPr>
        <w:ind w:left="426"/>
        <w:jc w:val="both"/>
        <w:rPr>
          <w:b/>
          <w:color w:val="00642D"/>
          <w:sz w:val="30"/>
          <w:szCs w:val="30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COFIVASA</w:t>
      </w:r>
      <w:r w:rsidR="00B378E2"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proporciona un fichero que describe el procedimiento de tramitación de las solicitudes de acceso y los requisitos necesarios para presentarlas. </w:t>
      </w:r>
      <w:r w:rsidR="002E7910">
        <w:rPr>
          <w:rStyle w:val="Ttulo2Car"/>
          <w:b w:val="0"/>
          <w:color w:val="auto"/>
          <w:sz w:val="22"/>
          <w:szCs w:val="22"/>
          <w:lang w:bidi="es-ES"/>
        </w:rPr>
        <w:t xml:space="preserve">No se informa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>sobre los medios de contacto con las administraciones públicas establecidos por la Ley 39/2015</w:t>
      </w:r>
      <w:r>
        <w:rPr>
          <w:rStyle w:val="Ttulo2Car"/>
          <w:b w:val="0"/>
          <w:color w:val="auto"/>
          <w:sz w:val="22"/>
          <w:szCs w:val="22"/>
          <w:lang w:bidi="es-ES"/>
        </w:rPr>
        <w:t>, pero se indica que las solicitudes podrán presentarse preferiblemente electrónica o por cualquier otro medio que permita tener constancia de la identidad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FF69C4" w:rsidP="00FF69C4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2E7910">
        <w:rPr>
          <w:color w:val="auto"/>
          <w:lang w:bidi="es-ES"/>
        </w:rPr>
        <w:t>10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F96C5F">
        <w:rPr>
          <w:color w:val="auto"/>
          <w:lang w:bidi="es-ES"/>
        </w:rPr>
        <w:t>del buzón de transparencia de COFIVACASA</w:t>
      </w:r>
      <w:r w:rsidR="00EA202A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de </w:t>
      </w:r>
      <w:r w:rsidR="00F96C5F" w:rsidRPr="00F96C5F">
        <w:rPr>
          <w:color w:val="auto"/>
          <w:lang w:bidi="es-ES"/>
        </w:rPr>
        <w:t>Alimentos y Aceites</w:t>
      </w:r>
      <w:r>
        <w:rPr>
          <w:color w:val="auto"/>
          <w:lang w:bidi="es-ES"/>
        </w:rPr>
        <w:t xml:space="preserve">. </w:t>
      </w:r>
      <w:r w:rsidR="00F96C5F">
        <w:rPr>
          <w:color w:val="auto"/>
          <w:lang w:bidi="es-ES"/>
        </w:rPr>
        <w:t>No</w:t>
      </w:r>
      <w:r w:rsidR="000B2A81">
        <w:rPr>
          <w:color w:val="auto"/>
          <w:lang w:bidi="es-ES"/>
        </w:rPr>
        <w:t xml:space="preserve"> se emite un acuse de recibo</w:t>
      </w:r>
      <w:r w:rsidR="00AC715D" w:rsidRPr="00A22370">
        <w:rPr>
          <w:color w:val="auto"/>
          <w:lang w:bidi="es-ES"/>
        </w:rPr>
        <w:t>.</w:t>
      </w:r>
      <w:r w:rsidR="00AC715D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006995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 w:rsidR="00AC2468">
        <w:rPr>
          <w:color w:val="auto"/>
          <w:lang w:bidi="es-ES"/>
        </w:rPr>
        <w:t xml:space="preserve"> </w:t>
      </w:r>
    </w:p>
    <w:p w:rsidR="00F96C5F" w:rsidRDefault="00F96C5F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F96C5F">
        <w:rPr>
          <w:color w:val="auto"/>
          <w:lang w:bidi="es-ES"/>
        </w:rPr>
        <w:t xml:space="preserve">Mediante correo electrónico de fecha 10/05/2021 se comunica por COFIVACASA </w:t>
      </w:r>
      <w:r w:rsidR="003C3F8A">
        <w:rPr>
          <w:color w:val="auto"/>
          <w:lang w:bidi="es-ES"/>
        </w:rPr>
        <w:t>la necesidad de</w:t>
      </w:r>
      <w:r w:rsidRPr="00F96C5F">
        <w:rPr>
          <w:color w:val="auto"/>
          <w:lang w:bidi="es-ES"/>
        </w:rPr>
        <w:t xml:space="preserve"> acreditación de la identidad remitiendo el nombre completo y el DNI. Además</w:t>
      </w:r>
      <w:r w:rsidR="003C3F8A">
        <w:rPr>
          <w:color w:val="auto"/>
          <w:lang w:bidi="es-ES"/>
        </w:rPr>
        <w:t xml:space="preserve"> se indica que </w:t>
      </w:r>
      <w:r w:rsidRPr="00F96C5F">
        <w:rPr>
          <w:color w:val="auto"/>
          <w:lang w:bidi="es-ES"/>
        </w:rPr>
        <w:t xml:space="preserve"> “De igual modo, en función de lo dispuesto en el </w:t>
      </w:r>
      <w:r w:rsidR="003C3F8A" w:rsidRPr="00F96C5F">
        <w:rPr>
          <w:color w:val="auto"/>
          <w:lang w:bidi="es-ES"/>
        </w:rPr>
        <w:t>artículo</w:t>
      </w:r>
      <w:r w:rsidRPr="00F96C5F">
        <w:rPr>
          <w:color w:val="auto"/>
          <w:lang w:bidi="es-ES"/>
        </w:rPr>
        <w:t xml:space="preserve"> 15.3 apartado b) de la citada ley, a efectos de realizar el correspondiente ponderación del interés público en la divulgación de la información y los derechos de los afectados cuyos datos aparezcan en la información solicitada, en particular su derecho fundamental a la protección de datos de carácter personal, </w:t>
      </w:r>
      <w:r w:rsidRPr="00A47759">
        <w:rPr>
          <w:i/>
          <w:color w:val="auto"/>
          <w:u w:val="single"/>
          <w:lang w:bidi="es-ES"/>
        </w:rPr>
        <w:t>se solicita la acreditación de su condición de investigador y la motivación del acceso en fines históricos, científicos o estadísticos</w:t>
      </w:r>
      <w:r w:rsidRPr="00F96C5F">
        <w:rPr>
          <w:color w:val="auto"/>
          <w:lang w:bidi="es-ES"/>
        </w:rPr>
        <w:t>”.</w:t>
      </w:r>
    </w:p>
    <w:p w:rsidR="003C3F8A" w:rsidRDefault="003C3F8A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Ante esta comunicación se decide no continuar con la solicitud.</w:t>
      </w:r>
    </w:p>
    <w:p w:rsidR="003C3F8A" w:rsidRDefault="003C3F8A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FF69C4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E03C01" w:rsidRPr="004A133A" w:rsidRDefault="00E03C01" w:rsidP="003C3F8A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</w:t>
      </w:r>
      <w:r w:rsidR="003C3F8A">
        <w:rPr>
          <w:color w:val="auto"/>
        </w:rPr>
        <w:t xml:space="preserve">no </w:t>
      </w:r>
      <w:r>
        <w:rPr>
          <w:color w:val="auto"/>
        </w:rPr>
        <w:t xml:space="preserve">ha recibido reclamaciones contra resoluciones de </w:t>
      </w:r>
      <w:r w:rsidR="00F96C5F" w:rsidRPr="00F96C5F">
        <w:rPr>
          <w:color w:val="auto"/>
        </w:rPr>
        <w:t>Alimentos y Aceites</w:t>
      </w:r>
      <w:r>
        <w:rPr>
          <w:color w:val="auto"/>
        </w:rPr>
        <w:t xml:space="preserve"> en materia de acceso a la información pública. </w:t>
      </w:r>
    </w:p>
    <w:p w:rsidR="00A97E83" w:rsidRPr="004A133A" w:rsidRDefault="00A97E83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FF69C4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A97E83" w:rsidRDefault="00A97E83" w:rsidP="00DC0848">
      <w:pPr>
        <w:ind w:left="426"/>
        <w:jc w:val="both"/>
      </w:pPr>
    </w:p>
    <w:p w:rsidR="00B07CF7" w:rsidRDefault="003C3F8A" w:rsidP="003C3F8A">
      <w:pPr>
        <w:spacing w:before="120" w:after="120"/>
        <w:ind w:left="426"/>
        <w:jc w:val="both"/>
      </w:pPr>
      <w:r>
        <w:t>Dado que en el portal de transparencia de la sociedad solo se proporciona un enlace al buzón de transparencia de COFIVACASA y que es esta entidad quien gestiona las solicitudes de acceso a información de Alimentos y Aceites,  no caben buenas prácticas que reseñar.</w:t>
      </w:r>
    </w:p>
    <w:p w:rsidR="003C3F8A" w:rsidRDefault="003C3F8A" w:rsidP="003C3F8A">
      <w:pPr>
        <w:spacing w:before="120" w:after="120"/>
        <w:ind w:left="426"/>
        <w:jc w:val="both"/>
      </w:pPr>
    </w:p>
    <w:p w:rsidR="00256215" w:rsidRDefault="00FF69C4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FF69C4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Como se ha indicado Alimentos y Aceites no ha remitido información sobre la actividad generada por las solicitudes de acceso a información pública en 2020. </w:t>
      </w:r>
      <w:r w:rsidR="00F34803">
        <w:rPr>
          <w:bCs/>
        </w:rPr>
        <w:t xml:space="preserve">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no se publican las resoluciones que deniegan el acceso a la información </w:t>
      </w:r>
      <w:r w:rsidR="00A97E83">
        <w:rPr>
          <w:bCs/>
        </w:rPr>
        <w:t>por apli</w:t>
      </w:r>
      <w:r w:rsidRPr="00D74E79">
        <w:rPr>
          <w:bCs/>
        </w:rPr>
        <w:t>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F96C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F96C5F">
        <w:rPr>
          <w:bCs/>
        </w:rPr>
        <w:t xml:space="preserve">Alimentos y Aceites </w:t>
      </w:r>
      <w:r w:rsidR="00D74E79">
        <w:rPr>
          <w:bCs/>
        </w:rPr>
        <w:t xml:space="preserve">debería publicar en su Portal de Transparencia las resoluciones que deniegan el acceso a la información por </w:t>
      </w:r>
      <w:r w:rsidR="00A97E83">
        <w:rPr>
          <w:bCs/>
        </w:rPr>
        <w:t>ap</w:t>
      </w:r>
      <w:r w:rsidR="00D74E79">
        <w:rPr>
          <w:bCs/>
        </w:rPr>
        <w:t>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</w:t>
      </w:r>
      <w:r w:rsidR="00A97E83">
        <w:rPr>
          <w:bCs/>
        </w:rPr>
        <w:t>aplicación de estos 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3C3F8A" w:rsidRDefault="00F34803" w:rsidP="00B07CF7">
      <w:pPr>
        <w:pStyle w:val="Prrafodelista"/>
        <w:ind w:left="426"/>
        <w:jc w:val="both"/>
      </w:pPr>
      <w:r>
        <w:t xml:space="preserve">Como se ha indicado, </w:t>
      </w:r>
      <w:r w:rsidR="00F96C5F" w:rsidRPr="00F96C5F">
        <w:t xml:space="preserve">Alimentos y Aceites </w:t>
      </w:r>
      <w:r w:rsidR="00D74E79">
        <w:t>dispone de un</w:t>
      </w:r>
      <w:r>
        <w:t xml:space="preserve"> espacio </w:t>
      </w:r>
      <w:r w:rsidR="00D74E79">
        <w:t xml:space="preserve">en su Portal de Transparencia que </w:t>
      </w:r>
      <w:r w:rsidR="003C3F8A">
        <w:t xml:space="preserve">enlaza al buzón de transparencia de COFIVACASA, administrador único de la sociedad que es quien gestiona sus solicitudes de acceso. En este espacio no se </w:t>
      </w:r>
      <w:r w:rsidR="007B1EF0">
        <w:t>inform</w:t>
      </w:r>
      <w:r w:rsidR="00B07CF7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</w:p>
    <w:p w:rsidR="003C3F8A" w:rsidRDefault="003C3F8A" w:rsidP="00B07CF7">
      <w:pPr>
        <w:pStyle w:val="Prrafodelista"/>
        <w:ind w:left="426"/>
        <w:jc w:val="both"/>
      </w:pPr>
    </w:p>
    <w:p w:rsidR="00B07CF7" w:rsidRDefault="003C3F8A" w:rsidP="00B07CF7">
      <w:pPr>
        <w:pStyle w:val="Prrafodelista"/>
        <w:ind w:left="426"/>
        <w:jc w:val="both"/>
      </w:pPr>
      <w:r>
        <w:t xml:space="preserve">En el apartado del Portal de Transparencia de COFIVACASA se proporciona un documento que describe el procedimiento de tramitación de las solicitudes de acceso y que </w:t>
      </w:r>
      <w:r w:rsidR="00921515">
        <w:t>facilita</w:t>
      </w:r>
      <w:r>
        <w:t xml:space="preserve"> información sobre los requisitos </w:t>
      </w:r>
      <w:r w:rsidR="00777CEC">
        <w:t xml:space="preserve">para la presentación de solicitudes. Aunque se indica que las solicitudes se presentarán por medios preferiblemente electrónicos </w:t>
      </w:r>
      <w:r w:rsidR="00CF21B1">
        <w:t>se ofrece la posibilidad de presentación a través de cualquier medio que permita tener constancia de la identidad, la información solicitada, medio de contacto y modalidad de acceso</w:t>
      </w:r>
      <w:r w:rsidR="00B07CF7">
        <w:t>.</w:t>
      </w:r>
      <w:r w:rsidR="00CF21B1">
        <w:t xml:space="preserve"> Pero no se informa sobre </w:t>
      </w:r>
      <w:r w:rsidR="00CF21B1" w:rsidRPr="00CF21B1">
        <w:t>de los medios de contacto establecidos por la Ley 39/2015 a través de los cuales los ciudadanos pueden relacionarse con las administraciones públicas.</w:t>
      </w:r>
    </w:p>
    <w:p w:rsidR="00B07CF7" w:rsidRDefault="00B07CF7" w:rsidP="00B07CF7">
      <w:pPr>
        <w:pStyle w:val="Prrafodelista"/>
        <w:ind w:left="426"/>
        <w:jc w:val="both"/>
      </w:pPr>
    </w:p>
    <w:p w:rsidR="00B07CF7" w:rsidRDefault="00CF21B1" w:rsidP="00B07CF7">
      <w:pPr>
        <w:pStyle w:val="Prrafodelista"/>
        <w:ind w:left="426"/>
        <w:jc w:val="both"/>
      </w:pPr>
      <w:r>
        <w:t xml:space="preserve">Por otra parte y a juzgar por los contenidos de la comunicación recibida durante la tramitación de la solicitud efectuada por este Consejo, </w:t>
      </w:r>
      <w:r w:rsidR="00B07CF7">
        <w:t>se contempla como requisito obligatorio, la aportación del documento de identidad por parte de los solicitantes</w:t>
      </w:r>
      <w:r>
        <w:t>, cuestión sobre la que no se indica nada en el documento sobre tramitación de las solicitudes</w:t>
      </w:r>
      <w:r w:rsidR="00B07CF7">
        <w:t>.</w:t>
      </w:r>
    </w:p>
    <w:p w:rsidR="00B07CF7" w:rsidRDefault="00B07CF7" w:rsidP="00B07CF7">
      <w:pPr>
        <w:pStyle w:val="Prrafodelista"/>
        <w:ind w:left="426"/>
        <w:jc w:val="both"/>
      </w:pPr>
    </w:p>
    <w:p w:rsidR="00B07CF7" w:rsidRDefault="00B07CF7" w:rsidP="00B07CF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  <w:r>
        <w:t>Como es sabido el artículo 28.2 de la Ley 39/2015 establece el derecho de los ciudadanos a no aportar información que esté en poder de la administración.</w:t>
      </w:r>
    </w:p>
    <w:p w:rsidR="00B07CF7" w:rsidRDefault="00B07CF7" w:rsidP="00B07CF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</w:p>
    <w:p w:rsidR="00B07CF7" w:rsidRDefault="00B07CF7" w:rsidP="00B07CF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  <w:r>
        <w:t xml:space="preserve">Este es el caso de los documentos de identidad. Por esta razón, este Consejo recomienda que las instituciones que soliciten la acreditación de la identidad por esta vía, valoren, si </w:t>
      </w:r>
      <w:r>
        <w:lastRenderedPageBreak/>
        <w:t>fuese posible, recurrir a la Plataforma de Intermediación de Datos (PID) que da acceso a numerosos documentos que obran en poder de las administraciones públicas, entre ellos los documentos de identidad.</w:t>
      </w:r>
    </w:p>
    <w:p w:rsidR="00B07CF7" w:rsidRDefault="00B07CF7" w:rsidP="00B07CF7">
      <w:pPr>
        <w:pStyle w:val="Prrafodelista"/>
        <w:ind w:left="426"/>
        <w:jc w:val="both"/>
      </w:pPr>
    </w:p>
    <w:p w:rsidR="002E0A33" w:rsidRDefault="002E0A33" w:rsidP="00B07CF7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Default="000C6C77" w:rsidP="002E0A33">
      <w:pPr>
        <w:pStyle w:val="Prrafodelista"/>
        <w:ind w:left="426"/>
        <w:jc w:val="both"/>
      </w:pPr>
      <w:r>
        <w:t xml:space="preserve">La gestión de la solicitud de acceso no se ha ajustado al procedimiento establecido.  </w:t>
      </w:r>
      <w:r w:rsidR="00CF21B1">
        <w:t xml:space="preserve">Como se ha indicado, por parte de este Consejo se decidió no continuar con la solicitud de acceso tras la recepción de la comunicación </w:t>
      </w:r>
      <w:r w:rsidR="00E40E06">
        <w:t>de COFIVACASA en la que se solicitaba acompañar una copia del DNI y además acreditar la condición de investigador – condición a la que se aludía en la solicitud de información- y la motivación alegando la necesidad de</w:t>
      </w:r>
      <w:r w:rsidR="00E40E06" w:rsidRPr="00E40E06">
        <w:t xml:space="preserve"> </w:t>
      </w:r>
      <w:r w:rsidR="00E40E06">
        <w:t>“</w:t>
      </w:r>
      <w:r w:rsidR="00E40E06" w:rsidRPr="00E40E06">
        <w:t>ponderación del interés público en la divulgación de la información y los derechos de los afectados</w:t>
      </w:r>
      <w:r w:rsidR="00E40E06">
        <w:t xml:space="preserve"> </w:t>
      </w:r>
      <w:r w:rsidR="00E40E06" w:rsidRPr="00E40E06">
        <w:t>cuyos datos aparezcan en la información solicitada</w:t>
      </w:r>
      <w:r w:rsidR="00E40E06">
        <w:t>”.</w:t>
      </w:r>
      <w:r w:rsidR="00B07CF7">
        <w:t xml:space="preserve">  </w:t>
      </w:r>
    </w:p>
    <w:p w:rsidR="00E40E06" w:rsidRDefault="00E40E06" w:rsidP="002E0A33">
      <w:pPr>
        <w:pStyle w:val="Prrafodelista"/>
        <w:ind w:left="426"/>
        <w:jc w:val="both"/>
      </w:pPr>
    </w:p>
    <w:p w:rsidR="000C6C77" w:rsidRDefault="00E40E06" w:rsidP="002E0A33">
      <w:pPr>
        <w:pStyle w:val="Prrafodelista"/>
        <w:ind w:left="426"/>
        <w:jc w:val="both"/>
      </w:pPr>
      <w:r>
        <w:t xml:space="preserve">Respecto de esta cuestión es preciso señalar que la información solicitada </w:t>
      </w:r>
      <w:r w:rsidR="00A47759">
        <w:t xml:space="preserve">– al amparo de la Ley 19/2013, norma que expresamente se citaba en el documento de la solicitud- </w:t>
      </w:r>
      <w:r>
        <w:t xml:space="preserve">en ningún caso afectaba a datos de carácter personal </w:t>
      </w:r>
      <w:r w:rsidR="000C6C77">
        <w:t xml:space="preserve">dado que lo que se pedían eran datos estadísticos agregados. </w:t>
      </w:r>
    </w:p>
    <w:p w:rsidR="000C6C77" w:rsidRDefault="000C6C77" w:rsidP="002E0A33">
      <w:pPr>
        <w:pStyle w:val="Prrafodelista"/>
        <w:ind w:left="426"/>
        <w:jc w:val="both"/>
      </w:pPr>
    </w:p>
    <w:p w:rsidR="00E40E06" w:rsidRDefault="000C6C77" w:rsidP="002E0A33">
      <w:pPr>
        <w:pStyle w:val="Prrafodelista"/>
        <w:ind w:left="426"/>
        <w:jc w:val="both"/>
      </w:pPr>
      <w:r>
        <w:t xml:space="preserve">Por otra parte el artículo 12 de la LTAIBG establece que </w:t>
      </w:r>
      <w:r w:rsidRPr="000C6C77">
        <w:rPr>
          <w:i/>
        </w:rPr>
        <w:t>“Todas las personas tienen derecho a acceder a la información pública, en los términos previstos en el artículo 105.b) de la Constitución Española, desarrollados por esta Ley”</w:t>
      </w:r>
      <w:r>
        <w:t xml:space="preserve">, en consecuencia no tiene sentido exigir la acreditación de una determinada característica personal – en este caso la condición de investigador - para acceder a la información. De la misma manera, el artículo 17.3 de la LTAIBG  establece que los solicitantes de información pública no están obligados a motivar la solicitud – motivación que si se había incluido en la solicitud presentada por este Consejo – por lo que en ningún caso se puede exigir a un solicitante que la motive para continuar la tramitación. </w:t>
      </w:r>
      <w:r w:rsidR="00A47759">
        <w:t xml:space="preserve"> </w:t>
      </w:r>
    </w:p>
    <w:p w:rsidR="00FF69C4" w:rsidRDefault="00FF69C4" w:rsidP="002E0A33">
      <w:pPr>
        <w:pStyle w:val="Prrafodelista"/>
        <w:ind w:left="426"/>
        <w:jc w:val="both"/>
      </w:pPr>
    </w:p>
    <w:p w:rsidR="00296001" w:rsidRDefault="00A47759" w:rsidP="002E0A33">
      <w:pPr>
        <w:pStyle w:val="Prrafodelista"/>
        <w:ind w:left="426"/>
        <w:jc w:val="both"/>
      </w:pPr>
      <w:r>
        <w:t xml:space="preserve">Pudiera ser que COFIVACASA no esté muy familiarizada con el procedimiento de derecho de acceso de la LTAIBG y por ello, exija </w:t>
      </w:r>
      <w:r w:rsidR="00B64AC1">
        <w:t xml:space="preserve">acreditar </w:t>
      </w:r>
      <w:r>
        <w:t>la condición de personal investigador; sin embargo, cuenta con un Portal de Trans</w:t>
      </w:r>
      <w:bookmarkStart w:id="0" w:name="_GoBack"/>
      <w:bookmarkEnd w:id="0"/>
      <w:r>
        <w:t>parencia y con un correo electrónico específico para solicitar información pública</w:t>
      </w:r>
      <w:r w:rsidR="00B64AC1">
        <w:t xml:space="preserve">, con cita expresa en la Ley 19/2013. En cualquier caso, la respuesta recibida parece denotar desconocimiento del procedimiento. </w:t>
      </w:r>
    </w:p>
    <w:p w:rsidR="00296001" w:rsidRPr="00D84B7B" w:rsidRDefault="00296001" w:rsidP="002E0A33">
      <w:pPr>
        <w:pStyle w:val="Prrafodelista"/>
        <w:ind w:left="426"/>
        <w:jc w:val="both"/>
      </w:pP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59" w:rsidRDefault="00A47759" w:rsidP="00932008">
      <w:pPr>
        <w:spacing w:after="0" w:line="240" w:lineRule="auto"/>
      </w:pPr>
      <w:r>
        <w:separator/>
      </w:r>
    </w:p>
  </w:endnote>
  <w:endnote w:type="continuationSeparator" w:id="0">
    <w:p w:rsidR="00A47759" w:rsidRDefault="00A4775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47759" w:rsidRPr="00C533E7" w:rsidRDefault="00A47759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FF69C4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A47759" w:rsidRDefault="00A477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59" w:rsidRDefault="00A47759" w:rsidP="00932008">
      <w:pPr>
        <w:spacing w:after="0" w:line="240" w:lineRule="auto"/>
      </w:pPr>
      <w:r>
        <w:separator/>
      </w:r>
    </w:p>
  </w:footnote>
  <w:footnote w:type="continuationSeparator" w:id="0">
    <w:p w:rsidR="00A47759" w:rsidRDefault="00A47759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19" type="#_x0000_t75" style="width:9pt;height:9pt" o:bullet="t">
        <v:imagedata r:id="rId1" o:title="BD14533_"/>
      </v:shape>
    </w:pict>
  </w:numPicBullet>
  <w:numPicBullet w:numPicBulletId="1">
    <w:pict>
      <v:shape id="_x0000_i1720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6995"/>
    <w:rsid w:val="000262A3"/>
    <w:rsid w:val="00046805"/>
    <w:rsid w:val="00055B15"/>
    <w:rsid w:val="00056498"/>
    <w:rsid w:val="000965B3"/>
    <w:rsid w:val="000A1C07"/>
    <w:rsid w:val="000B0A0D"/>
    <w:rsid w:val="000B2A81"/>
    <w:rsid w:val="000C2945"/>
    <w:rsid w:val="000C6C77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022FD"/>
    <w:rsid w:val="00241D7A"/>
    <w:rsid w:val="00256215"/>
    <w:rsid w:val="0026281C"/>
    <w:rsid w:val="002922A4"/>
    <w:rsid w:val="00296001"/>
    <w:rsid w:val="002A154B"/>
    <w:rsid w:val="002E0A33"/>
    <w:rsid w:val="002E7910"/>
    <w:rsid w:val="003145AD"/>
    <w:rsid w:val="003327FC"/>
    <w:rsid w:val="00334115"/>
    <w:rsid w:val="00340559"/>
    <w:rsid w:val="003B5288"/>
    <w:rsid w:val="003C3F8A"/>
    <w:rsid w:val="003F271E"/>
    <w:rsid w:val="003F572A"/>
    <w:rsid w:val="004A123A"/>
    <w:rsid w:val="004A133A"/>
    <w:rsid w:val="004A706B"/>
    <w:rsid w:val="004B4DC3"/>
    <w:rsid w:val="004D6E73"/>
    <w:rsid w:val="004F2655"/>
    <w:rsid w:val="005266C9"/>
    <w:rsid w:val="00531D64"/>
    <w:rsid w:val="005446A8"/>
    <w:rsid w:val="00561402"/>
    <w:rsid w:val="0057532F"/>
    <w:rsid w:val="00595AAF"/>
    <w:rsid w:val="005A0354"/>
    <w:rsid w:val="005A4863"/>
    <w:rsid w:val="005B1F0E"/>
    <w:rsid w:val="005B3C15"/>
    <w:rsid w:val="005E37C8"/>
    <w:rsid w:val="00626819"/>
    <w:rsid w:val="00654162"/>
    <w:rsid w:val="0066577D"/>
    <w:rsid w:val="006A2766"/>
    <w:rsid w:val="006A2E9A"/>
    <w:rsid w:val="006B57D9"/>
    <w:rsid w:val="00706E04"/>
    <w:rsid w:val="00707CFE"/>
    <w:rsid w:val="00710031"/>
    <w:rsid w:val="00727BA2"/>
    <w:rsid w:val="00743756"/>
    <w:rsid w:val="00756117"/>
    <w:rsid w:val="00777CEC"/>
    <w:rsid w:val="007B0F99"/>
    <w:rsid w:val="007B1EF0"/>
    <w:rsid w:val="007C57AB"/>
    <w:rsid w:val="007D6B40"/>
    <w:rsid w:val="00815659"/>
    <w:rsid w:val="008207D9"/>
    <w:rsid w:val="00833900"/>
    <w:rsid w:val="00844FA9"/>
    <w:rsid w:val="00882E38"/>
    <w:rsid w:val="008C1E1E"/>
    <w:rsid w:val="008F5F99"/>
    <w:rsid w:val="00904E47"/>
    <w:rsid w:val="0091341F"/>
    <w:rsid w:val="00921515"/>
    <w:rsid w:val="00923092"/>
    <w:rsid w:val="009239D9"/>
    <w:rsid w:val="00930638"/>
    <w:rsid w:val="00932008"/>
    <w:rsid w:val="009609E9"/>
    <w:rsid w:val="00983919"/>
    <w:rsid w:val="009E7A2F"/>
    <w:rsid w:val="00A22370"/>
    <w:rsid w:val="00A41DD5"/>
    <w:rsid w:val="00A47759"/>
    <w:rsid w:val="00A544D3"/>
    <w:rsid w:val="00A8003E"/>
    <w:rsid w:val="00A87315"/>
    <w:rsid w:val="00A915A2"/>
    <w:rsid w:val="00A97E83"/>
    <w:rsid w:val="00AC2468"/>
    <w:rsid w:val="00AC715D"/>
    <w:rsid w:val="00AD1DBF"/>
    <w:rsid w:val="00AE1CBE"/>
    <w:rsid w:val="00AE788F"/>
    <w:rsid w:val="00B07CF7"/>
    <w:rsid w:val="00B378E2"/>
    <w:rsid w:val="00B40246"/>
    <w:rsid w:val="00B5583D"/>
    <w:rsid w:val="00B64AC1"/>
    <w:rsid w:val="00B812AB"/>
    <w:rsid w:val="00B841AE"/>
    <w:rsid w:val="00B84669"/>
    <w:rsid w:val="00BA266E"/>
    <w:rsid w:val="00BB6799"/>
    <w:rsid w:val="00BD4582"/>
    <w:rsid w:val="00BE6A46"/>
    <w:rsid w:val="00BF5EDE"/>
    <w:rsid w:val="00C16BC7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F21B1"/>
    <w:rsid w:val="00D05286"/>
    <w:rsid w:val="00D41FBA"/>
    <w:rsid w:val="00D445A7"/>
    <w:rsid w:val="00D447A6"/>
    <w:rsid w:val="00D52E43"/>
    <w:rsid w:val="00D74E79"/>
    <w:rsid w:val="00D84B7B"/>
    <w:rsid w:val="00D96F84"/>
    <w:rsid w:val="00DC0848"/>
    <w:rsid w:val="00DD3E02"/>
    <w:rsid w:val="00DE0EA7"/>
    <w:rsid w:val="00DE4AA9"/>
    <w:rsid w:val="00DF2ACE"/>
    <w:rsid w:val="00DF4D57"/>
    <w:rsid w:val="00DF63E7"/>
    <w:rsid w:val="00E03C01"/>
    <w:rsid w:val="00E3088D"/>
    <w:rsid w:val="00E34195"/>
    <w:rsid w:val="00E3633A"/>
    <w:rsid w:val="00E40E06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71D7D"/>
    <w:rsid w:val="00F7263F"/>
    <w:rsid w:val="00F95C49"/>
    <w:rsid w:val="00F96C5F"/>
    <w:rsid w:val="00FD5B21"/>
    <w:rsid w:val="00FE0FC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5422E"/>
    <w:rsid w:val="003A44FB"/>
    <w:rsid w:val="003D088C"/>
    <w:rsid w:val="00425516"/>
    <w:rsid w:val="00543A52"/>
    <w:rsid w:val="00546DCA"/>
    <w:rsid w:val="0087096B"/>
    <w:rsid w:val="00A80EAD"/>
    <w:rsid w:val="00AB1850"/>
    <w:rsid w:val="00C26568"/>
    <w:rsid w:val="00C60DC9"/>
    <w:rsid w:val="00D34D88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654AA-3647-43F5-8158-1C627B6C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</TotalTime>
  <Pages>4</Pages>
  <Words>1274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2021-07-09T08:24:00Z</dcterms:created>
  <dcterms:modified xsi:type="dcterms:W3CDTF">2021-08-30T11:10:00Z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