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A252A" w:rsidRDefault="005A252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A252A" w:rsidRPr="00006957" w:rsidRDefault="005A252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5A252A" w:rsidRDefault="005A252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5A252A" w:rsidRPr="00006957" w:rsidRDefault="005A252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252A" w:rsidRDefault="005A252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A252A" w:rsidRDefault="005A252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70E07" w:rsidP="0002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Corporación Radio-Televisión Española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D70E07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DD052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D052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>CRTVE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DD0521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9539BF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CRTVE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>
        <w:rPr>
          <w:rStyle w:val="Ttulo2Car"/>
          <w:b w:val="0"/>
          <w:color w:val="auto"/>
          <w:sz w:val="22"/>
          <w:szCs w:val="22"/>
          <w:lang w:bidi="es-ES"/>
        </w:rPr>
        <w:t>En la parte inferior</w:t>
      </w:r>
      <w:r w:rsidRPr="009539BF">
        <w:rPr>
          <w:rStyle w:val="Ttulo2Car"/>
          <w:b w:val="0"/>
          <w:color w:val="auto"/>
          <w:sz w:val="22"/>
          <w:szCs w:val="22"/>
          <w:lang w:bidi="es-ES"/>
        </w:rPr>
        <w:t xml:space="preserve"> de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Pr="009539BF">
        <w:rPr>
          <w:rStyle w:val="Ttulo2Car"/>
          <w:b w:val="0"/>
          <w:color w:val="auto"/>
          <w:sz w:val="22"/>
          <w:szCs w:val="22"/>
          <w:lang w:bidi="es-ES"/>
        </w:rPr>
        <w:t xml:space="preserve">página home cuenta con un apartado de derecho de acceso de grupos sociales significativos </w:t>
      </w:r>
      <w:r>
        <w:rPr>
          <w:rStyle w:val="Ttulo2Car"/>
          <w:b w:val="0"/>
          <w:color w:val="auto"/>
          <w:sz w:val="22"/>
          <w:szCs w:val="22"/>
          <w:lang w:bidi="es-ES"/>
        </w:rPr>
        <w:t>que se vincula a un procedimiento diferente del relativo al ejercicio del derecho de acceso</w:t>
      </w:r>
      <w:r w:rsidRPr="009539BF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9539BF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as solicitudes </w:t>
      </w:r>
      <w:r>
        <w:rPr>
          <w:rStyle w:val="Ttulo2Car"/>
          <w:b w:val="0"/>
          <w:color w:val="auto"/>
          <w:sz w:val="22"/>
          <w:szCs w:val="22"/>
          <w:lang w:bidi="es-ES"/>
        </w:rPr>
        <w:t>de información han de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presentarse 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>a través del Portal de Transparencia AGE, dirigidas al Ministerio de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>l Interior,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se informa en la web de </w:t>
      </w:r>
      <w:r>
        <w:rPr>
          <w:rStyle w:val="Ttulo2Car"/>
          <w:b w:val="0"/>
          <w:color w:val="auto"/>
          <w:sz w:val="22"/>
          <w:szCs w:val="22"/>
          <w:lang w:bidi="es-ES"/>
        </w:rPr>
        <w:t>CRTVE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9539BF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También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pero no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D052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260A34">
        <w:rPr>
          <w:color w:val="auto"/>
          <w:lang w:bidi="es-ES"/>
        </w:rPr>
        <w:t>03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de </w:t>
      </w:r>
      <w:r w:rsidR="009539BF">
        <w:rPr>
          <w:color w:val="auto"/>
          <w:lang w:bidi="es-ES"/>
        </w:rPr>
        <w:t>CRTVE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A66275">
        <w:rPr>
          <w:color w:val="auto"/>
          <w:lang w:bidi="es-ES"/>
        </w:rPr>
        <w:t>05</w:t>
      </w:r>
      <w:r>
        <w:rPr>
          <w:color w:val="auto"/>
          <w:lang w:bidi="es-ES"/>
        </w:rPr>
        <w:t>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8B50E2">
        <w:rPr>
          <w:color w:val="auto"/>
          <w:lang w:bidi="es-ES"/>
        </w:rPr>
        <w:t>2</w:t>
      </w:r>
      <w:r w:rsidR="00A66275">
        <w:rPr>
          <w:color w:val="auto"/>
          <w:lang w:bidi="es-ES"/>
        </w:rPr>
        <w:t>4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66275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8B50E2">
        <w:rPr>
          <w:color w:val="auto"/>
          <w:lang w:bidi="es-ES"/>
        </w:rPr>
        <w:t xml:space="preserve">la </w:t>
      </w:r>
      <w:r w:rsidR="00A66275" w:rsidRPr="00A66275">
        <w:rPr>
          <w:color w:val="auto"/>
          <w:lang w:bidi="es-ES"/>
        </w:rPr>
        <w:t xml:space="preserve">Secretaría General </w:t>
      </w:r>
      <w:r w:rsidR="00A66275">
        <w:rPr>
          <w:color w:val="auto"/>
          <w:lang w:bidi="es-ES"/>
        </w:rPr>
        <w:t xml:space="preserve">de la </w:t>
      </w:r>
      <w:r w:rsidR="00A66275" w:rsidRPr="00A66275">
        <w:rPr>
          <w:color w:val="auto"/>
          <w:lang w:bidi="es-ES"/>
        </w:rPr>
        <w:t>CRTVE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8B50E2">
        <w:rPr>
          <w:color w:val="auto"/>
          <w:lang w:bidi="es-ES"/>
        </w:rPr>
        <w:t>en la propia resolución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A66275" w:rsidRPr="004A133A" w:rsidRDefault="00A66275" w:rsidP="00A66275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48 reclamaciones contra resoluciones de CRTVE en materia de acceso a la información pública. De ellas, 34 fueron</w:t>
      </w:r>
      <w:r w:rsidRPr="004A133A">
        <w:t xml:space="preserve"> estimadas – en </w:t>
      </w:r>
      <w:r>
        <w:t>dos casos</w:t>
      </w:r>
      <w:r w:rsidRPr="004A133A">
        <w:t xml:space="preserve"> </w:t>
      </w:r>
      <w:r>
        <w:t>parcialmente y en otro CRTVE entregó la información antes de finalizar el procedimiento de reclamación</w:t>
      </w:r>
      <w:r w:rsidRPr="004A133A">
        <w:t xml:space="preserve"> -</w:t>
      </w:r>
      <w:r>
        <w:t xml:space="preserve">, 12 reclamaciones fueron desestimadas y 2 archivadas. </w:t>
      </w:r>
    </w:p>
    <w:p w:rsidR="00A66275" w:rsidRPr="004A133A" w:rsidRDefault="00A66275" w:rsidP="00A66275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de las </w:t>
      </w:r>
      <w:r w:rsidR="005A252A">
        <w:rPr>
          <w:szCs w:val="24"/>
        </w:rPr>
        <w:t>4</w:t>
      </w:r>
      <w:r>
        <w:rPr>
          <w:szCs w:val="24"/>
        </w:rPr>
        <w:t>6</w:t>
      </w:r>
      <w:r w:rsidRPr="004A133A">
        <w:rPr>
          <w:szCs w:val="24"/>
        </w:rPr>
        <w:t xml:space="preserve"> reclamaciones admitidas a trámite, un </w:t>
      </w:r>
      <w:r w:rsidR="005A252A">
        <w:rPr>
          <w:szCs w:val="24"/>
        </w:rPr>
        <w:t>73,9</w:t>
      </w:r>
      <w:r w:rsidRPr="004A133A">
        <w:rPr>
          <w:szCs w:val="24"/>
        </w:rPr>
        <w:t xml:space="preserve">% </w:t>
      </w:r>
      <w:r>
        <w:rPr>
          <w:szCs w:val="24"/>
        </w:rPr>
        <w:t xml:space="preserve">fue favorable a los reclamantes y un </w:t>
      </w:r>
      <w:r w:rsidR="005A252A">
        <w:rPr>
          <w:szCs w:val="24"/>
        </w:rPr>
        <w:t>26,1</w:t>
      </w:r>
      <w:r>
        <w:rPr>
          <w:szCs w:val="24"/>
        </w:rPr>
        <w:t>% al organismo.</w:t>
      </w:r>
    </w:p>
    <w:p w:rsidR="00DD0521" w:rsidRDefault="00DD0521" w:rsidP="00A66275">
      <w:pPr>
        <w:spacing w:before="120" w:after="120"/>
        <w:ind w:left="425"/>
        <w:jc w:val="both"/>
        <w:rPr>
          <w:szCs w:val="24"/>
        </w:rPr>
      </w:pPr>
    </w:p>
    <w:p w:rsidR="00DD0521" w:rsidRDefault="00DD0521" w:rsidP="00A66275">
      <w:pPr>
        <w:spacing w:before="120" w:after="120"/>
        <w:ind w:left="425"/>
        <w:jc w:val="both"/>
        <w:rPr>
          <w:szCs w:val="24"/>
        </w:rPr>
      </w:pPr>
    </w:p>
    <w:p w:rsidR="00A66275" w:rsidRPr="004A133A" w:rsidRDefault="005A252A" w:rsidP="00A66275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>D</w:t>
      </w:r>
      <w:r w:rsidR="00A66275">
        <w:rPr>
          <w:szCs w:val="24"/>
        </w:rPr>
        <w:t>e las resoluciones estimatorias del CTBG fue</w:t>
      </w:r>
      <w:r>
        <w:rPr>
          <w:szCs w:val="24"/>
        </w:rPr>
        <w:t>ron</w:t>
      </w:r>
      <w:r w:rsidR="00A66275">
        <w:rPr>
          <w:szCs w:val="24"/>
        </w:rPr>
        <w:t xml:space="preserve"> recurrida</w:t>
      </w:r>
      <w:r>
        <w:rPr>
          <w:szCs w:val="24"/>
        </w:rPr>
        <w:t>s</w:t>
      </w:r>
      <w:r w:rsidR="00A66275">
        <w:rPr>
          <w:szCs w:val="24"/>
        </w:rPr>
        <w:t xml:space="preserve"> ante la jurisdicción </w:t>
      </w:r>
      <w:r w:rsidR="00A66275" w:rsidRPr="004A133A">
        <w:rPr>
          <w:szCs w:val="24"/>
        </w:rPr>
        <w:t>contencioso-administrativ</w:t>
      </w:r>
      <w:r w:rsidR="00A66275">
        <w:rPr>
          <w:szCs w:val="24"/>
        </w:rPr>
        <w:t>a</w:t>
      </w:r>
      <w:r>
        <w:rPr>
          <w:szCs w:val="24"/>
        </w:rPr>
        <w:t xml:space="preserve"> 18</w:t>
      </w:r>
      <w:r w:rsidR="00A66275" w:rsidRPr="004A133A">
        <w:rPr>
          <w:szCs w:val="24"/>
        </w:rPr>
        <w:t xml:space="preserve">, lo que sitúa la tasa de litigiosidad en el </w:t>
      </w:r>
      <w:r>
        <w:rPr>
          <w:szCs w:val="24"/>
        </w:rPr>
        <w:t>52,9</w:t>
      </w:r>
      <w:r w:rsidR="00A66275" w:rsidRPr="004A133A">
        <w:rPr>
          <w:szCs w:val="24"/>
        </w:rPr>
        <w:t xml:space="preserve">%. </w:t>
      </w:r>
      <w:r>
        <w:rPr>
          <w:szCs w:val="24"/>
        </w:rPr>
        <w:t xml:space="preserve">De las sentencias </w:t>
      </w:r>
      <w:r w:rsidRPr="005A252A">
        <w:rPr>
          <w:szCs w:val="24"/>
        </w:rPr>
        <w:t>que han adquirido firmeza</w:t>
      </w:r>
      <w:r>
        <w:rPr>
          <w:szCs w:val="24"/>
        </w:rPr>
        <w:t xml:space="preserve">, 12  -el 75%-  </w:t>
      </w:r>
      <w:r w:rsidR="00A66275">
        <w:rPr>
          <w:szCs w:val="24"/>
        </w:rPr>
        <w:t xml:space="preserve"> </w:t>
      </w:r>
      <w:r>
        <w:rPr>
          <w:szCs w:val="24"/>
        </w:rPr>
        <w:t>han sido favorables al CTBG y 4 a la entidad – el 25% -</w:t>
      </w:r>
      <w:r w:rsidR="00A66275">
        <w:rPr>
          <w:szCs w:val="24"/>
        </w:rPr>
        <w:t>.</w:t>
      </w:r>
    </w:p>
    <w:p w:rsidR="00A66275" w:rsidRPr="004A133A" w:rsidRDefault="00A66275" w:rsidP="00A66275">
      <w:pPr>
        <w:spacing w:before="120" w:after="120"/>
        <w:ind w:left="425"/>
        <w:jc w:val="both"/>
        <w:rPr>
          <w:szCs w:val="24"/>
        </w:rPr>
      </w:pPr>
    </w:p>
    <w:p w:rsidR="00A66275" w:rsidRPr="00DA4FE5" w:rsidRDefault="00A66275" w:rsidP="00A66275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DA4FE5">
        <w:rPr>
          <w:rFonts w:eastAsiaTheme="majorEastAsia" w:cstheme="majorBidi"/>
          <w:b/>
          <w:color w:val="00642D"/>
          <w:lang w:bidi="es-ES"/>
        </w:rPr>
        <w:t xml:space="preserve">Tabla 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DA4FE5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separate"/>
      </w:r>
      <w:r w:rsidRPr="00DA4FE5">
        <w:rPr>
          <w:rFonts w:eastAsiaTheme="majorEastAsia" w:cstheme="majorBidi"/>
          <w:b/>
          <w:color w:val="00642D"/>
          <w:lang w:bidi="es-ES"/>
        </w:rPr>
        <w:t>3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end"/>
      </w:r>
      <w:r w:rsidRPr="00DA4FE5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A66275" w:rsidRPr="004A133A" w:rsidTr="00A66275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A66275" w:rsidRPr="004A133A" w:rsidTr="00A66275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66275" w:rsidRPr="004A133A" w:rsidTr="00A66275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</w:tr>
      <w:tr w:rsidR="00A66275" w:rsidRPr="004A133A" w:rsidTr="00A66275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66275" w:rsidRPr="004A133A" w:rsidTr="00A66275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A66275" w:rsidRPr="004A133A" w:rsidTr="00A66275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66275" w:rsidRPr="004A133A" w:rsidTr="00A66275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A66275" w:rsidRPr="004A133A" w:rsidTr="00A66275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252A">
              <w:rPr>
                <w:sz w:val="20"/>
                <w:szCs w:val="20"/>
              </w:rPr>
              <w:t>2</w:t>
            </w:r>
          </w:p>
        </w:tc>
      </w:tr>
      <w:tr w:rsidR="00A66275" w:rsidRPr="004A133A" w:rsidTr="00A66275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A66275" w:rsidRPr="004A133A" w:rsidTr="00A66275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6275" w:rsidRPr="004A133A" w:rsidTr="00A66275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A66275" w:rsidRPr="004A133A" w:rsidRDefault="00A66275" w:rsidP="00A66275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66275" w:rsidRPr="004A133A" w:rsidRDefault="00A66275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A66275" w:rsidRPr="004A133A" w:rsidRDefault="005A252A" w:rsidP="00A6627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A66275" w:rsidRPr="004A133A" w:rsidRDefault="00A66275" w:rsidP="00A66275">
      <w:pPr>
        <w:spacing w:line="240" w:lineRule="auto"/>
        <w:jc w:val="both"/>
        <w:rPr>
          <w:color w:val="000000"/>
          <w:szCs w:val="24"/>
        </w:rPr>
      </w:pPr>
    </w:p>
    <w:p w:rsidR="001F251B" w:rsidRPr="00256215" w:rsidRDefault="00DD052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9539BF">
        <w:t>CRTVE</w:t>
      </w:r>
      <w:r w:rsidR="00F33EF2" w:rsidRPr="00F33EF2">
        <w:t xml:space="preserve">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63118A" w:rsidRDefault="0063118A" w:rsidP="0063118A">
      <w:pPr>
        <w:ind w:left="426"/>
      </w:pPr>
    </w:p>
    <w:p w:rsidR="00256215" w:rsidRDefault="00DD052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la </w:t>
      </w:r>
      <w:r>
        <w:rPr>
          <w:rFonts w:eastAsia="Times New Roman" w:cs="Times New Roman"/>
          <w:bCs/>
        </w:rPr>
        <w:t>CRTVE</w:t>
      </w:r>
      <w:r w:rsidRPr="00DD0521">
        <w:rPr>
          <w:rFonts w:eastAsia="Times New Roman" w:cs="Times New Roman"/>
          <w:bCs/>
        </w:rPr>
        <w:t xml:space="preserve"> no ha remitido información sobre la actividad generada por la gestión de las solicitudes de acceso a información pública en 2020.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9539B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>CRTVE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9539BF" w:rsidP="00F34803">
      <w:pPr>
        <w:pStyle w:val="Prrafodelista"/>
        <w:ind w:left="644"/>
        <w:jc w:val="both"/>
      </w:pPr>
      <w:r>
        <w:t>CRTVE</w:t>
      </w:r>
      <w:r w:rsidR="00F33EF2" w:rsidRPr="00F33EF2"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>. Para la presentación de solicitudes se deriva al Portal de Transparencia de la AGE. No obstante si se informa en la web de la CRTVE</w:t>
      </w:r>
      <w:r w:rsidR="007B1EF0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22254E">
        <w:t>. No se informa</w:t>
      </w:r>
      <w:r w:rsidR="0063118A">
        <w:t xml:space="preserve"> </w:t>
      </w:r>
      <w:r w:rsidR="0063118A" w:rsidRPr="0063118A">
        <w:t>de los medios de contacto establecidos por la Ley 39/2015 a través de los cuales los ciudadanos pueden relacionarse con las administraciones públicas.</w:t>
      </w:r>
    </w:p>
    <w:p w:rsidR="007B1EF0" w:rsidRDefault="007B1EF0" w:rsidP="00F34803">
      <w:pPr>
        <w:pStyle w:val="Prrafodelista"/>
        <w:ind w:left="644"/>
        <w:jc w:val="both"/>
      </w:pPr>
    </w:p>
    <w:p w:rsidR="00BC0B03" w:rsidRDefault="00BC0B03" w:rsidP="00BC0B0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Para facilitar el ejercicio del derecho de acceso, en la web de CRTVE debería indicarse el Ministerio de adscripción de la entidad, ya que en el Portal </w:t>
      </w:r>
      <w:r w:rsidR="00DD0521">
        <w:t xml:space="preserve">de Transparencia de la AGE </w:t>
      </w:r>
      <w:r>
        <w:t xml:space="preserve">no figuran los organismos vinculados o dependientes, sólo el Ministerio al que va dirigida la solicitud, información de la que no generalmente la ciudadanía. </w:t>
      </w:r>
    </w:p>
    <w:p w:rsidR="00BC0B03" w:rsidRDefault="00BC0B03" w:rsidP="00F34803">
      <w:pPr>
        <w:pStyle w:val="Prrafodelista"/>
        <w:ind w:left="644"/>
        <w:jc w:val="both"/>
      </w:pPr>
      <w:r>
        <w:t xml:space="preserve">   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8B50E2">
        <w:t xml:space="preserve">por la </w:t>
      </w:r>
      <w:r w:rsidR="0022254E">
        <w:t>Secretaría de la CRTVE</w:t>
      </w:r>
      <w:r w:rsidR="002E0A33" w:rsidRPr="002E0A33">
        <w:t xml:space="preserve"> está motivada y correctamente estructurada, es clara y compr</w:t>
      </w:r>
      <w:r w:rsidR="0075252B">
        <w:t>ensible e</w:t>
      </w:r>
      <w:r w:rsidR="0063118A">
        <w:t xml:space="preserve"> incluye pie de recurso.</w:t>
      </w:r>
    </w:p>
    <w:p w:rsidR="00D84B7B" w:rsidRDefault="0063118A" w:rsidP="00D84B7B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>a información se proporciona e</w:t>
      </w:r>
      <w:r>
        <w:t>n el momento de la notificación</w:t>
      </w:r>
      <w:r w:rsidR="0022254E">
        <w:t>, pero no en el formato solicitado</w:t>
      </w:r>
      <w:r>
        <w:t>.</w:t>
      </w:r>
    </w:p>
    <w:p w:rsidR="0022254E" w:rsidRDefault="0022254E" w:rsidP="00D84B7B">
      <w:pPr>
        <w:tabs>
          <w:tab w:val="left" w:pos="426"/>
        </w:tabs>
        <w:ind w:left="426"/>
        <w:contextualSpacing/>
        <w:jc w:val="both"/>
      </w:pPr>
    </w:p>
    <w:p w:rsidR="0022254E" w:rsidRPr="00D84B7B" w:rsidRDefault="0022254E" w:rsidP="0022254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>En la medida de lo posible, el formato en el que se proporciona la información debería adaptarse a las preferencias manifestadas p</w:t>
      </w:r>
      <w:bookmarkStart w:id="0" w:name="_GoBack"/>
      <w:bookmarkEnd w:id="0"/>
      <w:r>
        <w:t>or los ciudadanos en sus solicitudes  de acceso.</w:t>
      </w:r>
    </w:p>
    <w:p w:rsidR="00B40246" w:rsidRDefault="00B40246" w:rsidP="0022254E">
      <w:pPr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2A" w:rsidRDefault="005A252A" w:rsidP="00932008">
      <w:pPr>
        <w:spacing w:after="0" w:line="240" w:lineRule="auto"/>
      </w:pPr>
      <w:r>
        <w:separator/>
      </w:r>
    </w:p>
  </w:endnote>
  <w:endnote w:type="continuationSeparator" w:id="0">
    <w:p w:rsidR="005A252A" w:rsidRDefault="005A252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252A" w:rsidRPr="00C533E7" w:rsidRDefault="005A252A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D0521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5A252A" w:rsidRDefault="005A25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2A" w:rsidRDefault="005A252A" w:rsidP="00932008">
      <w:pPr>
        <w:spacing w:after="0" w:line="240" w:lineRule="auto"/>
      </w:pPr>
      <w:r>
        <w:separator/>
      </w:r>
    </w:p>
  </w:footnote>
  <w:footnote w:type="continuationSeparator" w:id="0">
    <w:p w:rsidR="005A252A" w:rsidRDefault="005A252A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B50E2"/>
    <w:rsid w:val="008C1E1E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783A3-5D4E-40BB-914C-BE055BD3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38</TotalTime>
  <Pages>4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2021-07-12T07:27:00Z</dcterms:created>
  <dcterms:modified xsi:type="dcterms:W3CDTF">2021-08-26T08:58:00Z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