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-80645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92AC1" w:rsidRPr="00006957" w:rsidRDefault="00192AC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6.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64F78" w:rsidRPr="00006957" w:rsidRDefault="00064F7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028CC245" wp14:editId="6D05855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92AC1" w:rsidRDefault="00192AC1" w:rsidP="00B40246">
                            <w:pPr>
                              <w:pStyle w:val="Ttulo2"/>
                              <w:tabs>
                                <w:tab w:val="left" w:pos="142"/>
                              </w:tabs>
                              <w:ind w:left="567"/>
                            </w:pPr>
                            <w:r>
                              <w:rPr>
                                <w:noProof/>
                              </w:rPr>
                              <w:drawing>
                                <wp:inline distT="0" distB="0" distL="0" distR="0" wp14:anchorId="729CA0B3" wp14:editId="7DCDE2E4">
                                  <wp:extent cx="1148316" cy="658342"/>
                                  <wp:effectExtent l="0" t="0" r="0" b="8890"/>
                                  <wp:docPr id="4" name="Imagen 4"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64F78" w:rsidRDefault="00064F78" w:rsidP="00B40246">
                      <w:pPr>
                        <w:pStyle w:val="Ttulo2"/>
                        <w:tabs>
                          <w:tab w:val="left" w:pos="142"/>
                        </w:tabs>
                        <w:ind w:left="567"/>
                      </w:pPr>
                      <w:r>
                        <w:rPr>
                          <w:noProof/>
                        </w:rPr>
                        <w:drawing>
                          <wp:inline distT="0" distB="0" distL="0" distR="0" wp14:anchorId="729CA0B3" wp14:editId="7DCDE2E4">
                            <wp:extent cx="1148316" cy="658342"/>
                            <wp:effectExtent l="0" t="0" r="0" b="8890"/>
                            <wp:docPr id="4" name="Imagen 4"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07DA38C0" wp14:editId="59BFE0C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25695" w:rsidP="00B2356C">
            <w:pPr>
              <w:rPr>
                <w:sz w:val="24"/>
                <w:szCs w:val="24"/>
              </w:rPr>
            </w:pPr>
            <w:r>
              <w:rPr>
                <w:lang w:bidi="es-ES"/>
              </w:rPr>
              <w:t xml:space="preserve">Fundación </w:t>
            </w:r>
            <w:r w:rsidR="00B2356C">
              <w:rPr>
                <w:lang w:bidi="es-ES"/>
              </w:rPr>
              <w:t xml:space="preserve">Instituto de Crédito Oficial (Fundación ICO, </w:t>
            </w:r>
            <w:r w:rsidRPr="00B2356C">
              <w:rPr>
                <w:lang w:bidi="es-ES"/>
              </w:rPr>
              <w:t>F.S.P.</w:t>
            </w:r>
            <w:r w:rsidR="00B2356C" w:rsidRPr="00B2356C">
              <w:rPr>
                <w:lang w:bidi="es-ES"/>
              </w:rPr>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B2356C" w:rsidRPr="00CB5511" w:rsidRDefault="006F1E83" w:rsidP="00B2356C">
            <w:pPr>
              <w:rPr>
                <w:sz w:val="24"/>
                <w:szCs w:val="24"/>
              </w:rPr>
            </w:pPr>
            <w:hyperlink r:id="rId12" w:history="1">
              <w:r w:rsidR="00B2356C" w:rsidRPr="00FA049E">
                <w:rPr>
                  <w:rStyle w:val="Hipervnculo"/>
                </w:rPr>
                <w:t>https://www.fundacionico.es/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AA477B">
            <w:pPr>
              <w:rPr>
                <w:sz w:val="20"/>
                <w:szCs w:val="20"/>
              </w:rPr>
            </w:pPr>
            <w:r>
              <w:rPr>
                <w:sz w:val="20"/>
                <w:szCs w:val="20"/>
              </w:rPr>
              <w:t xml:space="preserve">Sociedades Mercantiles </w:t>
            </w:r>
            <w:r w:rsidR="00AA477B">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AA477B">
            <w:pPr>
              <w:rPr>
                <w:sz w:val="20"/>
                <w:szCs w:val="20"/>
              </w:rPr>
            </w:pPr>
            <w:r>
              <w:rPr>
                <w:sz w:val="20"/>
                <w:szCs w:val="20"/>
              </w:rPr>
              <w:t xml:space="preserve">Fundaciones del </w:t>
            </w:r>
            <w:r w:rsidR="00AA477B">
              <w:rPr>
                <w:sz w:val="20"/>
                <w:szCs w:val="20"/>
              </w:rPr>
              <w:t>s</w:t>
            </w:r>
            <w:r>
              <w:rPr>
                <w:sz w:val="20"/>
                <w:szCs w:val="20"/>
              </w:rPr>
              <w:t xml:space="preserve">ector </w:t>
            </w:r>
            <w:r w:rsidR="00AA477B">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2A0E41">
            <w:pPr>
              <w:rPr>
                <w:sz w:val="20"/>
                <w:szCs w:val="20"/>
              </w:rPr>
            </w:pPr>
            <w:r w:rsidRPr="0057532F">
              <w:rPr>
                <w:sz w:val="20"/>
                <w:szCs w:val="20"/>
              </w:rPr>
              <w:t xml:space="preserve">Encomiendas </w:t>
            </w:r>
            <w:r w:rsidR="002A0E41">
              <w:rPr>
                <w:sz w:val="20"/>
                <w:szCs w:val="20"/>
              </w:rPr>
              <w:t>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40246" w:rsidRPr="00E34195" w:rsidRDefault="006F1E8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01216D" w:rsidP="00CB5511">
            <w:pPr>
              <w:jc w:val="center"/>
              <w:rPr>
                <w:b/>
                <w:sz w:val="20"/>
                <w:szCs w:val="20"/>
              </w:rPr>
            </w:pPr>
            <w:r>
              <w:rPr>
                <w:b/>
                <w:sz w:val="20"/>
                <w:szCs w:val="20"/>
              </w:rPr>
              <w:t>X</w:t>
            </w:r>
          </w:p>
        </w:tc>
        <w:tc>
          <w:tcPr>
            <w:tcW w:w="3969" w:type="dxa"/>
            <w:vMerge w:val="restart"/>
          </w:tcPr>
          <w:p w:rsidR="00CB5511" w:rsidRPr="000C6CFF" w:rsidRDefault="0001216D" w:rsidP="006C7D73">
            <w:pPr>
              <w:jc w:val="both"/>
              <w:rPr>
                <w:sz w:val="20"/>
                <w:szCs w:val="20"/>
              </w:rPr>
            </w:pPr>
            <w:r>
              <w:rPr>
                <w:sz w:val="20"/>
                <w:szCs w:val="20"/>
              </w:rPr>
              <w:t xml:space="preserve">Cuenta con un acceso de “Transparencia” </w:t>
            </w:r>
            <w:r w:rsidR="006C7D73">
              <w:rPr>
                <w:sz w:val="20"/>
                <w:szCs w:val="20"/>
              </w:rPr>
              <w:t xml:space="preserve">que se localiza al pie del menú desplegable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B2356C" w:rsidRDefault="00B2356C" w:rsidP="00566F32">
            <w:pPr>
              <w:jc w:val="both"/>
              <w:rPr>
                <w:sz w:val="20"/>
                <w:szCs w:val="20"/>
              </w:rPr>
            </w:pPr>
            <w:r>
              <w:rPr>
                <w:sz w:val="20"/>
                <w:szCs w:val="20"/>
              </w:rPr>
              <w:t>En el acceso de “Transparencia” la</w:t>
            </w:r>
            <w:r w:rsidR="0001216D">
              <w:rPr>
                <w:sz w:val="20"/>
                <w:szCs w:val="20"/>
              </w:rPr>
              <w:t xml:space="preserve"> información </w:t>
            </w:r>
            <w:r>
              <w:rPr>
                <w:sz w:val="20"/>
                <w:szCs w:val="20"/>
              </w:rPr>
              <w:t xml:space="preserve">(económica y presupuestaria) </w:t>
            </w:r>
            <w:r w:rsidR="0001216D">
              <w:rPr>
                <w:sz w:val="20"/>
                <w:szCs w:val="20"/>
              </w:rPr>
              <w:t xml:space="preserve">se organiza en </w:t>
            </w:r>
            <w:r>
              <w:rPr>
                <w:sz w:val="20"/>
                <w:szCs w:val="20"/>
              </w:rPr>
              <w:t xml:space="preserve">cinco apartados: </w:t>
            </w:r>
            <w:r w:rsidR="00267B2D">
              <w:rPr>
                <w:sz w:val="20"/>
                <w:szCs w:val="20"/>
              </w:rPr>
              <w:t>1</w:t>
            </w:r>
            <w:r w:rsidR="0001216D">
              <w:rPr>
                <w:sz w:val="20"/>
                <w:szCs w:val="20"/>
              </w:rPr>
              <w:t xml:space="preserve">) </w:t>
            </w:r>
            <w:r>
              <w:rPr>
                <w:sz w:val="20"/>
                <w:szCs w:val="20"/>
              </w:rPr>
              <w:t xml:space="preserve">convenios y subvenciones; </w:t>
            </w:r>
            <w:r w:rsidR="0001216D">
              <w:rPr>
                <w:sz w:val="20"/>
                <w:szCs w:val="20"/>
              </w:rPr>
              <w:t xml:space="preserve">2) </w:t>
            </w:r>
            <w:r>
              <w:rPr>
                <w:sz w:val="20"/>
                <w:szCs w:val="20"/>
              </w:rPr>
              <w:t xml:space="preserve">cuentas y planes anuales; </w:t>
            </w:r>
            <w:r w:rsidR="0001216D">
              <w:rPr>
                <w:sz w:val="20"/>
                <w:szCs w:val="20"/>
              </w:rPr>
              <w:t xml:space="preserve">3) </w:t>
            </w:r>
            <w:r>
              <w:rPr>
                <w:sz w:val="20"/>
                <w:szCs w:val="20"/>
              </w:rPr>
              <w:t>contratación de servicios;</w:t>
            </w:r>
            <w:r w:rsidR="0001216D">
              <w:rPr>
                <w:sz w:val="20"/>
                <w:szCs w:val="20"/>
              </w:rPr>
              <w:t xml:space="preserve"> 4) </w:t>
            </w:r>
            <w:r>
              <w:rPr>
                <w:sz w:val="20"/>
                <w:szCs w:val="20"/>
              </w:rPr>
              <w:t>retribuciones, compatibilidades y bienes inmuebles</w:t>
            </w:r>
            <w:r w:rsidR="0001216D">
              <w:rPr>
                <w:sz w:val="20"/>
                <w:szCs w:val="20"/>
              </w:rPr>
              <w:t xml:space="preserve">; </w:t>
            </w:r>
            <w:r>
              <w:rPr>
                <w:sz w:val="20"/>
                <w:szCs w:val="20"/>
              </w:rPr>
              <w:t xml:space="preserve">y </w:t>
            </w:r>
            <w:r w:rsidR="0001216D">
              <w:rPr>
                <w:sz w:val="20"/>
                <w:szCs w:val="20"/>
              </w:rPr>
              <w:t>5</w:t>
            </w:r>
            <w:r w:rsidR="00267B2D">
              <w:rPr>
                <w:sz w:val="20"/>
                <w:szCs w:val="20"/>
              </w:rPr>
              <w:t xml:space="preserve">) </w:t>
            </w:r>
            <w:r>
              <w:rPr>
                <w:sz w:val="20"/>
                <w:szCs w:val="20"/>
              </w:rPr>
              <w:t xml:space="preserve">trámites de audiencia pública. También figura el logo (que no enlace a la Base de Datos Nacional de Subvenciones –BDNS). </w:t>
            </w:r>
          </w:p>
          <w:p w:rsidR="00B2356C" w:rsidRPr="006C7D73" w:rsidRDefault="00B2356C" w:rsidP="00B2356C">
            <w:pPr>
              <w:jc w:val="both"/>
              <w:rPr>
                <w:sz w:val="20"/>
                <w:szCs w:val="20"/>
              </w:rPr>
            </w:pPr>
            <w:r w:rsidRPr="006C7D73">
              <w:rPr>
                <w:sz w:val="20"/>
                <w:szCs w:val="20"/>
              </w:rPr>
              <w:t xml:space="preserve">La información institucional y organizativa se localiza al margen del </w:t>
            </w:r>
          </w:p>
          <w:p w:rsidR="00D01769" w:rsidRPr="00932008" w:rsidRDefault="00D01769" w:rsidP="00D01769">
            <w:pPr>
              <w:jc w:val="both"/>
              <w:rPr>
                <w:sz w:val="20"/>
                <w:szCs w:val="20"/>
              </w:rPr>
            </w:pPr>
            <w:r w:rsidRPr="006C7D73">
              <w:rPr>
                <w:sz w:val="20"/>
                <w:szCs w:val="20"/>
              </w:rPr>
              <w:t>acceso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1216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B2356C" w:rsidP="00502000">
      <w:pPr>
        <w:jc w:val="center"/>
      </w:pPr>
      <w:r>
        <w:rPr>
          <w:noProof/>
        </w:rPr>
        <w:drawing>
          <wp:inline distT="0" distB="0" distL="0" distR="0" wp14:anchorId="312054D8" wp14:editId="4063AEAC">
            <wp:extent cx="6490349" cy="3564000"/>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869" r="1313" b="5438"/>
                    <a:stretch/>
                  </pic:blipFill>
                  <pic:spPr bwMode="auto">
                    <a:xfrm>
                      <a:off x="0" y="0"/>
                      <a:ext cx="6490349" cy="3564000"/>
                    </a:xfrm>
                    <a:prstGeom prst="rect">
                      <a:avLst/>
                    </a:prstGeom>
                    <a:ln>
                      <a:noFill/>
                    </a:ln>
                    <a:extLst>
                      <a:ext uri="{53640926-AAD7-44D8-BBD7-CCE9431645EC}">
                        <a14:shadowObscured xmlns:a14="http://schemas.microsoft.com/office/drawing/2010/main"/>
                      </a:ext>
                    </a:extLst>
                  </pic:spPr>
                </pic:pic>
              </a:graphicData>
            </a:graphic>
          </wp:inline>
        </w:drawing>
      </w:r>
    </w:p>
    <w:p w:rsidR="006C60D8" w:rsidRDefault="006C60D8" w:rsidP="00502000">
      <w:pPr>
        <w:jc w:val="center"/>
      </w:pPr>
    </w:p>
    <w:p w:rsidR="006C60D8" w:rsidRDefault="006C60D8" w:rsidP="00502000">
      <w:pPr>
        <w:jc w:val="center"/>
      </w:pP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37CBB" w:rsidRDefault="00F37CBB" w:rsidP="00E413AC">
            <w:pPr>
              <w:spacing w:before="120" w:after="120"/>
              <w:jc w:val="both"/>
              <w:rPr>
                <w:sz w:val="20"/>
                <w:szCs w:val="20"/>
              </w:rPr>
            </w:pPr>
            <w:r>
              <w:rPr>
                <w:sz w:val="20"/>
                <w:szCs w:val="20"/>
              </w:rPr>
              <w:t>A</w:t>
            </w:r>
            <w:r w:rsidR="00B2356C">
              <w:rPr>
                <w:sz w:val="20"/>
                <w:szCs w:val="20"/>
              </w:rPr>
              <w:t>l margen del acceso de “Transparencia”</w:t>
            </w:r>
            <w:r>
              <w:rPr>
                <w:sz w:val="20"/>
                <w:szCs w:val="20"/>
              </w:rPr>
              <w:t xml:space="preserve"> en el apartado “Fundación” del menú despegable de su página home: se publican sus Estatutos en un pdf de imagen </w:t>
            </w:r>
            <w:r w:rsidR="00E413AC">
              <w:rPr>
                <w:sz w:val="20"/>
                <w:szCs w:val="20"/>
              </w:rPr>
              <w:t>fechado el</w:t>
            </w:r>
            <w:r>
              <w:rPr>
                <w:sz w:val="20"/>
                <w:szCs w:val="20"/>
              </w:rPr>
              <w:t xml:space="preserve"> 23 de octubre de 2019.</w:t>
            </w:r>
          </w:p>
          <w:p w:rsidR="00A71CF3" w:rsidRDefault="00A71CF3" w:rsidP="00E413AC">
            <w:pPr>
              <w:spacing w:before="120" w:after="120"/>
              <w:jc w:val="both"/>
              <w:rPr>
                <w:rStyle w:val="Ttulo2Car"/>
                <w:b w:val="0"/>
                <w:color w:val="auto"/>
                <w:sz w:val="20"/>
                <w:szCs w:val="20"/>
                <w:lang w:bidi="es-ES"/>
              </w:rPr>
            </w:pPr>
            <w:r>
              <w:rPr>
                <w:rStyle w:val="Ttulo2Car"/>
                <w:b w:val="0"/>
                <w:color w:val="auto"/>
                <w:sz w:val="20"/>
                <w:szCs w:val="20"/>
                <w:lang w:bidi="es-ES"/>
              </w:rPr>
              <w:t>Esta información carece de referencias que permitan conocer la última vez que se revisó o actualizó.</w:t>
            </w:r>
          </w:p>
          <w:p w:rsidR="006C60D8" w:rsidRPr="00CB5511" w:rsidRDefault="006C60D8" w:rsidP="00E413AC">
            <w:pPr>
              <w:pStyle w:val="Cuerpodelboletn"/>
              <w:spacing w:before="120" w:after="120"/>
              <w:rPr>
                <w:rStyle w:val="Ttulo2Car"/>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37CBB" w:rsidRDefault="00F37CBB" w:rsidP="00E413AC">
            <w:pPr>
              <w:pStyle w:val="Cuerpodelboletn"/>
              <w:spacing w:before="120" w:after="120"/>
              <w:rPr>
                <w:sz w:val="20"/>
                <w:szCs w:val="20"/>
              </w:rPr>
            </w:pPr>
            <w:r>
              <w:rPr>
                <w:sz w:val="20"/>
                <w:szCs w:val="20"/>
              </w:rPr>
              <w:t xml:space="preserve">Al margen del acceso de “Transparencia” en el apartado “Fundación” del menú despegable de su página home, enlace “Misión y líneas de actuación”. Parte de la información de las áreas de actuación no se ofrece en formato reutilizable. </w:t>
            </w:r>
          </w:p>
          <w:p w:rsidR="00F37CBB" w:rsidRDefault="00F37CBB" w:rsidP="00E413AC">
            <w:pPr>
              <w:spacing w:before="120" w:after="120"/>
              <w:jc w:val="both"/>
              <w:rPr>
                <w:rStyle w:val="Ttulo2Car"/>
                <w:b w:val="0"/>
                <w:color w:val="auto"/>
                <w:sz w:val="20"/>
                <w:szCs w:val="20"/>
                <w:lang w:bidi="es-ES"/>
              </w:rPr>
            </w:pPr>
            <w:r>
              <w:rPr>
                <w:rStyle w:val="Ttulo2Car"/>
                <w:b w:val="0"/>
                <w:color w:val="auto"/>
                <w:sz w:val="20"/>
                <w:szCs w:val="20"/>
                <w:lang w:bidi="es-ES"/>
              </w:rPr>
              <w:t xml:space="preserve">Esta información carece de fechas. </w:t>
            </w:r>
          </w:p>
          <w:p w:rsidR="00670630" w:rsidRPr="00CB5511" w:rsidRDefault="00670630" w:rsidP="00E413AC">
            <w:pPr>
              <w:pStyle w:val="Cuerpodelboletn"/>
              <w:spacing w:before="120" w:after="120"/>
              <w:rPr>
                <w:rStyle w:val="Ttulo2Car"/>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3725E2"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Pr="00CB5511" w:rsidRDefault="00266942" w:rsidP="00E413AC">
            <w:pPr>
              <w:pStyle w:val="Cuerpodelboletn"/>
              <w:spacing w:before="120" w:after="120"/>
              <w:rPr>
                <w:rStyle w:val="Ttulo2Car"/>
                <w:sz w:val="20"/>
                <w:szCs w:val="20"/>
                <w:lang w:bidi="es-ES"/>
              </w:rPr>
            </w:pPr>
            <w:r>
              <w:rPr>
                <w:sz w:val="20"/>
                <w:szCs w:val="20"/>
              </w:rPr>
              <w:t>Al margen del acceso de “Transparencia” a pie de página en el apartado “Aviso legal y Protección de datos”. Se ofrece una ficha por cada actividad (cuatro en total) fechadas el 03/2019</w:t>
            </w:r>
            <w:r w:rsidR="003725E2">
              <w:rPr>
                <w:sz w:val="20"/>
                <w:szCs w:val="20"/>
              </w:rPr>
              <w:t>.</w:t>
            </w:r>
            <w:r>
              <w:rPr>
                <w:sz w:val="20"/>
                <w:szCs w:val="20"/>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C924FE"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406565" w:rsidP="00E413AC">
            <w:pPr>
              <w:pStyle w:val="Cuerpodelboletn"/>
              <w:spacing w:before="120" w:after="120"/>
              <w:rPr>
                <w:rStyle w:val="Ttulo2Car"/>
                <w:b w:val="0"/>
                <w:color w:val="auto"/>
                <w:sz w:val="20"/>
                <w:szCs w:val="20"/>
                <w:lang w:bidi="es-ES"/>
              </w:rPr>
            </w:pPr>
            <w:r w:rsidRPr="0059403F">
              <w:rPr>
                <w:sz w:val="20"/>
                <w:szCs w:val="20"/>
              </w:rPr>
              <w:t>Al margen del acceso de “Transparencia” en el apartado “Fundación” del menú despegable de su página home, enlace</w:t>
            </w:r>
            <w:r w:rsidRPr="0059403F">
              <w:rPr>
                <w:rStyle w:val="Ttulo2Car"/>
                <w:b w:val="0"/>
                <w:color w:val="auto"/>
                <w:sz w:val="20"/>
                <w:szCs w:val="20"/>
                <w:lang w:bidi="es-ES"/>
              </w:rPr>
              <w:t xml:space="preserve"> “órganos de gobierno”</w:t>
            </w:r>
            <w:r w:rsidR="0059403F">
              <w:rPr>
                <w:rStyle w:val="Ttulo2Car"/>
                <w:b w:val="0"/>
                <w:color w:val="auto"/>
                <w:sz w:val="20"/>
                <w:szCs w:val="20"/>
                <w:lang w:bidi="es-ES"/>
              </w:rPr>
              <w:t>: recoge un directorio con los datos del Director, Vicepresidente y las tres áreas con las que cuenta, además de mencionar y detallar las funciones y miembros del</w:t>
            </w:r>
            <w:r w:rsidR="004A4749">
              <w:rPr>
                <w:rStyle w:val="Ttulo2Car"/>
                <w:b w:val="0"/>
                <w:color w:val="auto"/>
                <w:sz w:val="20"/>
                <w:szCs w:val="20"/>
                <w:lang w:bidi="es-ES"/>
              </w:rPr>
              <w:t xml:space="preserve"> </w:t>
            </w:r>
            <w:r w:rsidR="0059403F">
              <w:rPr>
                <w:rStyle w:val="Ttulo2Car"/>
                <w:b w:val="0"/>
                <w:color w:val="auto"/>
                <w:sz w:val="20"/>
                <w:szCs w:val="20"/>
                <w:lang w:bidi="es-ES"/>
              </w:rPr>
              <w:t xml:space="preserve">Patronato, Comité Ejecutivo y a los </w:t>
            </w:r>
            <w:r w:rsidR="002F6E9B">
              <w:rPr>
                <w:rStyle w:val="Ttulo2Car"/>
                <w:b w:val="0"/>
                <w:color w:val="auto"/>
                <w:sz w:val="20"/>
                <w:szCs w:val="20"/>
                <w:lang w:bidi="es-ES"/>
              </w:rPr>
              <w:t xml:space="preserve">de los </w:t>
            </w:r>
            <w:r w:rsidR="0059403F">
              <w:rPr>
                <w:rStyle w:val="Ttulo2Car"/>
                <w:b w:val="0"/>
                <w:color w:val="auto"/>
                <w:sz w:val="20"/>
                <w:szCs w:val="20"/>
                <w:lang w:bidi="es-ES"/>
              </w:rPr>
              <w:t>Comités asesores.</w:t>
            </w:r>
          </w:p>
          <w:p w:rsidR="0059403F" w:rsidRDefault="0059403F" w:rsidP="00E413AC">
            <w:pPr>
              <w:spacing w:before="120" w:after="120"/>
              <w:jc w:val="both"/>
              <w:rPr>
                <w:rStyle w:val="Ttulo2Car"/>
                <w:b w:val="0"/>
                <w:color w:val="auto"/>
                <w:sz w:val="20"/>
                <w:szCs w:val="20"/>
                <w:lang w:bidi="es-ES"/>
              </w:rPr>
            </w:pPr>
            <w:r>
              <w:rPr>
                <w:rStyle w:val="Ttulo2Car"/>
                <w:b w:val="0"/>
                <w:color w:val="auto"/>
                <w:sz w:val="20"/>
                <w:szCs w:val="20"/>
                <w:lang w:bidi="es-ES"/>
              </w:rPr>
              <w:t>Esta información carece de referencias que permitan conocer la última vez que se revisó o actualizó.</w:t>
            </w:r>
          </w:p>
          <w:p w:rsidR="00E34195" w:rsidRPr="001479A5" w:rsidRDefault="00E34195" w:rsidP="00E413AC">
            <w:pPr>
              <w:pStyle w:val="Cuerpodelboletn"/>
              <w:spacing w:before="120" w:after="120"/>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1479A5"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59403F" w:rsidP="00E413AC">
            <w:pPr>
              <w:spacing w:before="120" w:after="120"/>
              <w:jc w:val="both"/>
              <w:rPr>
                <w:rStyle w:val="Ttulo2Car"/>
                <w:b w:val="0"/>
                <w:color w:val="auto"/>
                <w:sz w:val="20"/>
                <w:szCs w:val="20"/>
                <w:lang w:bidi="es-ES"/>
              </w:rPr>
            </w:pPr>
            <w:r>
              <w:rPr>
                <w:rStyle w:val="Ttulo2Car"/>
                <w:b w:val="0"/>
                <w:color w:val="auto"/>
                <w:sz w:val="20"/>
                <w:szCs w:val="20"/>
                <w:lang w:bidi="es-ES"/>
              </w:rPr>
              <w:t>Junto al directorio, fechado en noviembre de 2019 y sin referencias a la última vez que se revisó o actualizó.</w:t>
            </w:r>
          </w:p>
          <w:p w:rsidR="00E34195" w:rsidRPr="001479A5" w:rsidRDefault="00E34195" w:rsidP="00E413AC">
            <w:pPr>
              <w:pStyle w:val="Cuerpodelboletn"/>
              <w:spacing w:before="120" w:after="120"/>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59403F" w:rsidP="00E413AC">
            <w:pPr>
              <w:pStyle w:val="Cuerpodelboletn"/>
              <w:spacing w:before="120" w:after="120"/>
              <w:rPr>
                <w:rStyle w:val="Ttulo2Car"/>
                <w:b w:val="0"/>
                <w:color w:val="auto"/>
                <w:sz w:val="20"/>
                <w:szCs w:val="20"/>
                <w:lang w:bidi="es-ES"/>
              </w:rPr>
            </w:pPr>
            <w:r>
              <w:rPr>
                <w:sz w:val="20"/>
                <w:szCs w:val="20"/>
              </w:rPr>
              <w:t>También al m</w:t>
            </w:r>
            <w:r w:rsidRPr="0059403F">
              <w:rPr>
                <w:sz w:val="20"/>
                <w:szCs w:val="20"/>
              </w:rPr>
              <w:t>argen del acceso de “Transparencia” en el apartado “Fundación” del menú despegable de su página home, enlace</w:t>
            </w:r>
            <w:r w:rsidRPr="0059403F">
              <w:rPr>
                <w:rStyle w:val="Ttulo2Car"/>
                <w:b w:val="0"/>
                <w:color w:val="auto"/>
                <w:sz w:val="20"/>
                <w:szCs w:val="20"/>
                <w:lang w:bidi="es-ES"/>
              </w:rPr>
              <w:t xml:space="preserve"> “órganos de gobierno”</w:t>
            </w:r>
            <w:r>
              <w:rPr>
                <w:rStyle w:val="Ttulo2Car"/>
                <w:b w:val="0"/>
                <w:color w:val="auto"/>
                <w:sz w:val="20"/>
                <w:szCs w:val="20"/>
                <w:lang w:bidi="es-ES"/>
              </w:rPr>
              <w:t xml:space="preserve">: se identifican los miembros del Patronato, del Comité ejecutivo y de los Comités Asesores. </w:t>
            </w:r>
          </w:p>
          <w:p w:rsidR="00C924FE" w:rsidRPr="00CB5511" w:rsidRDefault="0059403F" w:rsidP="00E413AC">
            <w:pPr>
              <w:pStyle w:val="Cuerpodelboletn"/>
              <w:spacing w:before="120" w:after="120"/>
              <w:rPr>
                <w:rStyle w:val="Ttulo2Car"/>
                <w:sz w:val="20"/>
                <w:szCs w:val="20"/>
                <w:lang w:bidi="es-ES"/>
              </w:rPr>
            </w:pPr>
            <w:r>
              <w:rPr>
                <w:rStyle w:val="Ttulo2Car"/>
                <w:b w:val="0"/>
                <w:color w:val="auto"/>
                <w:sz w:val="20"/>
                <w:szCs w:val="20"/>
                <w:lang w:bidi="es-ES"/>
              </w:rPr>
              <w:t>La</w:t>
            </w:r>
            <w:r w:rsidR="00C924FE">
              <w:rPr>
                <w:rStyle w:val="Ttulo2Car"/>
                <w:b w:val="0"/>
                <w:color w:val="auto"/>
                <w:sz w:val="20"/>
                <w:szCs w:val="20"/>
                <w:lang w:bidi="es-ES"/>
              </w:rPr>
              <w:t xml:space="preserve"> información carece de referencias que permitan </w:t>
            </w:r>
            <w:r w:rsidR="00C924FE">
              <w:rPr>
                <w:rStyle w:val="Ttulo2Car"/>
                <w:b w:val="0"/>
                <w:color w:val="auto"/>
                <w:sz w:val="20"/>
                <w:szCs w:val="20"/>
                <w:lang w:bidi="es-ES"/>
              </w:rPr>
              <w:lastRenderedPageBreak/>
              <w:t>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C924FE" w:rsidP="00E3088D">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59403F" w:rsidP="00E413AC">
            <w:pPr>
              <w:pStyle w:val="Cuerpodelboletn"/>
              <w:spacing w:before="120" w:after="120"/>
              <w:rPr>
                <w:rStyle w:val="Ttulo2Car"/>
                <w:b w:val="0"/>
                <w:color w:val="auto"/>
                <w:sz w:val="20"/>
                <w:szCs w:val="20"/>
                <w:lang w:bidi="es-ES"/>
              </w:rPr>
            </w:pPr>
            <w:r>
              <w:rPr>
                <w:rStyle w:val="Ttulo2Car"/>
                <w:b w:val="0"/>
                <w:color w:val="auto"/>
                <w:sz w:val="20"/>
                <w:szCs w:val="20"/>
                <w:lang w:bidi="es-ES"/>
              </w:rPr>
              <w:t>Junto a la identificación de los miembros del patronato, se ofrece su cv salvo los de</w:t>
            </w:r>
            <w:r w:rsidR="00007D01">
              <w:rPr>
                <w:rStyle w:val="Ttulo2Car"/>
                <w:b w:val="0"/>
                <w:color w:val="auto"/>
                <w:sz w:val="20"/>
                <w:szCs w:val="20"/>
                <w:lang w:bidi="es-ES"/>
              </w:rPr>
              <w:t xml:space="preserve"> las personas titulares de la</w:t>
            </w:r>
            <w:r>
              <w:rPr>
                <w:rStyle w:val="Ttulo2Car"/>
                <w:b w:val="0"/>
                <w:color w:val="auto"/>
                <w:sz w:val="20"/>
                <w:szCs w:val="20"/>
                <w:lang w:bidi="es-ES"/>
              </w:rPr>
              <w:t xml:space="preserve"> Vicepresiden</w:t>
            </w:r>
            <w:r w:rsidR="00007D01">
              <w:rPr>
                <w:rStyle w:val="Ttulo2Car"/>
                <w:b w:val="0"/>
                <w:color w:val="auto"/>
                <w:sz w:val="20"/>
                <w:szCs w:val="20"/>
                <w:lang w:bidi="es-ES"/>
              </w:rPr>
              <w:t>cia y Dirección</w:t>
            </w:r>
            <w:r>
              <w:rPr>
                <w:rStyle w:val="Ttulo2Car"/>
                <w:b w:val="0"/>
                <w:color w:val="auto"/>
                <w:sz w:val="20"/>
                <w:szCs w:val="20"/>
                <w:lang w:bidi="es-ES"/>
              </w:rPr>
              <w:t xml:space="preserve"> de la Fundación</w:t>
            </w:r>
            <w:r w:rsidR="00007D01">
              <w:rPr>
                <w:rStyle w:val="Ttulo2Car"/>
                <w:b w:val="0"/>
                <w:color w:val="auto"/>
                <w:sz w:val="20"/>
                <w:szCs w:val="20"/>
                <w:lang w:bidi="es-ES"/>
              </w:rPr>
              <w:t>.</w:t>
            </w:r>
          </w:p>
          <w:p w:rsidR="00E34195" w:rsidRPr="00CB5511" w:rsidRDefault="0059403F" w:rsidP="00E413AC">
            <w:pPr>
              <w:pStyle w:val="Cuerpodelboletn"/>
              <w:spacing w:before="120" w:after="120"/>
              <w:rPr>
                <w:rStyle w:val="Ttulo2Car"/>
                <w:sz w:val="20"/>
                <w:szCs w:val="20"/>
                <w:lang w:bidi="es-ES"/>
              </w:rPr>
            </w:pPr>
            <w:r>
              <w:rPr>
                <w:rStyle w:val="Ttulo2Car"/>
                <w:b w:val="0"/>
                <w:color w:val="auto"/>
                <w:sz w:val="20"/>
                <w:szCs w:val="20"/>
                <w:lang w:bidi="es-ES"/>
              </w:rPr>
              <w:t>La información carece de referencias que permitan conocer la última vez que se revisó o actualizó.</w:t>
            </w:r>
          </w:p>
        </w:tc>
      </w:tr>
    </w:tbl>
    <w:p w:rsidR="0000314C" w:rsidRDefault="0000314C" w:rsidP="00E3088D">
      <w:pPr>
        <w:pStyle w:val="Cuerpodelboletn"/>
        <w:spacing w:before="120" w:after="120" w:line="312" w:lineRule="auto"/>
        <w:ind w:left="360"/>
        <w:rPr>
          <w:rStyle w:val="Ttulo2Car"/>
          <w:lang w:bidi="es-ES"/>
        </w:rPr>
      </w:pPr>
    </w:p>
    <w:p w:rsidR="001561A4" w:rsidRPr="00C33A23" w:rsidRDefault="00C924FE" w:rsidP="00C924FE">
      <w:pPr>
        <w:rPr>
          <w:rStyle w:val="Ttulo2Car"/>
          <w:color w:val="00642D"/>
          <w:lang w:bidi="es-ES"/>
        </w:rPr>
      </w:pPr>
      <w:r>
        <w:rPr>
          <w:rStyle w:val="Ttulo2Car"/>
          <w:lang w:bidi="es-ES"/>
        </w:rPr>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0C5083C" wp14:editId="31D9B7D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92AC1" w:rsidRDefault="00192AC1">
                            <w:pPr>
                              <w:rPr>
                                <w:b/>
                                <w:color w:val="00642D"/>
                              </w:rPr>
                            </w:pPr>
                            <w:r w:rsidRPr="00BD4582">
                              <w:rPr>
                                <w:b/>
                                <w:color w:val="00642D"/>
                              </w:rPr>
                              <w:t>Contenidos</w:t>
                            </w:r>
                          </w:p>
                          <w:p w:rsidR="00192AC1" w:rsidRPr="00A27488" w:rsidRDefault="00192AC1" w:rsidP="006F1BF3">
                            <w:pPr>
                              <w:spacing w:before="120" w:after="120" w:line="240" w:lineRule="auto"/>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192AC1" w:rsidRPr="000E3AFF" w:rsidRDefault="00192AC1" w:rsidP="006F1BF3">
                            <w:pPr>
                              <w:pStyle w:val="Prrafodelista"/>
                              <w:numPr>
                                <w:ilvl w:val="0"/>
                                <w:numId w:val="8"/>
                              </w:numPr>
                              <w:spacing w:before="120" w:after="120" w:line="240" w:lineRule="auto"/>
                              <w:contextualSpacing w:val="0"/>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192AC1" w:rsidRPr="00007D01" w:rsidRDefault="00192AC1" w:rsidP="006F1BF3">
                            <w:pPr>
                              <w:pStyle w:val="Prrafodelista"/>
                              <w:numPr>
                                <w:ilvl w:val="0"/>
                                <w:numId w:val="8"/>
                              </w:numPr>
                              <w:spacing w:before="120" w:after="120" w:line="240" w:lineRule="auto"/>
                              <w:contextualSpacing w:val="0"/>
                              <w:jc w:val="both"/>
                              <w:rPr>
                                <w:b/>
                                <w:color w:val="00642D"/>
                              </w:rPr>
                            </w:pPr>
                            <w:r w:rsidRPr="00007D01">
                              <w:rPr>
                                <w:sz w:val="20"/>
                                <w:szCs w:val="20"/>
                              </w:rPr>
                              <w:t xml:space="preserve"> </w:t>
                            </w:r>
                            <w:r w:rsidRPr="00007D01">
                              <w:rPr>
                                <w:sz w:val="20"/>
                                <w:szCs w:val="20"/>
                                <w:lang w:bidi="es-ES"/>
                              </w:rPr>
                              <w:t xml:space="preserve">No se informa sobre el perfil y la trayectoria profesional </w:t>
                            </w:r>
                            <w:r>
                              <w:rPr>
                                <w:sz w:val="20"/>
                                <w:szCs w:val="20"/>
                                <w:lang w:bidi="es-ES"/>
                              </w:rPr>
                              <w:t xml:space="preserve">de todos los responsables de la Fundación. </w:t>
                            </w:r>
                          </w:p>
                          <w:p w:rsidR="00192AC1" w:rsidRPr="00D01769" w:rsidRDefault="00192AC1" w:rsidP="006F1BF3">
                            <w:pPr>
                              <w:spacing w:before="120" w:after="120" w:line="240" w:lineRule="auto"/>
                              <w:ind w:left="360"/>
                              <w:jc w:val="both"/>
                              <w:rPr>
                                <w:b/>
                                <w:color w:val="00642D"/>
                              </w:rPr>
                            </w:pPr>
                            <w:r w:rsidRPr="00D01769">
                              <w:rPr>
                                <w:b/>
                                <w:color w:val="00642D"/>
                              </w:rPr>
                              <w:t>Calidad de la Información</w:t>
                            </w:r>
                          </w:p>
                          <w:p w:rsidR="00192AC1" w:rsidRPr="00AA477B" w:rsidRDefault="00192AC1" w:rsidP="006F1BF3">
                            <w:pPr>
                              <w:pStyle w:val="Prrafodelista"/>
                              <w:numPr>
                                <w:ilvl w:val="0"/>
                                <w:numId w:val="5"/>
                              </w:numPr>
                              <w:spacing w:before="120" w:after="120" w:line="240" w:lineRule="auto"/>
                              <w:contextualSpacing w:val="0"/>
                              <w:jc w:val="both"/>
                              <w:rPr>
                                <w:sz w:val="20"/>
                                <w:szCs w:val="20"/>
                                <w:lang w:bidi="es-ES"/>
                              </w:rPr>
                            </w:pPr>
                            <w:r w:rsidRPr="00AA477B">
                              <w:rPr>
                                <w:sz w:val="20"/>
                                <w:szCs w:val="20"/>
                                <w:lang w:bidi="es-ES"/>
                              </w:rPr>
                              <w:t>La información institucional y organizativa se localiza al margen del acceso de transparencia y no enlaza con el mismo. Lo mismos sucede con el Registro de Actividades de Tratamiento se publica fuera del Portal de Transparencia. Estas obligaciones, reguladas en los artículos 6 y 6 bis de la LTAIBG, pertenece al bloque de obligaciones Institucional, Organizativa y de Planificación, por lo que debería crearse este bloque en el Portal de Transparencia y enlazar a la publicación</w:t>
                            </w:r>
                          </w:p>
                          <w:p w:rsidR="00192AC1" w:rsidRPr="006F1BF3" w:rsidRDefault="00192AC1" w:rsidP="006F1BF3">
                            <w:pPr>
                              <w:pStyle w:val="Prrafodelista"/>
                              <w:numPr>
                                <w:ilvl w:val="0"/>
                                <w:numId w:val="5"/>
                              </w:numPr>
                              <w:spacing w:before="120" w:after="120" w:line="240" w:lineRule="auto"/>
                              <w:contextualSpacing w:val="0"/>
                              <w:jc w:val="both"/>
                              <w:rPr>
                                <w:sz w:val="20"/>
                                <w:szCs w:val="20"/>
                              </w:rPr>
                            </w:pPr>
                            <w:r w:rsidRPr="006F1BF3">
                              <w:rPr>
                                <w:sz w:val="20"/>
                                <w:szCs w:val="20"/>
                              </w:rPr>
                              <w:t xml:space="preserve">La información carece de fecha o de referencias a la última vez que se revisó o actualizó. </w:t>
                            </w:r>
                          </w:p>
                          <w:p w:rsidR="00192AC1" w:rsidRPr="000E3AFF" w:rsidRDefault="00192AC1" w:rsidP="006F1BF3">
                            <w:pPr>
                              <w:pStyle w:val="Prrafodelista"/>
                              <w:numPr>
                                <w:ilvl w:val="0"/>
                                <w:numId w:val="5"/>
                              </w:numPr>
                              <w:spacing w:before="120" w:after="120" w:line="240" w:lineRule="auto"/>
                              <w:contextualSpacing w:val="0"/>
                              <w:jc w:val="both"/>
                              <w:rPr>
                                <w:b/>
                                <w:color w:val="00642D"/>
                              </w:rPr>
                            </w:pPr>
                            <w:r>
                              <w:rPr>
                                <w:sz w:val="20"/>
                                <w:szCs w:val="20"/>
                              </w:rPr>
                              <w:t xml:space="preserve">Los Estatutos se </w:t>
                            </w:r>
                            <w:r w:rsidRPr="000E3AFF">
                              <w:rPr>
                                <w:sz w:val="20"/>
                                <w:szCs w:val="20"/>
                              </w:rPr>
                              <w:t>pro</w:t>
                            </w:r>
                            <w:r>
                              <w:rPr>
                                <w:sz w:val="20"/>
                                <w:szCs w:val="20"/>
                              </w:rPr>
                              <w:t xml:space="preserve">porcionan en un pdf de imagen </w:t>
                            </w:r>
                            <w:r w:rsidRPr="000E3AFF">
                              <w:rPr>
                                <w:sz w:val="20"/>
                                <w:szCs w:val="20"/>
                              </w:rPr>
                              <w:t>(no reutilizab</w:t>
                            </w:r>
                            <w:r>
                              <w:rPr>
                                <w:sz w:val="20"/>
                                <w:szCs w:val="20"/>
                              </w:rPr>
                              <w:t>le</w:t>
                            </w:r>
                            <w:r w:rsidRPr="000E3AFF">
                              <w:rPr>
                                <w:sz w:val="20"/>
                                <w:szCs w:val="20"/>
                              </w:rPr>
                              <w:t>)</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64F78" w:rsidRDefault="00064F78">
                      <w:pPr>
                        <w:rPr>
                          <w:b/>
                          <w:color w:val="00642D"/>
                        </w:rPr>
                      </w:pPr>
                      <w:r w:rsidRPr="00BD4582">
                        <w:rPr>
                          <w:b/>
                          <w:color w:val="00642D"/>
                        </w:rPr>
                        <w:t>Contenidos</w:t>
                      </w:r>
                    </w:p>
                    <w:p w:rsidR="00064F78" w:rsidRPr="00A27488" w:rsidRDefault="00064F78" w:rsidP="006F1BF3">
                      <w:pPr>
                        <w:spacing w:before="120" w:after="120" w:line="240" w:lineRule="auto"/>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064F78" w:rsidRPr="000E3AFF" w:rsidRDefault="00064F78" w:rsidP="006F1BF3">
                      <w:pPr>
                        <w:pStyle w:val="Prrafodelista"/>
                        <w:numPr>
                          <w:ilvl w:val="0"/>
                          <w:numId w:val="8"/>
                        </w:numPr>
                        <w:spacing w:before="120" w:after="120" w:line="240" w:lineRule="auto"/>
                        <w:contextualSpacing w:val="0"/>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064F78" w:rsidRPr="00007D01" w:rsidRDefault="00064F78" w:rsidP="006F1BF3">
                      <w:pPr>
                        <w:pStyle w:val="Prrafodelista"/>
                        <w:numPr>
                          <w:ilvl w:val="0"/>
                          <w:numId w:val="8"/>
                        </w:numPr>
                        <w:spacing w:before="120" w:after="120" w:line="240" w:lineRule="auto"/>
                        <w:contextualSpacing w:val="0"/>
                        <w:jc w:val="both"/>
                        <w:rPr>
                          <w:b/>
                          <w:color w:val="00642D"/>
                        </w:rPr>
                      </w:pPr>
                      <w:r w:rsidRPr="00007D01">
                        <w:rPr>
                          <w:sz w:val="20"/>
                          <w:szCs w:val="20"/>
                        </w:rPr>
                        <w:t xml:space="preserve"> </w:t>
                      </w:r>
                      <w:r w:rsidRPr="00007D01">
                        <w:rPr>
                          <w:sz w:val="20"/>
                          <w:szCs w:val="20"/>
                          <w:lang w:bidi="es-ES"/>
                        </w:rPr>
                        <w:t xml:space="preserve">No se informa sobre el perfil y la trayectoria profesional </w:t>
                      </w:r>
                      <w:r>
                        <w:rPr>
                          <w:sz w:val="20"/>
                          <w:szCs w:val="20"/>
                          <w:lang w:bidi="es-ES"/>
                        </w:rPr>
                        <w:t xml:space="preserve">de todos los responsables de la Fundación. </w:t>
                      </w:r>
                    </w:p>
                    <w:p w:rsidR="00064F78" w:rsidRPr="00D01769" w:rsidRDefault="00064F78" w:rsidP="006F1BF3">
                      <w:pPr>
                        <w:spacing w:before="120" w:after="120" w:line="240" w:lineRule="auto"/>
                        <w:ind w:left="360"/>
                        <w:jc w:val="both"/>
                        <w:rPr>
                          <w:b/>
                          <w:color w:val="00642D"/>
                        </w:rPr>
                      </w:pPr>
                      <w:r w:rsidRPr="00D01769">
                        <w:rPr>
                          <w:b/>
                          <w:color w:val="00642D"/>
                        </w:rPr>
                        <w:t>Calidad de la Información</w:t>
                      </w:r>
                    </w:p>
                    <w:p w:rsidR="00064F78" w:rsidRPr="00AA477B" w:rsidRDefault="00064F78" w:rsidP="006F1BF3">
                      <w:pPr>
                        <w:pStyle w:val="Prrafodelista"/>
                        <w:numPr>
                          <w:ilvl w:val="0"/>
                          <w:numId w:val="5"/>
                        </w:numPr>
                        <w:spacing w:before="120" w:after="120" w:line="240" w:lineRule="auto"/>
                        <w:contextualSpacing w:val="0"/>
                        <w:jc w:val="both"/>
                        <w:rPr>
                          <w:sz w:val="20"/>
                          <w:szCs w:val="20"/>
                          <w:lang w:bidi="es-ES"/>
                        </w:rPr>
                      </w:pPr>
                      <w:r w:rsidRPr="00AA477B">
                        <w:rPr>
                          <w:sz w:val="20"/>
                          <w:szCs w:val="20"/>
                          <w:lang w:bidi="es-ES"/>
                        </w:rPr>
                        <w:t>La información institucional y organizativa se localiza al margen del acceso de transparencia y no enlaza con el mismo. Lo mismos sucede con el Registro de Actividades de Tratamiento se publica fuera del Portal de Transparencia. Estas obligaciones, reguladas en los artículos 6 y 6 bis de la LTAIBG, pertenece al bloque de obligaciones Institucional, Organizativa y de Planificación, por lo que debería crearse este bloque en el Portal de Transparencia y enlazar a la publicación</w:t>
                      </w:r>
                    </w:p>
                    <w:p w:rsidR="00064F78" w:rsidRPr="006F1BF3" w:rsidRDefault="00064F78" w:rsidP="006F1BF3">
                      <w:pPr>
                        <w:pStyle w:val="Prrafodelista"/>
                        <w:numPr>
                          <w:ilvl w:val="0"/>
                          <w:numId w:val="5"/>
                        </w:numPr>
                        <w:spacing w:before="120" w:after="120" w:line="240" w:lineRule="auto"/>
                        <w:contextualSpacing w:val="0"/>
                        <w:jc w:val="both"/>
                        <w:rPr>
                          <w:sz w:val="20"/>
                          <w:szCs w:val="20"/>
                        </w:rPr>
                      </w:pPr>
                      <w:r w:rsidRPr="006F1BF3">
                        <w:rPr>
                          <w:sz w:val="20"/>
                          <w:szCs w:val="20"/>
                        </w:rPr>
                        <w:t xml:space="preserve">La información carece de fecha o de referencias a la última vez que se revisó o actualizó. </w:t>
                      </w:r>
                    </w:p>
                    <w:p w:rsidR="00064F78" w:rsidRPr="000E3AFF" w:rsidRDefault="00064F78" w:rsidP="006F1BF3">
                      <w:pPr>
                        <w:pStyle w:val="Prrafodelista"/>
                        <w:numPr>
                          <w:ilvl w:val="0"/>
                          <w:numId w:val="5"/>
                        </w:numPr>
                        <w:spacing w:before="120" w:after="120" w:line="240" w:lineRule="auto"/>
                        <w:contextualSpacing w:val="0"/>
                        <w:jc w:val="both"/>
                        <w:rPr>
                          <w:b/>
                          <w:color w:val="00642D"/>
                        </w:rPr>
                      </w:pPr>
                      <w:r>
                        <w:rPr>
                          <w:sz w:val="20"/>
                          <w:szCs w:val="20"/>
                        </w:rPr>
                        <w:t xml:space="preserve">Los Estatutos se </w:t>
                      </w:r>
                      <w:r w:rsidRPr="000E3AFF">
                        <w:rPr>
                          <w:sz w:val="20"/>
                          <w:szCs w:val="20"/>
                        </w:rPr>
                        <w:t>pro</w:t>
                      </w:r>
                      <w:r>
                        <w:rPr>
                          <w:sz w:val="20"/>
                          <w:szCs w:val="20"/>
                        </w:rPr>
                        <w:t xml:space="preserve">porcionan en un pdf de imagen </w:t>
                      </w:r>
                      <w:r w:rsidRPr="000E3AFF">
                        <w:rPr>
                          <w:sz w:val="20"/>
                          <w:szCs w:val="20"/>
                        </w:rPr>
                        <w:t>(no reutilizab</w:t>
                      </w:r>
                      <w:r>
                        <w:rPr>
                          <w:sz w:val="20"/>
                          <w:szCs w:val="20"/>
                        </w:rPr>
                        <w:t>le</w:t>
                      </w:r>
                      <w:r w:rsidRPr="000E3AFF">
                        <w:rPr>
                          <w:sz w:val="20"/>
                          <w:szCs w:val="20"/>
                        </w:rPr>
                        <w:t>)</w:t>
                      </w:r>
                      <w:r>
                        <w:rPr>
                          <w:sz w:val="20"/>
                          <w:szCs w:val="20"/>
                        </w:rP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E3346D" w:rsidRDefault="000E3AFF"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1C0E45" w:rsidRDefault="001C0E45" w:rsidP="00064F78">
            <w:pPr>
              <w:pStyle w:val="Cuerpodelboletn"/>
              <w:spacing w:before="120" w:after="120"/>
              <w:rPr>
                <w:bCs/>
                <w:sz w:val="20"/>
                <w:szCs w:val="20"/>
              </w:rPr>
            </w:pPr>
            <w:r>
              <w:rPr>
                <w:bCs/>
                <w:sz w:val="20"/>
                <w:szCs w:val="20"/>
              </w:rPr>
              <w:t>La información que ofrece sobre contratos en su acceso de Transparencia se refiere al año 2018 y anteriores. Dada su desactualización no ha sido posible tenerla en cuenta.</w:t>
            </w:r>
          </w:p>
          <w:p w:rsidR="00AF6C05" w:rsidRPr="00CB5511" w:rsidRDefault="001C0E45" w:rsidP="00064F78">
            <w:pPr>
              <w:pStyle w:val="Cuerpodelboletn"/>
              <w:spacing w:before="120" w:after="120"/>
              <w:rPr>
                <w:rStyle w:val="Ttulo2Car"/>
                <w:sz w:val="20"/>
                <w:szCs w:val="20"/>
                <w:lang w:bidi="es-ES"/>
              </w:rPr>
            </w:pPr>
            <w:r>
              <w:rPr>
                <w:bCs/>
                <w:sz w:val="20"/>
                <w:szCs w:val="20"/>
              </w:rPr>
              <w:t xml:space="preserve">Por tanto, ha sido necesario acudir al acceso </w:t>
            </w:r>
            <w:r w:rsidR="006F1BF3">
              <w:rPr>
                <w:bCs/>
                <w:sz w:val="20"/>
                <w:szCs w:val="20"/>
              </w:rPr>
              <w:t>“P</w:t>
            </w:r>
            <w:r>
              <w:rPr>
                <w:bCs/>
                <w:sz w:val="20"/>
                <w:szCs w:val="20"/>
              </w:rPr>
              <w:t xml:space="preserve">erfil </w:t>
            </w:r>
            <w:r w:rsidR="006F1BF3">
              <w:rPr>
                <w:bCs/>
                <w:sz w:val="20"/>
                <w:szCs w:val="20"/>
              </w:rPr>
              <w:t>del c</w:t>
            </w:r>
            <w:r>
              <w:rPr>
                <w:bCs/>
                <w:sz w:val="20"/>
                <w:szCs w:val="20"/>
              </w:rPr>
              <w:t>ontratante</w:t>
            </w:r>
            <w:r w:rsidR="006F1BF3">
              <w:rPr>
                <w:bCs/>
                <w:sz w:val="20"/>
                <w:szCs w:val="20"/>
              </w:rPr>
              <w:t>”</w:t>
            </w:r>
            <w:r>
              <w:rPr>
                <w:bCs/>
                <w:sz w:val="20"/>
                <w:szCs w:val="20"/>
              </w:rPr>
              <w:t xml:space="preserve"> de su página web </w:t>
            </w:r>
            <w:r w:rsidR="000E3AFF" w:rsidRPr="000E3AFF">
              <w:rPr>
                <w:bCs/>
                <w:sz w:val="20"/>
                <w:szCs w:val="20"/>
              </w:rPr>
              <w:t>que</w:t>
            </w:r>
            <w:r w:rsidR="000E3AFF">
              <w:rPr>
                <w:bCs/>
                <w:sz w:val="20"/>
                <w:szCs w:val="20"/>
              </w:rPr>
              <w:t>,</w:t>
            </w:r>
            <w:r w:rsidR="000E3AFF" w:rsidRPr="000E3AFF">
              <w:rPr>
                <w:bCs/>
                <w:sz w:val="20"/>
                <w:szCs w:val="20"/>
              </w:rPr>
              <w:t xml:space="preserve"> a</w:t>
            </w:r>
            <w:r w:rsidR="000E3AFF">
              <w:rPr>
                <w:bCs/>
                <w:sz w:val="20"/>
                <w:szCs w:val="20"/>
              </w:rPr>
              <w:t xml:space="preserve"> </w:t>
            </w:r>
            <w:r w:rsidR="000E3AFF" w:rsidRPr="000E3AFF">
              <w:rPr>
                <w:bCs/>
                <w:sz w:val="20"/>
                <w:szCs w:val="20"/>
              </w:rPr>
              <w:t>su vez, reco</w:t>
            </w:r>
            <w:r w:rsidR="000E3AFF">
              <w:rPr>
                <w:bCs/>
                <w:sz w:val="20"/>
                <w:szCs w:val="20"/>
              </w:rPr>
              <w:t>ge un enlace</w:t>
            </w:r>
            <w:r w:rsidR="000E3AFF" w:rsidRPr="000E3AFF">
              <w:rPr>
                <w:bCs/>
                <w:sz w:val="20"/>
                <w:szCs w:val="20"/>
              </w:rPr>
              <w:t xml:space="preserve"> que posic</w:t>
            </w:r>
            <w:r w:rsidR="000E3AFF">
              <w:rPr>
                <w:bCs/>
                <w:sz w:val="20"/>
                <w:szCs w:val="20"/>
              </w:rPr>
              <w:t>i</w:t>
            </w:r>
            <w:r w:rsidR="000E3AFF" w:rsidRPr="000E3AFF">
              <w:rPr>
                <w:bCs/>
                <w:sz w:val="20"/>
                <w:szCs w:val="20"/>
              </w:rPr>
              <w:t>ona al vis</w:t>
            </w:r>
            <w:r w:rsidR="000E3AFF">
              <w:rPr>
                <w:bCs/>
                <w:sz w:val="20"/>
                <w:szCs w:val="20"/>
              </w:rPr>
              <w:t>itante</w:t>
            </w:r>
            <w:r w:rsidR="000E3AFF" w:rsidRPr="000E3AFF">
              <w:rPr>
                <w:bCs/>
                <w:sz w:val="20"/>
                <w:szCs w:val="20"/>
              </w:rPr>
              <w:t xml:space="preserve"> en su perfil contratante</w:t>
            </w:r>
            <w:r>
              <w:rPr>
                <w:bCs/>
                <w:sz w:val="20"/>
                <w:szCs w:val="20"/>
              </w:rPr>
              <w:t xml:space="preserve"> de la Fundación</w:t>
            </w:r>
            <w:r w:rsidR="000E3AFF" w:rsidRPr="000E3AFF">
              <w:rPr>
                <w:bCs/>
                <w:sz w:val="20"/>
                <w:szCs w:val="20"/>
              </w:rPr>
              <w:t xml:space="preserve"> de la Plataforma de Contratac</w:t>
            </w:r>
            <w:r w:rsidR="000E3AFF">
              <w:rPr>
                <w:bCs/>
                <w:sz w:val="20"/>
                <w:szCs w:val="20"/>
              </w:rPr>
              <w:t>i</w:t>
            </w:r>
            <w:r w:rsidR="000E3AFF" w:rsidRPr="000E3AFF">
              <w:rPr>
                <w:bCs/>
                <w:sz w:val="20"/>
                <w:szCs w:val="20"/>
              </w:rPr>
              <w:t>ón del Sector Públ</w:t>
            </w:r>
            <w:r w:rsidR="000E3AFF">
              <w:rPr>
                <w:bCs/>
                <w:sz w:val="20"/>
                <w:szCs w:val="20"/>
              </w:rPr>
              <w:t>ico (PCSP). Se informa sobre</w:t>
            </w:r>
            <w:r w:rsidR="004A4749">
              <w:rPr>
                <w:bCs/>
                <w:sz w:val="20"/>
                <w:szCs w:val="20"/>
              </w:rPr>
              <w:t xml:space="preserve"> </w:t>
            </w:r>
            <w:r w:rsidR="008044FF">
              <w:rPr>
                <w:bCs/>
                <w:sz w:val="20"/>
                <w:szCs w:val="20"/>
              </w:rPr>
              <w:t>más de 100</w:t>
            </w:r>
            <w:r w:rsidR="000E3AFF">
              <w:rPr>
                <w:bCs/>
                <w:sz w:val="20"/>
                <w:szCs w:val="20"/>
              </w:rPr>
              <w:t xml:space="preserve"> expedientes.</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CB5511" w:rsidRDefault="00AF6C05"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E3346D" w:rsidP="00064F78">
            <w:pPr>
              <w:pStyle w:val="Cuerpodelboletn"/>
              <w:spacing w:before="120" w:after="120"/>
              <w:rPr>
                <w:rStyle w:val="Ttulo2Car"/>
                <w:sz w:val="20"/>
                <w:szCs w:val="20"/>
                <w:lang w:bidi="es-ES"/>
              </w:rPr>
            </w:pPr>
            <w:r w:rsidRPr="0091759F">
              <w:rPr>
                <w:sz w:val="20"/>
                <w:szCs w:val="20"/>
              </w:rPr>
              <w:t>No se ha localizado información. Para ello, se debería ir expedi</w:t>
            </w:r>
            <w:r>
              <w:rPr>
                <w:sz w:val="20"/>
                <w:szCs w:val="20"/>
              </w:rPr>
              <w:t>ente</w:t>
            </w:r>
            <w:r w:rsidRPr="0091759F">
              <w:rPr>
                <w:sz w:val="20"/>
                <w:szCs w:val="20"/>
              </w:rPr>
              <w:t xml:space="preserve"> por exp</w:t>
            </w:r>
            <w:r>
              <w:rPr>
                <w:sz w:val="20"/>
                <w:szCs w:val="20"/>
              </w:rPr>
              <w:t>e</w:t>
            </w:r>
            <w:r w:rsidRPr="0091759F">
              <w:rPr>
                <w:sz w:val="20"/>
                <w:szCs w:val="20"/>
              </w:rPr>
              <w:t>die</w:t>
            </w:r>
            <w:r>
              <w:rPr>
                <w:sz w:val="20"/>
                <w:szCs w:val="20"/>
              </w:rPr>
              <w:t>nte</w:t>
            </w:r>
            <w:r w:rsidRPr="0091759F">
              <w:rPr>
                <w:sz w:val="20"/>
                <w:szCs w:val="20"/>
              </w:rPr>
              <w:t>, ya que el b</w:t>
            </w:r>
            <w:r>
              <w:rPr>
                <w:sz w:val="20"/>
                <w:szCs w:val="20"/>
              </w:rPr>
              <w:t>uscador</w:t>
            </w:r>
            <w:r w:rsidRPr="0091759F">
              <w:rPr>
                <w:sz w:val="20"/>
                <w:szCs w:val="20"/>
              </w:rPr>
              <w:t xml:space="preserve"> de la PCSP no c</w:t>
            </w:r>
            <w:r>
              <w:rPr>
                <w:sz w:val="20"/>
                <w:szCs w:val="20"/>
              </w:rPr>
              <w:t>uenta</w:t>
            </w:r>
            <w:r w:rsidRPr="0091759F">
              <w:rPr>
                <w:sz w:val="20"/>
                <w:szCs w:val="20"/>
              </w:rPr>
              <w:t xml:space="preserve"> con este estado.</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E3346D" w:rsidRDefault="00E3346D"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064F78">
            <w:pPr>
              <w:spacing w:before="120" w:after="120"/>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064F78">
            <w:pPr>
              <w:spacing w:before="120" w:after="120"/>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793F02" w:rsidRDefault="00793F02" w:rsidP="00064F78">
            <w:pPr>
              <w:pStyle w:val="Cuerpodelboletn"/>
              <w:spacing w:before="120" w:after="120"/>
              <w:rPr>
                <w:bCs/>
                <w:sz w:val="20"/>
                <w:szCs w:val="20"/>
              </w:rPr>
            </w:pPr>
            <w:r>
              <w:rPr>
                <w:bCs/>
                <w:sz w:val="20"/>
                <w:szCs w:val="20"/>
              </w:rPr>
              <w:t>La información que ofrece sobre contratos menores en su web (acceso de Transparencia) se refiere al año 2018 y anteriores. Dada su desactualización no ha sido posible tenerla en cuenta.</w:t>
            </w:r>
          </w:p>
          <w:p w:rsidR="00E3346D" w:rsidRPr="007603B3" w:rsidRDefault="001C0E45" w:rsidP="00064F78">
            <w:pPr>
              <w:pStyle w:val="Cuerpodelboletn"/>
              <w:spacing w:before="120" w:after="120"/>
              <w:rPr>
                <w:rStyle w:val="Ttulo2Car"/>
                <w:b w:val="0"/>
                <w:color w:val="auto"/>
                <w:sz w:val="20"/>
                <w:szCs w:val="20"/>
                <w:lang w:bidi="es-ES"/>
              </w:rPr>
            </w:pPr>
            <w:r>
              <w:rPr>
                <w:bCs/>
                <w:sz w:val="20"/>
                <w:szCs w:val="20"/>
              </w:rPr>
              <w:t xml:space="preserve">A través de su </w:t>
            </w:r>
            <w:r w:rsidRPr="000E3AFF">
              <w:rPr>
                <w:bCs/>
                <w:sz w:val="20"/>
                <w:szCs w:val="20"/>
              </w:rPr>
              <w:t>perfil contratante</w:t>
            </w:r>
            <w:r>
              <w:rPr>
                <w:bCs/>
                <w:sz w:val="20"/>
                <w:szCs w:val="20"/>
              </w:rPr>
              <w:t xml:space="preserve"> de la Fundación</w:t>
            </w:r>
            <w:r w:rsidRPr="000E3AFF">
              <w:rPr>
                <w:bCs/>
                <w:sz w:val="20"/>
                <w:szCs w:val="20"/>
              </w:rPr>
              <w:t xml:space="preserve"> de la Plataforma de Contratac</w:t>
            </w:r>
            <w:r>
              <w:rPr>
                <w:bCs/>
                <w:sz w:val="20"/>
                <w:szCs w:val="20"/>
              </w:rPr>
              <w:t>i</w:t>
            </w:r>
            <w:r w:rsidRPr="000E3AFF">
              <w:rPr>
                <w:bCs/>
                <w:sz w:val="20"/>
                <w:szCs w:val="20"/>
              </w:rPr>
              <w:t>ón del Sector Públ</w:t>
            </w:r>
            <w:r>
              <w:rPr>
                <w:bCs/>
                <w:sz w:val="20"/>
                <w:szCs w:val="20"/>
              </w:rPr>
              <w:t xml:space="preserve">ico (PCSP). Se informa sobre </w:t>
            </w:r>
            <w:r w:rsidR="008044FF">
              <w:rPr>
                <w:bCs/>
                <w:sz w:val="20"/>
                <w:szCs w:val="20"/>
              </w:rPr>
              <w:t>más de 30</w:t>
            </w:r>
            <w:r>
              <w:rPr>
                <w:bCs/>
                <w:sz w:val="20"/>
                <w:szCs w:val="20"/>
              </w:rPr>
              <w:t xml:space="preserve"> expedientes.</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F9711F" w:rsidP="009609E9">
            <w:pPr>
              <w:pStyle w:val="Cuerpodelboletn"/>
              <w:spacing w:before="120" w:after="120" w:line="312" w:lineRule="auto"/>
              <w:rPr>
                <w:rStyle w:val="Ttulo2Car"/>
                <w:sz w:val="20"/>
                <w:szCs w:val="20"/>
                <w:lang w:bidi="es-ES"/>
              </w:rPr>
            </w:pPr>
            <w:r w:rsidRPr="00F9711F">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1C2A8B" w:rsidRDefault="00F9711F" w:rsidP="00064F78">
            <w:pPr>
              <w:pStyle w:val="Cuerpodelboletn"/>
              <w:spacing w:before="120" w:after="120"/>
              <w:rPr>
                <w:rStyle w:val="Ttulo2Car"/>
                <w:b w:val="0"/>
                <w:color w:val="auto"/>
                <w:sz w:val="20"/>
                <w:szCs w:val="20"/>
                <w:lang w:bidi="es-ES"/>
              </w:rPr>
            </w:pPr>
            <w:r>
              <w:rPr>
                <w:rStyle w:val="Ttulo2Car"/>
                <w:b w:val="0"/>
                <w:color w:val="auto"/>
                <w:sz w:val="20"/>
                <w:szCs w:val="20"/>
                <w:lang w:bidi="es-ES"/>
              </w:rPr>
              <w:t>Recoge una tabla con la relación de los convenios suscritos, vigentes y no vigentes. El último del que informa ha sido firmado en noviembre de 2020. No se informa sobre modificaciones</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8044FF" w:rsidRDefault="00F9711F" w:rsidP="00064F78">
            <w:pPr>
              <w:pStyle w:val="Cuerpodelboletn"/>
              <w:spacing w:before="120" w:after="120"/>
              <w:rPr>
                <w:rStyle w:val="Ttulo2Car"/>
                <w:b w:val="0"/>
                <w:color w:val="auto"/>
                <w:sz w:val="20"/>
                <w:szCs w:val="20"/>
                <w:lang w:bidi="es-ES"/>
              </w:rPr>
            </w:pPr>
            <w:r w:rsidRPr="008044FF">
              <w:rPr>
                <w:rStyle w:val="Ttulo2Car"/>
                <w:b w:val="0"/>
                <w:color w:val="auto"/>
                <w:sz w:val="20"/>
                <w:szCs w:val="20"/>
                <w:lang w:bidi="es-ES"/>
              </w:rPr>
              <w:t>N</w:t>
            </w:r>
            <w:r w:rsidR="00793F02" w:rsidRPr="008044FF">
              <w:rPr>
                <w:rStyle w:val="Ttulo2Car"/>
                <w:b w:val="0"/>
                <w:color w:val="auto"/>
                <w:sz w:val="20"/>
                <w:szCs w:val="20"/>
                <w:lang w:bidi="es-ES"/>
              </w:rPr>
              <w:t>o</w:t>
            </w:r>
            <w:r w:rsidRPr="008044FF">
              <w:rPr>
                <w:rStyle w:val="Ttulo2Car"/>
                <w:b w:val="0"/>
                <w:color w:val="auto"/>
                <w:sz w:val="20"/>
                <w:szCs w:val="20"/>
                <w:lang w:bidi="es-ES"/>
              </w:rPr>
              <w:t xml:space="preserve"> se ha localizado información. Junto a los convenios, únicamente informa que El Programa Fundación ICO – Becas China y la Beca de Museografía de la Fundación ICO son las únicas convocatorias periódicas. </w:t>
            </w:r>
            <w:r w:rsidR="006C7D73" w:rsidRPr="008044FF">
              <w:rPr>
                <w:rStyle w:val="Ttulo2Car"/>
                <w:b w:val="0"/>
                <w:color w:val="auto"/>
                <w:sz w:val="20"/>
                <w:szCs w:val="20"/>
                <w:lang w:bidi="es-ES"/>
              </w:rPr>
              <w:t xml:space="preserve">Y también figura un logo de la Base de Datos Nacional de Subvenciones. </w:t>
            </w:r>
            <w:r w:rsidRPr="008044FF">
              <w:rPr>
                <w:rStyle w:val="Ttulo2Car"/>
                <w:b w:val="0"/>
                <w:color w:val="auto"/>
                <w:sz w:val="20"/>
                <w:szCs w:val="20"/>
                <w:lang w:bidi="es-ES"/>
              </w:rPr>
              <w:t xml:space="preserve">Pero no </w:t>
            </w:r>
            <w:r w:rsidR="006C7D73" w:rsidRPr="008044FF">
              <w:rPr>
                <w:rStyle w:val="Ttulo2Car"/>
                <w:b w:val="0"/>
                <w:color w:val="auto"/>
                <w:sz w:val="20"/>
                <w:szCs w:val="20"/>
                <w:lang w:bidi="es-ES"/>
              </w:rPr>
              <w:t>se proporcionan más detalles.</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9C167E" w:rsidP="009609E9">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lastRenderedPageBreak/>
              <w:t>x</w:t>
            </w:r>
          </w:p>
        </w:tc>
        <w:tc>
          <w:tcPr>
            <w:tcW w:w="5329" w:type="dxa"/>
            <w:tcBorders>
              <w:top w:val="single" w:sz="4" w:space="0" w:color="00642D"/>
              <w:left w:val="single" w:sz="4" w:space="0" w:color="00642D"/>
              <w:bottom w:val="single" w:sz="4" w:space="0" w:color="00642D"/>
              <w:right w:val="single" w:sz="4" w:space="0" w:color="00642D"/>
            </w:tcBorders>
          </w:tcPr>
          <w:p w:rsidR="00F47C3B" w:rsidRPr="008044FF" w:rsidRDefault="009C167E" w:rsidP="00064F78">
            <w:pPr>
              <w:pStyle w:val="Cuerpodelboletn"/>
              <w:spacing w:before="120" w:after="120"/>
              <w:rPr>
                <w:rStyle w:val="Ttulo2Car"/>
                <w:b w:val="0"/>
                <w:color w:val="auto"/>
                <w:sz w:val="20"/>
                <w:szCs w:val="20"/>
                <w:lang w:bidi="es-ES"/>
              </w:rPr>
            </w:pPr>
            <w:r w:rsidRPr="008044FF">
              <w:rPr>
                <w:rStyle w:val="Ttulo2Car"/>
                <w:b w:val="0"/>
                <w:color w:val="auto"/>
                <w:sz w:val="20"/>
                <w:szCs w:val="20"/>
                <w:lang w:bidi="es-ES"/>
              </w:rPr>
              <w:t>En el Plan de Actividades</w:t>
            </w:r>
            <w:r w:rsidR="004A4749">
              <w:rPr>
                <w:rStyle w:val="Ttulo2Car"/>
                <w:b w:val="0"/>
                <w:color w:val="auto"/>
                <w:sz w:val="20"/>
                <w:szCs w:val="20"/>
                <w:lang w:bidi="es-ES"/>
              </w:rPr>
              <w:t xml:space="preserve"> </w:t>
            </w:r>
            <w:r w:rsidRPr="008044FF">
              <w:rPr>
                <w:rStyle w:val="Ttulo2Car"/>
                <w:b w:val="0"/>
                <w:color w:val="auto"/>
                <w:sz w:val="20"/>
                <w:szCs w:val="20"/>
                <w:lang w:bidi="es-ES"/>
              </w:rPr>
              <w:t xml:space="preserve">de 2021, con gran detalle. </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064F78">
            <w:pPr>
              <w:pStyle w:val="Cuerpodelboletn"/>
              <w:spacing w:before="120" w:after="120"/>
              <w:rPr>
                <w:rStyle w:val="Ttulo2Car"/>
                <w:sz w:val="20"/>
                <w:szCs w:val="20"/>
                <w:lang w:bidi="es-ES"/>
              </w:rPr>
            </w:pPr>
            <w:r w:rsidRPr="00E3346D">
              <w:rPr>
                <w:sz w:val="20"/>
                <w:szCs w:val="20"/>
              </w:rPr>
              <w:t>Hasta el ejercicio 2019</w:t>
            </w:r>
            <w:r w:rsidR="00FA5586">
              <w:rPr>
                <w:sz w:val="20"/>
                <w:szCs w:val="20"/>
              </w:rPr>
              <w:t xml:space="preserve"> </w:t>
            </w:r>
            <w:r w:rsidR="00FA5586">
              <w:rPr>
                <w:rStyle w:val="Ttulo2Car"/>
                <w:b w:val="0"/>
                <w:color w:val="auto"/>
                <w:sz w:val="20"/>
                <w:szCs w:val="20"/>
                <w:lang w:bidi="es-ES"/>
              </w:rPr>
              <w:t>(últimas)</w:t>
            </w:r>
            <w:r w:rsidR="008C0882">
              <w:rPr>
                <w:sz w:val="20"/>
                <w:szCs w:val="20"/>
              </w:rPr>
              <w:t xml:space="preserve">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793F02" w:rsidP="00064F78">
            <w:pPr>
              <w:pStyle w:val="Cuerpodelboletn"/>
              <w:spacing w:before="120" w:after="120"/>
              <w:rPr>
                <w:rStyle w:val="Ttulo2Car"/>
                <w:sz w:val="20"/>
                <w:szCs w:val="20"/>
                <w:lang w:bidi="es-ES"/>
              </w:rPr>
            </w:pPr>
            <w:r>
              <w:rPr>
                <w:sz w:val="20"/>
                <w:szCs w:val="20"/>
              </w:rPr>
              <w:t>Junto a las cuentas anuales del</w:t>
            </w:r>
            <w:r w:rsidR="008C0882" w:rsidRPr="00E3346D">
              <w:rPr>
                <w:sz w:val="20"/>
                <w:szCs w:val="20"/>
              </w:rPr>
              <w:t xml:space="preserve"> ejercicio 2019</w:t>
            </w:r>
            <w:r w:rsidR="008C0882">
              <w:rPr>
                <w:sz w:val="20"/>
                <w:szCs w:val="20"/>
              </w:rPr>
              <w:t xml:space="preserve"> </w:t>
            </w:r>
            <w:r>
              <w:rPr>
                <w:sz w:val="20"/>
                <w:szCs w:val="20"/>
              </w:rPr>
              <w:t xml:space="preserve">se </w:t>
            </w:r>
            <w:r w:rsidR="008C0882">
              <w:rPr>
                <w:sz w:val="20"/>
                <w:szCs w:val="20"/>
              </w:rPr>
              <w:t>acompaña el informe de la Intervenci</w:t>
            </w:r>
            <w:r w:rsidR="00CA7C2B">
              <w:rPr>
                <w:sz w:val="20"/>
                <w:szCs w:val="20"/>
              </w:rPr>
              <w:t>ón</w:t>
            </w:r>
            <w:r w:rsidR="008C0882">
              <w:rPr>
                <w:sz w:val="20"/>
                <w:szCs w:val="20"/>
              </w:rPr>
              <w:t xml:space="preserve"> </w:t>
            </w:r>
            <w:r w:rsidR="00CA7C2B">
              <w:rPr>
                <w:sz w:val="20"/>
                <w:szCs w:val="20"/>
              </w:rPr>
              <w:t>G</w:t>
            </w:r>
            <w:r w:rsidR="008C0882">
              <w:rPr>
                <w:sz w:val="20"/>
                <w:szCs w:val="20"/>
              </w:rPr>
              <w:t>eneral de la Adm</w:t>
            </w:r>
            <w:r w:rsidR="00CA7C2B">
              <w:rPr>
                <w:sz w:val="20"/>
                <w:szCs w:val="20"/>
              </w:rPr>
              <w:t>inistración General del Estado.</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E72398" w:rsidP="00064F78">
            <w:pPr>
              <w:pStyle w:val="Cuerpodelboletn"/>
              <w:spacing w:before="120" w:after="120"/>
              <w:rPr>
                <w:rStyle w:val="Ttulo2Car"/>
                <w:sz w:val="20"/>
                <w:szCs w:val="20"/>
                <w:lang w:bidi="es-ES"/>
              </w:rPr>
            </w:pPr>
            <w:r>
              <w:rPr>
                <w:sz w:val="20"/>
                <w:szCs w:val="20"/>
              </w:rPr>
              <w:t xml:space="preserve">No se ha localizado información. </w:t>
            </w:r>
            <w:r w:rsidR="00793F02">
              <w:rPr>
                <w:sz w:val="20"/>
                <w:szCs w:val="20"/>
              </w:rPr>
              <w:t xml:space="preserve">Remite a un apartado de las cuentas anuales, con un enlace que posiciona en </w:t>
            </w:r>
            <w:r w:rsidR="001608E7">
              <w:rPr>
                <w:sz w:val="20"/>
                <w:szCs w:val="20"/>
              </w:rPr>
              <w:t xml:space="preserve">las cuentas de 2013.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CA7C2B" w:rsidP="00064F78">
            <w:pPr>
              <w:pStyle w:val="Cuerpodelboletn"/>
              <w:spacing w:before="120" w:after="120"/>
              <w:rPr>
                <w:rStyle w:val="Ttulo2Car"/>
                <w:sz w:val="20"/>
                <w:szCs w:val="20"/>
                <w:lang w:bidi="es-ES"/>
              </w:rPr>
            </w:pPr>
            <w:r w:rsidRPr="0091759F">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064F78">
            <w:pPr>
              <w:pStyle w:val="Cuerpodelboletn"/>
              <w:spacing w:before="120" w:after="120"/>
              <w:rPr>
                <w:rStyle w:val="Ttulo2Car"/>
                <w:b w:val="0"/>
                <w:color w:val="auto"/>
                <w:sz w:val="20"/>
                <w:szCs w:val="20"/>
                <w:lang w:bidi="es-ES"/>
              </w:rPr>
            </w:pPr>
            <w:r w:rsidRPr="0091759F">
              <w:rPr>
                <w:sz w:val="20"/>
                <w:szCs w:val="20"/>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1608E7" w:rsidRDefault="00793F02" w:rsidP="00502000">
            <w:pPr>
              <w:pStyle w:val="Cuerpodelboletn"/>
              <w:spacing w:before="120" w:after="120" w:line="312" w:lineRule="auto"/>
              <w:rPr>
                <w:rStyle w:val="Ttulo2Car"/>
                <w:b w:val="0"/>
                <w:sz w:val="24"/>
                <w:szCs w:val="24"/>
                <w:lang w:bidi="es-ES"/>
              </w:rPr>
            </w:pPr>
            <w:r w:rsidRPr="00E7239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86BF2" w:rsidRPr="00793F02" w:rsidRDefault="00793F02" w:rsidP="00064F78">
            <w:pPr>
              <w:pStyle w:val="Cuerpodelboletn"/>
              <w:spacing w:before="120" w:after="120"/>
              <w:rPr>
                <w:rStyle w:val="Ttulo2Car"/>
                <w:color w:val="auto"/>
                <w:sz w:val="20"/>
                <w:szCs w:val="20"/>
                <w:lang w:bidi="es-ES"/>
              </w:rPr>
            </w:pPr>
            <w:r w:rsidRPr="00793F02">
              <w:rPr>
                <w:sz w:val="20"/>
                <w:szCs w:val="20"/>
              </w:rPr>
              <w:t>No aplica. En el apartado correspondiente (Compatibilidades) informa lo siguiente: No existen resoluciones de autorización o reconocimiento de compatibilidad que afecten al ejercicio de actividad privada al cese de los altos cargos.</w:t>
            </w:r>
          </w:p>
        </w:tc>
      </w:tr>
    </w:tbl>
    <w:p w:rsidR="007E4A4B" w:rsidRDefault="007E4A4B" w:rsidP="00C33A23">
      <w:pPr>
        <w:pStyle w:val="Cuerpodelboletn"/>
        <w:spacing w:before="120" w:after="120" w:line="312" w:lineRule="auto"/>
        <w:ind w:left="360"/>
        <w:rPr>
          <w:rStyle w:val="Ttulo2Car"/>
          <w:color w:val="00642D"/>
          <w:lang w:bidi="es-ES"/>
        </w:rPr>
      </w:pPr>
    </w:p>
    <w:p w:rsidR="007E4A4B" w:rsidRDefault="007E4A4B">
      <w:pPr>
        <w:rPr>
          <w:rStyle w:val="Ttulo2Car"/>
          <w:color w:val="00642D"/>
          <w:lang w:bidi="es-ES"/>
        </w:rPr>
      </w:pPr>
      <w:r>
        <w:rPr>
          <w:rStyle w:val="Ttulo2Car"/>
          <w:color w:val="00642D"/>
          <w:lang w:bidi="es-ES"/>
        </w:rPr>
        <w:br w:type="page"/>
      </w:r>
    </w:p>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4199C3E" wp14:editId="358BB70A">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92AC1" w:rsidRDefault="00192AC1" w:rsidP="007E4A4B">
                            <w:pPr>
                              <w:rPr>
                                <w:b/>
                                <w:color w:val="00642D"/>
                              </w:rPr>
                            </w:pPr>
                            <w:r w:rsidRPr="00BD4582">
                              <w:rPr>
                                <w:b/>
                                <w:color w:val="00642D"/>
                              </w:rPr>
                              <w:t>Contenidos</w:t>
                            </w:r>
                          </w:p>
                          <w:p w:rsidR="00192AC1" w:rsidRPr="00C5053A" w:rsidRDefault="00192AC1" w:rsidP="006C7D73">
                            <w:pPr>
                              <w:spacing w:before="120" w:after="120" w:line="240" w:lineRule="auto"/>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w:t>
                            </w:r>
                            <w:r>
                              <w:rPr>
                                <w:sz w:val="20"/>
                                <w:szCs w:val="20"/>
                              </w:rPr>
                              <w:t xml:space="preserve">la Fundación: </w:t>
                            </w:r>
                          </w:p>
                          <w:p w:rsidR="00192AC1" w:rsidRDefault="00192AC1" w:rsidP="006C7D73">
                            <w:pPr>
                              <w:numPr>
                                <w:ilvl w:val="0"/>
                                <w:numId w:val="9"/>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192AC1" w:rsidRDefault="00192AC1"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192AC1" w:rsidRDefault="00192AC1"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modificaciones de convenios.</w:t>
                            </w:r>
                          </w:p>
                          <w:p w:rsidR="00192AC1" w:rsidRDefault="00192AC1"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 xml:space="preserve">No se ha localizado información sobre subvenciones y ayudas públicas concedidas. </w:t>
                            </w:r>
                          </w:p>
                          <w:p w:rsidR="00192AC1" w:rsidRPr="002A39C6" w:rsidRDefault="00192AC1" w:rsidP="007E033E">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192AC1" w:rsidRPr="00DA3658" w:rsidRDefault="00192AC1" w:rsidP="006C7D73">
                            <w:pPr>
                              <w:pStyle w:val="Prrafodelista"/>
                              <w:numPr>
                                <w:ilvl w:val="0"/>
                                <w:numId w:val="9"/>
                              </w:numPr>
                              <w:spacing w:before="120" w:after="120" w:line="240" w:lineRule="auto"/>
                              <w:ind w:left="714" w:hanging="357"/>
                              <w:contextualSpacing w:val="0"/>
                              <w:jc w:val="both"/>
                              <w:rPr>
                                <w:sz w:val="20"/>
                                <w:szCs w:val="20"/>
                              </w:rPr>
                            </w:pPr>
                            <w:r w:rsidRPr="00DA3658">
                              <w:rPr>
                                <w:sz w:val="20"/>
                                <w:szCs w:val="20"/>
                              </w:rPr>
                              <w:t xml:space="preserve">No se ha localizado información </w:t>
                            </w:r>
                            <w:r>
                              <w:rPr>
                                <w:sz w:val="20"/>
                                <w:szCs w:val="20"/>
                              </w:rPr>
                              <w:t xml:space="preserve">(actualizada e individualizada) </w:t>
                            </w:r>
                            <w:r w:rsidRPr="00DA3658">
                              <w:rPr>
                                <w:sz w:val="20"/>
                                <w:szCs w:val="20"/>
                              </w:rPr>
                              <w:t xml:space="preserve">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192AC1" w:rsidRDefault="00192AC1"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192AC1" w:rsidRPr="00C20F23" w:rsidRDefault="00192AC1" w:rsidP="006C7D73">
                            <w:pPr>
                              <w:pStyle w:val="Prrafodelista"/>
                              <w:numPr>
                                <w:ilvl w:val="0"/>
                                <w:numId w:val="9"/>
                              </w:numPr>
                              <w:spacing w:before="120" w:after="120" w:line="240" w:lineRule="auto"/>
                              <w:ind w:left="714" w:hanging="357"/>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192AC1" w:rsidRDefault="00192AC1" w:rsidP="006C7D73">
                            <w:pPr>
                              <w:spacing w:before="120" w:after="120" w:line="240" w:lineRule="auto"/>
                              <w:jc w:val="both"/>
                              <w:rPr>
                                <w:rFonts w:eastAsiaTheme="majorEastAsia" w:cstheme="majorBidi"/>
                                <w:bCs/>
                              </w:rPr>
                            </w:pPr>
                          </w:p>
                          <w:p w:rsidR="00192AC1" w:rsidRDefault="00192AC1" w:rsidP="006C7D73">
                            <w:pPr>
                              <w:spacing w:before="120" w:after="120" w:line="240" w:lineRule="auto"/>
                              <w:rPr>
                                <w:b/>
                                <w:color w:val="00642D"/>
                              </w:rPr>
                            </w:pPr>
                            <w:r>
                              <w:rPr>
                                <w:b/>
                                <w:color w:val="00642D"/>
                              </w:rPr>
                              <w:t>Calidad de la Información</w:t>
                            </w:r>
                          </w:p>
                          <w:p w:rsidR="00192AC1" w:rsidRDefault="00192AC1" w:rsidP="006C7D73">
                            <w:pPr>
                              <w:pStyle w:val="Prrafodelista"/>
                              <w:numPr>
                                <w:ilvl w:val="0"/>
                                <w:numId w:val="5"/>
                              </w:numPr>
                              <w:spacing w:before="120" w:after="120" w:line="240" w:lineRule="auto"/>
                              <w:contextualSpacing w:val="0"/>
                              <w:jc w:val="both"/>
                              <w:rPr>
                                <w:sz w:val="20"/>
                                <w:szCs w:val="20"/>
                              </w:rPr>
                            </w:pPr>
                            <w:r>
                              <w:rPr>
                                <w:sz w:val="20"/>
                                <w:szCs w:val="20"/>
                              </w:rPr>
                              <w:t xml:space="preserve">En la información sobre contratos, la necesidad de acudir a la PCSP puede dificultar la localización y comprensión de la misma </w:t>
                            </w:r>
                          </w:p>
                          <w:p w:rsidR="00192AC1" w:rsidRPr="001608E7" w:rsidRDefault="00192AC1" w:rsidP="006C7D73">
                            <w:pPr>
                              <w:pStyle w:val="Prrafodelista"/>
                              <w:numPr>
                                <w:ilvl w:val="0"/>
                                <w:numId w:val="5"/>
                              </w:numPr>
                              <w:spacing w:before="120" w:after="120" w:line="240" w:lineRule="auto"/>
                              <w:contextualSpacing w:val="0"/>
                              <w:jc w:val="both"/>
                              <w:rPr>
                                <w:b/>
                                <w:color w:val="00642D"/>
                              </w:rPr>
                            </w:pPr>
                            <w:r w:rsidRPr="00BE5A57">
                              <w:rPr>
                                <w:sz w:val="20"/>
                                <w:szCs w:val="20"/>
                              </w:rPr>
                              <w:t>La</w:t>
                            </w:r>
                            <w:r>
                              <w:rPr>
                                <w:sz w:val="20"/>
                                <w:szCs w:val="20"/>
                              </w:rPr>
                              <w:t xml:space="preserve"> información sobre convenios puede ser mejorada en el sentido de que se podría suprimir aquella información  que se corresponda con convenios no vigentes y ordenar la restante de acuerdo con algún criterio(los últimos convenios parecen estar ordenados cronológicamente, no así los anteriores).</w:t>
                            </w:r>
                          </w:p>
                          <w:p w:rsidR="00192AC1" w:rsidRDefault="00192AC1" w:rsidP="00BD4582">
                            <w:pPr>
                              <w:rPr>
                                <w:b/>
                                <w:color w:val="00642D"/>
                              </w:rPr>
                            </w:pPr>
                          </w:p>
                          <w:p w:rsidR="00192AC1" w:rsidRDefault="00192AC1"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64F78" w:rsidRDefault="00064F78" w:rsidP="007E4A4B">
                      <w:pPr>
                        <w:rPr>
                          <w:b/>
                          <w:color w:val="00642D"/>
                        </w:rPr>
                      </w:pPr>
                      <w:r w:rsidRPr="00BD4582">
                        <w:rPr>
                          <w:b/>
                          <w:color w:val="00642D"/>
                        </w:rPr>
                        <w:t>Contenidos</w:t>
                      </w:r>
                    </w:p>
                    <w:p w:rsidR="00064F78" w:rsidRPr="00C5053A" w:rsidRDefault="00064F78" w:rsidP="006C7D73">
                      <w:pPr>
                        <w:spacing w:before="120" w:after="120" w:line="240" w:lineRule="auto"/>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w:t>
                      </w:r>
                      <w:r>
                        <w:rPr>
                          <w:sz w:val="20"/>
                          <w:szCs w:val="20"/>
                        </w:rPr>
                        <w:t xml:space="preserve">la Fundación: </w:t>
                      </w:r>
                    </w:p>
                    <w:p w:rsidR="00064F78" w:rsidRDefault="00064F78" w:rsidP="006C7D73">
                      <w:pPr>
                        <w:numPr>
                          <w:ilvl w:val="0"/>
                          <w:numId w:val="9"/>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064F78" w:rsidRDefault="00064F78"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064F78" w:rsidRDefault="00064F78"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modificaciones de convenios.</w:t>
                      </w:r>
                    </w:p>
                    <w:p w:rsidR="00064F78" w:rsidRDefault="00064F78"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 xml:space="preserve">No se ha localizado información sobre subvenciones y ayudas públicas concedidas. </w:t>
                      </w:r>
                    </w:p>
                    <w:p w:rsidR="007E033E" w:rsidRPr="002A39C6" w:rsidRDefault="007E033E" w:rsidP="007E033E">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064F78" w:rsidRPr="00DA3658" w:rsidRDefault="00064F78" w:rsidP="006C7D73">
                      <w:pPr>
                        <w:pStyle w:val="Prrafodelista"/>
                        <w:numPr>
                          <w:ilvl w:val="0"/>
                          <w:numId w:val="9"/>
                        </w:numPr>
                        <w:spacing w:before="120" w:after="120" w:line="240" w:lineRule="auto"/>
                        <w:ind w:left="714" w:hanging="357"/>
                        <w:contextualSpacing w:val="0"/>
                        <w:jc w:val="both"/>
                        <w:rPr>
                          <w:sz w:val="20"/>
                          <w:szCs w:val="20"/>
                        </w:rPr>
                      </w:pPr>
                      <w:r w:rsidRPr="00DA3658">
                        <w:rPr>
                          <w:sz w:val="20"/>
                          <w:szCs w:val="20"/>
                        </w:rPr>
                        <w:t xml:space="preserve">No se ha localizado información </w:t>
                      </w:r>
                      <w:r>
                        <w:rPr>
                          <w:sz w:val="20"/>
                          <w:szCs w:val="20"/>
                        </w:rPr>
                        <w:t xml:space="preserve">(actualizada e individualizada) </w:t>
                      </w:r>
                      <w:r w:rsidRPr="00DA3658">
                        <w:rPr>
                          <w:sz w:val="20"/>
                          <w:szCs w:val="20"/>
                        </w:rPr>
                        <w:t xml:space="preserve">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064F78" w:rsidRDefault="00064F78" w:rsidP="006C7D73">
                      <w:pPr>
                        <w:pStyle w:val="Prrafodelista"/>
                        <w:numPr>
                          <w:ilvl w:val="0"/>
                          <w:numId w:val="9"/>
                        </w:numPr>
                        <w:spacing w:before="120" w:after="120" w:line="240" w:lineRule="auto"/>
                        <w:ind w:left="714" w:hanging="357"/>
                        <w:contextualSpacing w:val="0"/>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064F78" w:rsidRPr="00C20F23" w:rsidRDefault="00064F78" w:rsidP="006C7D73">
                      <w:pPr>
                        <w:pStyle w:val="Prrafodelista"/>
                        <w:numPr>
                          <w:ilvl w:val="0"/>
                          <w:numId w:val="9"/>
                        </w:numPr>
                        <w:spacing w:before="120" w:after="120" w:line="240" w:lineRule="auto"/>
                        <w:ind w:left="714" w:hanging="357"/>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064F78" w:rsidRDefault="00064F78" w:rsidP="006C7D73">
                      <w:pPr>
                        <w:spacing w:before="120" w:after="120" w:line="240" w:lineRule="auto"/>
                        <w:jc w:val="both"/>
                        <w:rPr>
                          <w:rFonts w:eastAsiaTheme="majorEastAsia" w:cstheme="majorBidi"/>
                          <w:bCs/>
                        </w:rPr>
                      </w:pPr>
                    </w:p>
                    <w:p w:rsidR="00064F78" w:rsidRDefault="00064F78" w:rsidP="006C7D73">
                      <w:pPr>
                        <w:spacing w:before="120" w:after="120" w:line="240" w:lineRule="auto"/>
                        <w:rPr>
                          <w:b/>
                          <w:color w:val="00642D"/>
                        </w:rPr>
                      </w:pPr>
                      <w:r>
                        <w:rPr>
                          <w:b/>
                          <w:color w:val="00642D"/>
                        </w:rPr>
                        <w:t>Calidad de la Información</w:t>
                      </w:r>
                    </w:p>
                    <w:p w:rsidR="00064F78" w:rsidRDefault="00064F78" w:rsidP="006C7D73">
                      <w:pPr>
                        <w:pStyle w:val="Prrafodelista"/>
                        <w:numPr>
                          <w:ilvl w:val="0"/>
                          <w:numId w:val="5"/>
                        </w:numPr>
                        <w:spacing w:before="120" w:after="120" w:line="240" w:lineRule="auto"/>
                        <w:contextualSpacing w:val="0"/>
                        <w:jc w:val="both"/>
                        <w:rPr>
                          <w:sz w:val="20"/>
                          <w:szCs w:val="20"/>
                        </w:rPr>
                      </w:pPr>
                      <w:r>
                        <w:rPr>
                          <w:sz w:val="20"/>
                          <w:szCs w:val="20"/>
                        </w:rPr>
                        <w:t xml:space="preserve">En la información sobre contratos, la necesidad de acudir a la PCSP puede dificultar la localización y comprensión de la misma </w:t>
                      </w:r>
                    </w:p>
                    <w:p w:rsidR="00064F78" w:rsidRPr="001608E7" w:rsidRDefault="00064F78" w:rsidP="006C7D73">
                      <w:pPr>
                        <w:pStyle w:val="Prrafodelista"/>
                        <w:numPr>
                          <w:ilvl w:val="0"/>
                          <w:numId w:val="5"/>
                        </w:numPr>
                        <w:spacing w:before="120" w:after="120" w:line="240" w:lineRule="auto"/>
                        <w:contextualSpacing w:val="0"/>
                        <w:jc w:val="both"/>
                        <w:rPr>
                          <w:b/>
                          <w:color w:val="00642D"/>
                        </w:rPr>
                      </w:pPr>
                      <w:r w:rsidRPr="00BE5A57">
                        <w:rPr>
                          <w:sz w:val="20"/>
                          <w:szCs w:val="20"/>
                        </w:rPr>
                        <w:t>La</w:t>
                      </w:r>
                      <w:r>
                        <w:rPr>
                          <w:sz w:val="20"/>
                          <w:szCs w:val="20"/>
                        </w:rPr>
                        <w:t xml:space="preserve"> información sobre convenios puede ser mejorada en el sentido de que se podría suprimir aquella información  que se corresponda con convenios no vigentes y ordenar la restante de acuerdo con algún criterio(los últimos convenios parecen estar ordenados cronológicamente, no así los anteriores).</w:t>
                      </w:r>
                    </w:p>
                    <w:p w:rsidR="00064F78" w:rsidRDefault="00064F78" w:rsidP="00BD4582">
                      <w:pPr>
                        <w:rPr>
                          <w:b/>
                          <w:color w:val="00642D"/>
                        </w:rPr>
                      </w:pPr>
                    </w:p>
                    <w:p w:rsidR="00064F78" w:rsidRDefault="00064F78"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92AC1" w:rsidRPr="00FD0689" w:rsidTr="00192A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92AC1" w:rsidRPr="00FD0689" w:rsidRDefault="00192AC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53,0%</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41,7%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41,7%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52,8%</w:t>
            </w:r>
          </w:p>
        </w:tc>
      </w:tr>
      <w:tr w:rsidR="00192AC1" w:rsidRPr="00FD0689" w:rsidTr="00192AC1">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92AC1" w:rsidRPr="00FD0689" w:rsidRDefault="00192AC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44,6%</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33,3%</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33,3%</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44,5%</w:t>
            </w:r>
          </w:p>
        </w:tc>
      </w:tr>
      <w:tr w:rsidR="00192AC1" w:rsidRPr="00A94BCA" w:rsidTr="00192A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92AC1" w:rsidRPr="002A154B" w:rsidRDefault="00192AC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58,7%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57,9%</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50,0%</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57,9%</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68,4%</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60,5%</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47,4%</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58,0%</w:t>
            </w:r>
          </w:p>
        </w:tc>
      </w:tr>
    </w:tbl>
    <w:p w:rsidR="00BD4582" w:rsidRDefault="00BD4582" w:rsidP="00BD4582">
      <w:pPr>
        <w:pStyle w:val="Cuerpodelboletn"/>
        <w:spacing w:before="120" w:after="120" w:line="312" w:lineRule="auto"/>
        <w:ind w:left="720"/>
        <w:rPr>
          <w:b/>
          <w:color w:val="50866C"/>
          <w:sz w:val="32"/>
        </w:rPr>
      </w:pPr>
    </w:p>
    <w:p w:rsidR="002A154B" w:rsidRDefault="00BE5A57" w:rsidP="00BE5A57">
      <w:pPr>
        <w:pStyle w:val="Cuerpodelboletn"/>
        <w:spacing w:before="120" w:after="120" w:line="312" w:lineRule="auto"/>
        <w:rPr>
          <w:b/>
          <w:color w:val="50866C"/>
          <w:sz w:val="32"/>
        </w:rPr>
      </w:pPr>
      <w:r w:rsidRPr="00760E24">
        <w:rPr>
          <w:color w:val="auto"/>
        </w:rPr>
        <w:t xml:space="preserve">El Índice de Cumplimiento de la Información Obligatoria (ICIO) alcanza un </w:t>
      </w:r>
      <w:r w:rsidR="00192AC1" w:rsidRPr="00760E24">
        <w:rPr>
          <w:color w:val="auto"/>
        </w:rPr>
        <w:t>58</w:t>
      </w:r>
      <w:r w:rsidRPr="00760E24">
        <w:rPr>
          <w:color w:val="auto"/>
        </w:rPr>
        <w:t xml:space="preserve">% de cumplimiento. La falta de publicación de informaciones obligatorias – sólo se publica el </w:t>
      </w:r>
      <w:r w:rsidR="00192AC1" w:rsidRPr="00760E24">
        <w:rPr>
          <w:color w:val="auto"/>
        </w:rPr>
        <w:t>58,7</w:t>
      </w:r>
      <w:r w:rsidRPr="00760E24">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4A4749" w:rsidRDefault="004A4749">
      <w:pPr>
        <w:rPr>
          <w:b/>
          <w:color w:val="50866C"/>
          <w:sz w:val="32"/>
          <w:szCs w:val="24"/>
        </w:rPr>
      </w:pPr>
      <w:r>
        <w:rPr>
          <w:b/>
          <w:color w:val="50866C"/>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BF9BD2B" wp14:editId="46DAFFD9">
                <wp:simplePos x="0" y="0"/>
                <wp:positionH relativeFrom="column">
                  <wp:align>center</wp:align>
                </wp:positionH>
                <wp:positionV relativeFrom="paragraph">
                  <wp:posOffset>0</wp:posOffset>
                </wp:positionV>
                <wp:extent cx="6213022" cy="2805546"/>
                <wp:effectExtent l="0" t="0" r="16510" b="139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022" cy="2805546"/>
                        </a:xfrm>
                        <a:prstGeom prst="rect">
                          <a:avLst/>
                        </a:prstGeom>
                        <a:solidFill>
                          <a:srgbClr val="FFFFFF"/>
                        </a:solidFill>
                        <a:ln w="9525">
                          <a:solidFill>
                            <a:srgbClr val="000000"/>
                          </a:solidFill>
                          <a:miter lim="800000"/>
                          <a:headEnd/>
                          <a:tailEnd/>
                        </a:ln>
                      </wps:spPr>
                      <wps:txbx>
                        <w:txbxContent>
                          <w:p w:rsidR="00192AC1" w:rsidRDefault="00192AC1">
                            <w:pPr>
                              <w:rPr>
                                <w:b/>
                                <w:color w:val="00642D"/>
                              </w:rPr>
                            </w:pPr>
                            <w:r w:rsidRPr="002A154B">
                              <w:rPr>
                                <w:b/>
                                <w:color w:val="00642D"/>
                              </w:rPr>
                              <w:t xml:space="preserve">Transparencia </w:t>
                            </w:r>
                            <w:r>
                              <w:rPr>
                                <w:b/>
                                <w:color w:val="00642D"/>
                              </w:rPr>
                              <w:t>Voluntaria</w:t>
                            </w:r>
                          </w:p>
                          <w:p w:rsidR="00192AC1" w:rsidRDefault="00192AC1" w:rsidP="006C7D73">
                            <w:pPr>
                              <w:spacing w:before="120" w:after="120" w:line="240" w:lineRule="auto"/>
                              <w:jc w:val="both"/>
                              <w:rPr>
                                <w:sz w:val="20"/>
                                <w:szCs w:val="20"/>
                              </w:rPr>
                            </w:pPr>
                            <w:r w:rsidRPr="00C074A6">
                              <w:rPr>
                                <w:sz w:val="20"/>
                                <w:szCs w:val="20"/>
                              </w:rPr>
                              <w:t xml:space="preserve">La </w:t>
                            </w:r>
                            <w:r>
                              <w:rPr>
                                <w:lang w:bidi="es-ES"/>
                              </w:rPr>
                              <w:t xml:space="preserve">Fundación ICO, F.S.P.,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192AC1" w:rsidRDefault="00192AC1" w:rsidP="006C7D73">
                            <w:pPr>
                              <w:pStyle w:val="Prrafodelista"/>
                              <w:numPr>
                                <w:ilvl w:val="0"/>
                                <w:numId w:val="12"/>
                              </w:numPr>
                              <w:spacing w:before="120" w:after="120" w:line="240" w:lineRule="auto"/>
                              <w:contextualSpacing w:val="0"/>
                              <w:jc w:val="both"/>
                              <w:rPr>
                                <w:sz w:val="20"/>
                                <w:szCs w:val="20"/>
                              </w:rPr>
                            </w:pPr>
                            <w:r w:rsidRPr="007A559A">
                              <w:rPr>
                                <w:sz w:val="20"/>
                                <w:szCs w:val="20"/>
                              </w:rPr>
                              <w:t>Planes de actuación (hasta 2021, inclusive)</w:t>
                            </w:r>
                          </w:p>
                          <w:p w:rsidR="00192AC1" w:rsidRPr="007A559A" w:rsidRDefault="00192AC1" w:rsidP="006C7D73">
                            <w:pPr>
                              <w:pStyle w:val="Prrafodelista"/>
                              <w:numPr>
                                <w:ilvl w:val="0"/>
                                <w:numId w:val="12"/>
                              </w:numPr>
                              <w:spacing w:before="120" w:after="120" w:line="240" w:lineRule="auto"/>
                              <w:contextualSpacing w:val="0"/>
                              <w:jc w:val="both"/>
                              <w:rPr>
                                <w:sz w:val="20"/>
                                <w:szCs w:val="20"/>
                              </w:rPr>
                            </w:pPr>
                            <w:r>
                              <w:rPr>
                                <w:sz w:val="20"/>
                                <w:szCs w:val="20"/>
                              </w:rPr>
                              <w:t>Memoria de actividades (hasta 2019, inclusive)</w:t>
                            </w:r>
                          </w:p>
                          <w:p w:rsidR="00192AC1" w:rsidRDefault="00192AC1" w:rsidP="006C7D73">
                            <w:pPr>
                              <w:pStyle w:val="Prrafodelista"/>
                              <w:numPr>
                                <w:ilvl w:val="0"/>
                                <w:numId w:val="12"/>
                              </w:numPr>
                              <w:spacing w:before="120" w:after="120" w:line="240" w:lineRule="auto"/>
                              <w:contextualSpacing w:val="0"/>
                              <w:jc w:val="both"/>
                              <w:rPr>
                                <w:sz w:val="20"/>
                                <w:szCs w:val="20"/>
                              </w:rPr>
                            </w:pPr>
                            <w:r w:rsidRPr="007A559A">
                              <w:rPr>
                                <w:sz w:val="20"/>
                                <w:szCs w:val="20"/>
                              </w:rPr>
                              <w:t>C</w:t>
                            </w:r>
                            <w:r>
                              <w:rPr>
                                <w:sz w:val="20"/>
                                <w:szCs w:val="20"/>
                              </w:rPr>
                              <w:t>ódigo de Buen Gobierno de los miembros del Patronato</w:t>
                            </w:r>
                          </w:p>
                          <w:p w:rsidR="00192AC1" w:rsidRDefault="00192AC1" w:rsidP="006C7D73">
                            <w:pPr>
                              <w:pStyle w:val="Prrafodelista"/>
                              <w:numPr>
                                <w:ilvl w:val="0"/>
                                <w:numId w:val="12"/>
                              </w:numPr>
                              <w:spacing w:before="120" w:after="120" w:line="240" w:lineRule="auto"/>
                              <w:contextualSpacing w:val="0"/>
                              <w:jc w:val="both"/>
                              <w:rPr>
                                <w:sz w:val="20"/>
                                <w:szCs w:val="20"/>
                              </w:rPr>
                            </w:pPr>
                            <w:r>
                              <w:rPr>
                                <w:sz w:val="20"/>
                                <w:szCs w:val="20"/>
                              </w:rPr>
                              <w:t>Código conducta personal Fundación ICO</w:t>
                            </w:r>
                          </w:p>
                          <w:p w:rsidR="00192AC1" w:rsidRDefault="00192AC1" w:rsidP="006C7D73">
                            <w:pPr>
                              <w:pStyle w:val="Prrafodelista"/>
                              <w:numPr>
                                <w:ilvl w:val="0"/>
                                <w:numId w:val="12"/>
                              </w:numPr>
                              <w:spacing w:before="120" w:after="120" w:line="240" w:lineRule="auto"/>
                              <w:contextualSpacing w:val="0"/>
                              <w:jc w:val="both"/>
                              <w:rPr>
                                <w:sz w:val="20"/>
                                <w:szCs w:val="20"/>
                              </w:rPr>
                            </w:pPr>
                            <w:r>
                              <w:rPr>
                                <w:sz w:val="20"/>
                                <w:szCs w:val="20"/>
                              </w:rPr>
                              <w:t>Código conducta relativo a las inversiones</w:t>
                            </w:r>
                          </w:p>
                          <w:p w:rsidR="00192AC1" w:rsidRDefault="00192AC1" w:rsidP="006C7D73">
                            <w:pPr>
                              <w:pStyle w:val="Prrafodelista"/>
                              <w:numPr>
                                <w:ilvl w:val="0"/>
                                <w:numId w:val="12"/>
                              </w:numPr>
                              <w:spacing w:before="120" w:after="120" w:line="240" w:lineRule="auto"/>
                              <w:contextualSpacing w:val="0"/>
                              <w:jc w:val="both"/>
                              <w:rPr>
                                <w:sz w:val="20"/>
                                <w:szCs w:val="20"/>
                              </w:rPr>
                            </w:pPr>
                            <w:r>
                              <w:rPr>
                                <w:sz w:val="20"/>
                                <w:szCs w:val="20"/>
                              </w:rPr>
                              <w:t>Política de colecciones de la Fundación ICO.</w:t>
                            </w:r>
                          </w:p>
                          <w:p w:rsidR="00192AC1" w:rsidRPr="002A154B" w:rsidRDefault="00192AC1" w:rsidP="00952223">
                            <w:pPr>
                              <w:spacing w:before="120" w:after="120" w:line="240" w:lineRule="auto"/>
                              <w:jc w:val="both"/>
                              <w:rPr>
                                <w:b/>
                                <w:color w:val="00642D"/>
                              </w:rPr>
                            </w:pPr>
                            <w:r w:rsidRPr="007A559A">
                              <w:rPr>
                                <w:sz w:val="20"/>
                                <w:szCs w:val="20"/>
                              </w:rPr>
                              <w:t xml:space="preserve">No </w:t>
                            </w:r>
                            <w:r>
                              <w:rPr>
                                <w:sz w:val="20"/>
                                <w:szCs w:val="20"/>
                              </w:rPr>
                              <w:t>ha sido posible tener en cuenta otra información al</w:t>
                            </w:r>
                            <w:r w:rsidRPr="007A559A">
                              <w:rPr>
                                <w:sz w:val="20"/>
                                <w:szCs w:val="20"/>
                              </w:rPr>
                              <w:t xml:space="preserve"> encontra</w:t>
                            </w:r>
                            <w:r>
                              <w:rPr>
                                <w:sz w:val="20"/>
                                <w:szCs w:val="20"/>
                              </w:rPr>
                              <w:t>r</w:t>
                            </w:r>
                            <w:r w:rsidRPr="007A559A">
                              <w:rPr>
                                <w:sz w:val="20"/>
                                <w:szCs w:val="20"/>
                              </w:rPr>
                              <w:t>se desa</w:t>
                            </w:r>
                            <w:r>
                              <w:rPr>
                                <w:sz w:val="20"/>
                                <w:szCs w:val="20"/>
                              </w:rPr>
                              <w:t>c</w:t>
                            </w:r>
                            <w:r w:rsidRPr="007A559A">
                              <w:rPr>
                                <w:sz w:val="20"/>
                                <w:szCs w:val="20"/>
                              </w:rPr>
                              <w:t>tual</w:t>
                            </w:r>
                            <w:r>
                              <w:rPr>
                                <w:sz w:val="20"/>
                                <w:szCs w:val="20"/>
                              </w:rPr>
                              <w:t>izada</w:t>
                            </w:r>
                            <w:r w:rsidRPr="007A559A">
                              <w:rPr>
                                <w:sz w:val="20"/>
                                <w:szCs w:val="20"/>
                              </w:rPr>
                              <w:t xml:space="preserve"> (</w:t>
                            </w:r>
                            <w:r>
                              <w:rPr>
                                <w:sz w:val="20"/>
                                <w:szCs w:val="20"/>
                              </w:rPr>
                              <w:t>documentos sometidos a trámite de información pública – año 2018-</w:t>
                            </w:r>
                            <w:r w:rsidRPr="007A559A">
                              <w:rPr>
                                <w:sz w:val="20"/>
                                <w:szCs w:val="20"/>
                              </w:rPr>
                              <w:t xml:space="preserve"> )</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89.2pt;height:220.9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">
                <v:textbox>
                  <w:txbxContent>
                    <w:p w:rsidR="00064F78" w:rsidRDefault="00064F78">
                      <w:pPr>
                        <w:rPr>
                          <w:b/>
                          <w:color w:val="00642D"/>
                        </w:rPr>
                      </w:pPr>
                      <w:r w:rsidRPr="002A154B">
                        <w:rPr>
                          <w:b/>
                          <w:color w:val="00642D"/>
                        </w:rPr>
                        <w:t xml:space="preserve">Transparencia </w:t>
                      </w:r>
                      <w:r>
                        <w:rPr>
                          <w:b/>
                          <w:color w:val="00642D"/>
                        </w:rPr>
                        <w:t>Voluntaria</w:t>
                      </w:r>
                    </w:p>
                    <w:p w:rsidR="00064F78" w:rsidRDefault="00064F78" w:rsidP="006C7D73">
                      <w:pPr>
                        <w:spacing w:before="120" w:after="120" w:line="240" w:lineRule="auto"/>
                        <w:jc w:val="both"/>
                        <w:rPr>
                          <w:sz w:val="20"/>
                          <w:szCs w:val="20"/>
                        </w:rPr>
                      </w:pPr>
                      <w:r w:rsidRPr="00C074A6">
                        <w:rPr>
                          <w:sz w:val="20"/>
                          <w:szCs w:val="20"/>
                        </w:rPr>
                        <w:t xml:space="preserve">La </w:t>
                      </w:r>
                      <w:r>
                        <w:rPr>
                          <w:lang w:bidi="es-ES"/>
                        </w:rPr>
                        <w:t xml:space="preserve">Fundación ICO, F.S.P.,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064F78" w:rsidRDefault="00064F78" w:rsidP="006C7D73">
                      <w:pPr>
                        <w:pStyle w:val="Prrafodelista"/>
                        <w:numPr>
                          <w:ilvl w:val="0"/>
                          <w:numId w:val="12"/>
                        </w:numPr>
                        <w:spacing w:before="120" w:after="120" w:line="240" w:lineRule="auto"/>
                        <w:contextualSpacing w:val="0"/>
                        <w:jc w:val="both"/>
                        <w:rPr>
                          <w:sz w:val="20"/>
                          <w:szCs w:val="20"/>
                        </w:rPr>
                      </w:pPr>
                      <w:r w:rsidRPr="007A559A">
                        <w:rPr>
                          <w:sz w:val="20"/>
                          <w:szCs w:val="20"/>
                        </w:rPr>
                        <w:t>Planes de actuación (hasta 2021, inclusive)</w:t>
                      </w:r>
                    </w:p>
                    <w:p w:rsidR="00064F78" w:rsidRPr="007A559A" w:rsidRDefault="00064F78" w:rsidP="006C7D73">
                      <w:pPr>
                        <w:pStyle w:val="Prrafodelista"/>
                        <w:numPr>
                          <w:ilvl w:val="0"/>
                          <w:numId w:val="12"/>
                        </w:numPr>
                        <w:spacing w:before="120" w:after="120" w:line="240" w:lineRule="auto"/>
                        <w:contextualSpacing w:val="0"/>
                        <w:jc w:val="both"/>
                        <w:rPr>
                          <w:sz w:val="20"/>
                          <w:szCs w:val="20"/>
                        </w:rPr>
                      </w:pPr>
                      <w:r>
                        <w:rPr>
                          <w:sz w:val="20"/>
                          <w:szCs w:val="20"/>
                        </w:rPr>
                        <w:t>Memoria de actividades (hasta 2019, inclusive)</w:t>
                      </w:r>
                    </w:p>
                    <w:p w:rsidR="00064F78" w:rsidRDefault="00064F78" w:rsidP="006C7D73">
                      <w:pPr>
                        <w:pStyle w:val="Prrafodelista"/>
                        <w:numPr>
                          <w:ilvl w:val="0"/>
                          <w:numId w:val="12"/>
                        </w:numPr>
                        <w:spacing w:before="120" w:after="120" w:line="240" w:lineRule="auto"/>
                        <w:contextualSpacing w:val="0"/>
                        <w:jc w:val="both"/>
                        <w:rPr>
                          <w:sz w:val="20"/>
                          <w:szCs w:val="20"/>
                        </w:rPr>
                      </w:pPr>
                      <w:r w:rsidRPr="007A559A">
                        <w:rPr>
                          <w:sz w:val="20"/>
                          <w:szCs w:val="20"/>
                        </w:rPr>
                        <w:t>C</w:t>
                      </w:r>
                      <w:r>
                        <w:rPr>
                          <w:sz w:val="20"/>
                          <w:szCs w:val="20"/>
                        </w:rPr>
                        <w:t>ódigo de Buen Gobierno de los miembros del Patronato</w:t>
                      </w:r>
                    </w:p>
                    <w:p w:rsidR="00064F78" w:rsidRDefault="00064F78" w:rsidP="006C7D73">
                      <w:pPr>
                        <w:pStyle w:val="Prrafodelista"/>
                        <w:numPr>
                          <w:ilvl w:val="0"/>
                          <w:numId w:val="12"/>
                        </w:numPr>
                        <w:spacing w:before="120" w:after="120" w:line="240" w:lineRule="auto"/>
                        <w:contextualSpacing w:val="0"/>
                        <w:jc w:val="both"/>
                        <w:rPr>
                          <w:sz w:val="20"/>
                          <w:szCs w:val="20"/>
                        </w:rPr>
                      </w:pPr>
                      <w:r>
                        <w:rPr>
                          <w:sz w:val="20"/>
                          <w:szCs w:val="20"/>
                        </w:rPr>
                        <w:t>Código conducta personal Fundación ICO</w:t>
                      </w:r>
                    </w:p>
                    <w:p w:rsidR="00064F78" w:rsidRDefault="00064F78" w:rsidP="006C7D73">
                      <w:pPr>
                        <w:pStyle w:val="Prrafodelista"/>
                        <w:numPr>
                          <w:ilvl w:val="0"/>
                          <w:numId w:val="12"/>
                        </w:numPr>
                        <w:spacing w:before="120" w:after="120" w:line="240" w:lineRule="auto"/>
                        <w:contextualSpacing w:val="0"/>
                        <w:jc w:val="both"/>
                        <w:rPr>
                          <w:sz w:val="20"/>
                          <w:szCs w:val="20"/>
                        </w:rPr>
                      </w:pPr>
                      <w:r>
                        <w:rPr>
                          <w:sz w:val="20"/>
                          <w:szCs w:val="20"/>
                        </w:rPr>
                        <w:t>Código conducta relativo a las inversiones</w:t>
                      </w:r>
                    </w:p>
                    <w:p w:rsidR="00064F78" w:rsidRDefault="00064F78" w:rsidP="006C7D73">
                      <w:pPr>
                        <w:pStyle w:val="Prrafodelista"/>
                        <w:numPr>
                          <w:ilvl w:val="0"/>
                          <w:numId w:val="12"/>
                        </w:numPr>
                        <w:spacing w:before="120" w:after="120" w:line="240" w:lineRule="auto"/>
                        <w:contextualSpacing w:val="0"/>
                        <w:jc w:val="both"/>
                        <w:rPr>
                          <w:sz w:val="20"/>
                          <w:szCs w:val="20"/>
                        </w:rPr>
                      </w:pPr>
                      <w:r>
                        <w:rPr>
                          <w:sz w:val="20"/>
                          <w:szCs w:val="20"/>
                        </w:rPr>
                        <w:t>Política de colecciones de la Fundación ICO.</w:t>
                      </w:r>
                    </w:p>
                    <w:p w:rsidR="00064F78" w:rsidRPr="002A154B" w:rsidRDefault="00064F78" w:rsidP="00952223">
                      <w:pPr>
                        <w:spacing w:before="120" w:after="120" w:line="240" w:lineRule="auto"/>
                        <w:jc w:val="both"/>
                        <w:rPr>
                          <w:b/>
                          <w:color w:val="00642D"/>
                        </w:rPr>
                      </w:pPr>
                      <w:r w:rsidRPr="007A559A">
                        <w:rPr>
                          <w:sz w:val="20"/>
                          <w:szCs w:val="20"/>
                        </w:rPr>
                        <w:t xml:space="preserve">No </w:t>
                      </w:r>
                      <w:r>
                        <w:rPr>
                          <w:sz w:val="20"/>
                          <w:szCs w:val="20"/>
                        </w:rPr>
                        <w:t>ha sido posible tener en cuenta otra información al</w:t>
                      </w:r>
                      <w:r w:rsidRPr="007A559A">
                        <w:rPr>
                          <w:sz w:val="20"/>
                          <w:szCs w:val="20"/>
                        </w:rPr>
                        <w:t xml:space="preserve"> encontra</w:t>
                      </w:r>
                      <w:r>
                        <w:rPr>
                          <w:sz w:val="20"/>
                          <w:szCs w:val="20"/>
                        </w:rPr>
                        <w:t>r</w:t>
                      </w:r>
                      <w:r w:rsidRPr="007A559A">
                        <w:rPr>
                          <w:sz w:val="20"/>
                          <w:szCs w:val="20"/>
                        </w:rPr>
                        <w:t>se desa</w:t>
                      </w:r>
                      <w:r>
                        <w:rPr>
                          <w:sz w:val="20"/>
                          <w:szCs w:val="20"/>
                        </w:rPr>
                        <w:t>c</w:t>
                      </w:r>
                      <w:r w:rsidRPr="007A559A">
                        <w:rPr>
                          <w:sz w:val="20"/>
                          <w:szCs w:val="20"/>
                        </w:rPr>
                        <w:t>tual</w:t>
                      </w:r>
                      <w:r>
                        <w:rPr>
                          <w:sz w:val="20"/>
                          <w:szCs w:val="20"/>
                        </w:rPr>
                        <w:t>izada</w:t>
                      </w:r>
                      <w:r w:rsidRPr="007A559A">
                        <w:rPr>
                          <w:sz w:val="20"/>
                          <w:szCs w:val="20"/>
                        </w:rPr>
                        <w:t xml:space="preserve"> (</w:t>
                      </w:r>
                      <w:r>
                        <w:rPr>
                          <w:sz w:val="20"/>
                          <w:szCs w:val="20"/>
                        </w:rPr>
                        <w:t>documentos sometidos a trámite de información pública – año 2018</w:t>
                      </w:r>
                      <w:r w:rsidR="004A4749">
                        <w:rPr>
                          <w:sz w:val="20"/>
                          <w:szCs w:val="20"/>
                        </w:rPr>
                        <w:t>-</w:t>
                      </w:r>
                      <w:r w:rsidR="004A4749" w:rsidRPr="007A559A">
                        <w:rPr>
                          <w:sz w:val="20"/>
                          <w:szCs w:val="20"/>
                        </w:rPr>
                        <w:t xml:space="preserve"> )</w:t>
                      </w:r>
                      <w:r>
                        <w:rPr>
                          <w:sz w:val="20"/>
                          <w:szCs w:val="20"/>
                        </w:rPr>
                        <w:t>.</w:t>
                      </w: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C167E" w:rsidRDefault="009C167E"/>
    <w:p w:rsidR="009C167E" w:rsidRDefault="009C167E"/>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A9610E1" wp14:editId="4A127AE7">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92AC1" w:rsidRDefault="00192AC1" w:rsidP="002A154B">
                            <w:pPr>
                              <w:rPr>
                                <w:b/>
                                <w:color w:val="00642D"/>
                              </w:rPr>
                            </w:pPr>
                            <w:r>
                              <w:rPr>
                                <w:b/>
                                <w:color w:val="00642D"/>
                              </w:rPr>
                              <w:t>Buenas Prácticas</w:t>
                            </w:r>
                          </w:p>
                          <w:p w:rsidR="00192AC1" w:rsidRDefault="00192AC1" w:rsidP="007E460B">
                            <w:pPr>
                              <w:spacing w:before="120" w:after="120" w:line="312" w:lineRule="auto"/>
                              <w:jc w:val="both"/>
                              <w:rPr>
                                <w:sz w:val="20"/>
                                <w:szCs w:val="20"/>
                              </w:rPr>
                            </w:pPr>
                            <w:r>
                              <w:rPr>
                                <w:sz w:val="20"/>
                                <w:szCs w:val="20"/>
                              </w:rPr>
                              <w:t xml:space="preserve">Como buenas prácticas por parte de la </w:t>
                            </w:r>
                            <w:r w:rsidRPr="00E72398">
                              <w:rPr>
                                <w:sz w:val="20"/>
                                <w:szCs w:val="20"/>
                              </w:rPr>
                              <w:t>Fundación ICO, F.S.P., cabe reseñar</w:t>
                            </w:r>
                            <w:r>
                              <w:rPr>
                                <w:sz w:val="20"/>
                                <w:szCs w:val="20"/>
                              </w:rPr>
                              <w:t>:</w:t>
                            </w:r>
                          </w:p>
                          <w:p w:rsidR="00192AC1" w:rsidRPr="004A4749" w:rsidRDefault="00192AC1" w:rsidP="004A4749">
                            <w:pPr>
                              <w:pStyle w:val="Prrafodelista"/>
                              <w:numPr>
                                <w:ilvl w:val="0"/>
                                <w:numId w:val="13"/>
                              </w:numPr>
                              <w:spacing w:before="120" w:after="120" w:line="312" w:lineRule="auto"/>
                              <w:jc w:val="both"/>
                              <w:rPr>
                                <w:sz w:val="20"/>
                                <w:szCs w:val="20"/>
                              </w:rPr>
                            </w:pPr>
                            <w:r w:rsidRPr="004A4749">
                              <w:rPr>
                                <w:sz w:val="20"/>
                                <w:szCs w:val="20"/>
                              </w:rPr>
                              <w:t>La forma de presentar la información sobre contratos (aunque se encuentra desactualizada)</w:t>
                            </w:r>
                            <w:r w:rsidRPr="004A4749">
                              <w:rPr>
                                <w:sz w:val="20"/>
                                <w:szCs w:val="20"/>
                              </w:rPr>
                              <w:br/>
                              <w:t xml:space="preserve">Hacer constar la inexistencia de alguna de las informaciones sujetas a obligaciones de publicidad activa.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064F78" w:rsidRDefault="00064F78" w:rsidP="002A154B">
                      <w:pPr>
                        <w:rPr>
                          <w:b/>
                          <w:color w:val="00642D"/>
                        </w:rPr>
                      </w:pPr>
                      <w:r>
                        <w:rPr>
                          <w:b/>
                          <w:color w:val="00642D"/>
                        </w:rPr>
                        <w:t>Buenas Prácticas</w:t>
                      </w:r>
                    </w:p>
                    <w:p w:rsidR="004A4749" w:rsidRDefault="00064F78" w:rsidP="007E460B">
                      <w:pPr>
                        <w:spacing w:before="120" w:after="120" w:line="312" w:lineRule="auto"/>
                        <w:jc w:val="both"/>
                        <w:rPr>
                          <w:sz w:val="20"/>
                          <w:szCs w:val="20"/>
                        </w:rPr>
                      </w:pPr>
                      <w:r>
                        <w:rPr>
                          <w:sz w:val="20"/>
                          <w:szCs w:val="20"/>
                        </w:rPr>
                        <w:t xml:space="preserve">Como buenas prácticas por parte de la </w:t>
                      </w:r>
                      <w:r w:rsidRPr="00E72398">
                        <w:rPr>
                          <w:sz w:val="20"/>
                          <w:szCs w:val="20"/>
                        </w:rPr>
                        <w:t>Fundación ICO, F.S.P., cabe reseñar</w:t>
                      </w:r>
                      <w:r w:rsidR="004A4749">
                        <w:rPr>
                          <w:sz w:val="20"/>
                          <w:szCs w:val="20"/>
                        </w:rPr>
                        <w:t>:</w:t>
                      </w:r>
                    </w:p>
                    <w:p w:rsidR="00064F78" w:rsidRPr="004A4749" w:rsidRDefault="004A4749" w:rsidP="004A4749">
                      <w:pPr>
                        <w:pStyle w:val="Prrafodelista"/>
                        <w:numPr>
                          <w:ilvl w:val="0"/>
                          <w:numId w:val="13"/>
                        </w:numPr>
                        <w:spacing w:before="120" w:after="120" w:line="312" w:lineRule="auto"/>
                        <w:jc w:val="both"/>
                        <w:rPr>
                          <w:sz w:val="20"/>
                          <w:szCs w:val="20"/>
                        </w:rPr>
                      </w:pPr>
                      <w:r w:rsidRPr="004A4749">
                        <w:rPr>
                          <w:sz w:val="20"/>
                          <w:szCs w:val="20"/>
                        </w:rPr>
                        <w:t>La forma de presentar la información sobre contratos (aunque se encuentra desactualizada)</w:t>
                      </w:r>
                      <w:r w:rsidRPr="004A4749">
                        <w:rPr>
                          <w:sz w:val="20"/>
                          <w:szCs w:val="20"/>
                        </w:rPr>
                        <w:br/>
                        <w:t xml:space="preserve">Hacer constar </w:t>
                      </w:r>
                      <w:r w:rsidR="00064F78" w:rsidRPr="004A4749">
                        <w:rPr>
                          <w:sz w:val="20"/>
                          <w:szCs w:val="20"/>
                        </w:rPr>
                        <w:t xml:space="preserve">la inexistencia de alguna de las informaciones sujetas a obligaciones de publicidad activa. </w:t>
                      </w:r>
                    </w:p>
                  </w:txbxContent>
                </v:textbox>
              </v:shape>
            </w:pict>
          </mc:Fallback>
        </mc:AlternateContent>
      </w:r>
    </w:p>
    <w:p w:rsidR="00932008" w:rsidRDefault="00932008"/>
    <w:p w:rsidR="004A4749" w:rsidRDefault="004A4749"/>
    <w:p w:rsidR="004A4749" w:rsidRDefault="004A4749"/>
    <w:p w:rsidR="004A4749" w:rsidRDefault="004A4749"/>
    <w:p w:rsidR="004A4749" w:rsidRDefault="004A4749"/>
    <w:p w:rsidR="004A4749" w:rsidRDefault="004A4749">
      <w: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BE5A57" w:rsidRPr="00BF43F4" w:rsidRDefault="00BE5A57" w:rsidP="00064F78">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3E5B0A">
        <w:rPr>
          <w:lang w:bidi="es-ES"/>
        </w:rPr>
        <w:t>Fundación ICO, F.S.P.,</w:t>
      </w:r>
      <w:r w:rsidRPr="00BF43F4">
        <w:t xml:space="preserve"> en función de la información disponible en su Portal de Transparencia </w:t>
      </w:r>
      <w:r w:rsidR="007E460B">
        <w:t xml:space="preserve">y su web </w:t>
      </w:r>
      <w:r w:rsidRPr="00BF43F4">
        <w:t xml:space="preserve">alcanza el </w:t>
      </w:r>
      <w:r w:rsidR="00760E24">
        <w:t>58</w:t>
      </w:r>
      <w:r w:rsidRPr="00D3051B">
        <w:t>%</w:t>
      </w:r>
      <w:r w:rsidRPr="00BF43F4">
        <w:t xml:space="preserve">. </w:t>
      </w:r>
    </w:p>
    <w:p w:rsidR="00BE5A57" w:rsidRPr="00FD0689" w:rsidRDefault="00BE5A57" w:rsidP="00064F78">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3E5B0A">
        <w:rPr>
          <w:lang w:bidi="es-ES"/>
        </w:rPr>
        <w:t>Fundación ICO, F.S.P.,</w:t>
      </w:r>
      <w:r w:rsidRPr="00BF43F4">
        <w:t xml:space="preserve"> este CTBG </w:t>
      </w:r>
      <w:r w:rsidRPr="00FD0689">
        <w:rPr>
          <w:rFonts w:eastAsiaTheme="majorEastAsia" w:cstheme="majorBidi"/>
          <w:b/>
          <w:bCs/>
          <w:color w:val="50866C"/>
        </w:rPr>
        <w:t>recomienda:</w:t>
      </w:r>
    </w:p>
    <w:p w:rsidR="00BE5A57" w:rsidRDefault="00BE5A57" w:rsidP="00064F78">
      <w:pPr>
        <w:spacing w:before="120" w:after="120" w:line="312" w:lineRule="auto"/>
        <w:jc w:val="both"/>
        <w:rPr>
          <w:b/>
          <w:color w:val="00642D"/>
        </w:rPr>
      </w:pPr>
    </w:p>
    <w:p w:rsidR="00BE5A57" w:rsidRPr="00443391" w:rsidRDefault="00BE5A57" w:rsidP="00064F78">
      <w:pPr>
        <w:spacing w:before="120" w:after="120" w:line="312" w:lineRule="auto"/>
        <w:jc w:val="both"/>
        <w:rPr>
          <w:b/>
          <w:color w:val="00642D"/>
        </w:rPr>
      </w:pPr>
      <w:r w:rsidRPr="00443391">
        <w:rPr>
          <w:b/>
          <w:color w:val="00642D"/>
        </w:rPr>
        <w:t>Localización y Estructuración de la información</w:t>
      </w:r>
    </w:p>
    <w:p w:rsidR="00BE5A57" w:rsidRPr="00BF43F4" w:rsidRDefault="007E460B" w:rsidP="00064F78">
      <w:pPr>
        <w:spacing w:before="120" w:after="120" w:line="312" w:lineRule="auto"/>
        <w:jc w:val="both"/>
        <w:rPr>
          <w:rFonts w:eastAsiaTheme="majorEastAsia" w:cstheme="majorBidi"/>
          <w:bCs/>
        </w:rPr>
      </w:pPr>
      <w:r>
        <w:rPr>
          <w:rFonts w:eastAsiaTheme="majorEastAsia" w:cstheme="majorBidi"/>
          <w:bCs/>
        </w:rPr>
        <w:t>En el espacio diferenciado en su web institucional destinado a la publicación de la información sujeta a obligaciones de publicidad activa, la</w:t>
      </w:r>
      <w:r w:rsidR="00BE5A57" w:rsidRPr="00D3051B">
        <w:t xml:space="preserve"> </w:t>
      </w:r>
      <w:r w:rsidR="003E5B0A">
        <w:rPr>
          <w:lang w:bidi="es-ES"/>
        </w:rPr>
        <w:t>Fundación ICO, F.S.P.,</w:t>
      </w:r>
      <w:r>
        <w:rPr>
          <w:rFonts w:eastAsiaTheme="majorEastAsia" w:cstheme="majorBidi"/>
          <w:bCs/>
        </w:rPr>
        <w:t xml:space="preserve"> </w:t>
      </w:r>
      <w:r w:rsidR="00BE5A57">
        <w:rPr>
          <w:rFonts w:eastAsiaTheme="majorEastAsia" w:cstheme="majorBidi"/>
          <w:bCs/>
        </w:rPr>
        <w:t xml:space="preserve">deberían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Pr>
          <w:rFonts w:eastAsiaTheme="majorEastAsia" w:cstheme="majorBidi"/>
          <w:bCs/>
        </w:rPr>
        <w:t>deberían publicarse</w:t>
      </w:r>
      <w:r w:rsidR="00BE5A57" w:rsidRPr="00BF43F4">
        <w:rPr>
          <w:rFonts w:eastAsiaTheme="majorEastAsia" w:cstheme="majorBidi"/>
          <w:bCs/>
        </w:rPr>
        <w:t>- o enlazarse - las informaciones obligatorias que establecen los artículos 6</w:t>
      </w:r>
      <w:r>
        <w:rPr>
          <w:rFonts w:eastAsiaTheme="majorEastAsia" w:cstheme="majorBidi"/>
          <w:bCs/>
        </w:rPr>
        <w:t>, 6 bis</w:t>
      </w:r>
      <w:r w:rsidR="00BE5A57" w:rsidRPr="00BF43F4">
        <w:rPr>
          <w:rFonts w:eastAsiaTheme="majorEastAsia" w:cstheme="majorBidi"/>
          <w:bCs/>
        </w:rPr>
        <w:t xml:space="preserve"> y 8 de la LTAIBG, conta</w:t>
      </w:r>
      <w:r>
        <w:rPr>
          <w:rFonts w:eastAsiaTheme="majorEastAsia" w:cstheme="majorBidi"/>
          <w:bCs/>
        </w:rPr>
        <w:t>n</w:t>
      </w:r>
      <w:r w:rsidR="00BE5A57" w:rsidRPr="00BF43F4">
        <w:rPr>
          <w:rFonts w:eastAsiaTheme="majorEastAsia" w:cstheme="majorBidi"/>
          <w:bCs/>
        </w:rPr>
        <w:t xml:space="preserve">do con un apartado específico para cada una de ellas. </w:t>
      </w:r>
    </w:p>
    <w:p w:rsidR="00BE5A57" w:rsidRPr="00BF43F4" w:rsidRDefault="00BE5A57" w:rsidP="00064F78">
      <w:pPr>
        <w:spacing w:before="120" w:after="120" w:line="312" w:lineRule="auto"/>
        <w:jc w:val="both"/>
        <w:rPr>
          <w:rFonts w:eastAsiaTheme="majorEastAsia" w:cstheme="majorBidi"/>
          <w:bCs/>
        </w:rPr>
      </w:pPr>
      <w:r w:rsidRPr="00BF43F4">
        <w:rPr>
          <w:rFonts w:eastAsiaTheme="majorEastAsia" w:cstheme="majorBidi"/>
          <w:bCs/>
        </w:rPr>
        <w:t>E</w:t>
      </w:r>
      <w:r w:rsidR="003E5B0A">
        <w:rPr>
          <w:rFonts w:eastAsiaTheme="majorEastAsia" w:cstheme="majorBidi"/>
          <w:bCs/>
        </w:rPr>
        <w:t xml:space="preserve">n todos los casos en que </w:t>
      </w:r>
      <w:r w:rsidRPr="00BF43F4">
        <w:rPr>
          <w:rFonts w:eastAsiaTheme="majorEastAsia" w:cstheme="majorBidi"/>
          <w:bCs/>
        </w:rPr>
        <w:t>no sea posible la publicación de alguna de las informaciones vinculadas a estos bloques bien porque no exista, no concurra el supuesto o no haya habido actividad en el ámbito al que se refiere</w:t>
      </w:r>
      <w:r w:rsidR="003E5B0A">
        <w:rPr>
          <w:rFonts w:eastAsiaTheme="majorEastAsia" w:cstheme="majorBidi"/>
          <w:bCs/>
        </w:rPr>
        <w:t>,</w:t>
      </w:r>
      <w:r w:rsidR="007E460B">
        <w:rPr>
          <w:rFonts w:eastAsiaTheme="majorEastAsia" w:cstheme="majorBidi"/>
          <w:bCs/>
        </w:rPr>
        <w:t xml:space="preserve"> </w:t>
      </w:r>
      <w:r w:rsidRPr="00BF43F4">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p>
    <w:p w:rsidR="00BE5A57" w:rsidRDefault="00BE5A57" w:rsidP="00064F78">
      <w:pPr>
        <w:spacing w:before="120" w:after="120" w:line="312" w:lineRule="auto"/>
        <w:jc w:val="both"/>
        <w:rPr>
          <w:b/>
          <w:color w:val="00642D"/>
        </w:rPr>
      </w:pPr>
    </w:p>
    <w:p w:rsidR="00BE5A57" w:rsidRDefault="00BE5A57" w:rsidP="00064F78">
      <w:pPr>
        <w:spacing w:before="120" w:after="120" w:line="312" w:lineRule="auto"/>
        <w:jc w:val="both"/>
        <w:rPr>
          <w:b/>
          <w:color w:val="00642D"/>
        </w:rPr>
      </w:pPr>
      <w:r w:rsidRPr="00BF43F4">
        <w:rPr>
          <w:b/>
          <w:color w:val="00642D"/>
        </w:rPr>
        <w:t>Incorporación de información</w:t>
      </w:r>
    </w:p>
    <w:p w:rsidR="00BE5A57" w:rsidRPr="00BF43F4" w:rsidRDefault="00BE5A57" w:rsidP="00064F78">
      <w:pPr>
        <w:spacing w:before="120" w:after="120" w:line="312" w:lineRule="auto"/>
        <w:jc w:val="both"/>
        <w:rPr>
          <w:b/>
          <w:color w:val="00642D"/>
        </w:rPr>
      </w:pPr>
    </w:p>
    <w:p w:rsidR="00BE5A57" w:rsidRDefault="00BE5A57" w:rsidP="00064F78">
      <w:pPr>
        <w:spacing w:before="120" w:after="120" w:line="312" w:lineRule="auto"/>
        <w:jc w:val="both"/>
        <w:outlineLvl w:val="1"/>
        <w:rPr>
          <w:b/>
          <w:color w:val="00642D"/>
        </w:rPr>
      </w:pPr>
      <w:r w:rsidRPr="00BF43F4">
        <w:rPr>
          <w:b/>
          <w:color w:val="00642D"/>
        </w:rPr>
        <w:t>Información Institucional, Organizativa y de Planificación</w:t>
      </w:r>
    </w:p>
    <w:p w:rsidR="00BE5A57" w:rsidRPr="007E460B" w:rsidRDefault="00BE5A57" w:rsidP="00064F78">
      <w:pPr>
        <w:pStyle w:val="Prrafodelista"/>
        <w:numPr>
          <w:ilvl w:val="0"/>
          <w:numId w:val="8"/>
        </w:numPr>
        <w:spacing w:before="120" w:after="120" w:line="312" w:lineRule="auto"/>
        <w:ind w:left="714" w:hanging="357"/>
        <w:contextualSpacing w:val="0"/>
        <w:jc w:val="both"/>
      </w:pPr>
      <w:r w:rsidRPr="007E460B">
        <w:t xml:space="preserve">Debería de </w:t>
      </w:r>
      <w:r w:rsidR="009A1165" w:rsidRPr="007E460B">
        <w:t xml:space="preserve">mencionarse </w:t>
      </w:r>
      <w:r w:rsidRPr="007E460B">
        <w:t xml:space="preserve">la normativa que le resulta de aplicación </w:t>
      </w:r>
      <w:r w:rsidR="009A1165" w:rsidRPr="007E460B">
        <w:rPr>
          <w:bCs/>
        </w:rPr>
        <w:t>(la normativa presupuestaria, contable, de control financiero y de contratación</w:t>
      </w:r>
      <w:r w:rsidR="009A1165" w:rsidRPr="007E460B">
        <w:t>)</w:t>
      </w:r>
    </w:p>
    <w:p w:rsidR="003E5B0A" w:rsidRPr="00007D01" w:rsidRDefault="00BE5A57" w:rsidP="00064F78">
      <w:pPr>
        <w:pStyle w:val="Prrafodelista"/>
        <w:numPr>
          <w:ilvl w:val="0"/>
          <w:numId w:val="8"/>
        </w:numPr>
        <w:spacing w:before="120" w:after="120" w:line="312" w:lineRule="auto"/>
        <w:ind w:left="714" w:hanging="357"/>
        <w:contextualSpacing w:val="0"/>
        <w:jc w:val="both"/>
        <w:rPr>
          <w:b/>
          <w:color w:val="00642D"/>
        </w:rPr>
      </w:pPr>
      <w:r w:rsidRPr="007E460B">
        <w:t>Debe informarse sobre el perfil y trayectoria profesional de</w:t>
      </w:r>
      <w:r w:rsidR="00E72398">
        <w:t xml:space="preserve"> todos sus responsables</w:t>
      </w:r>
      <w:r w:rsidR="003E5B0A">
        <w:rPr>
          <w:rStyle w:val="Ttulo2Car"/>
          <w:b w:val="0"/>
          <w:color w:val="auto"/>
          <w:sz w:val="20"/>
          <w:szCs w:val="20"/>
          <w:lang w:bidi="es-ES"/>
        </w:rPr>
        <w:t>.</w:t>
      </w:r>
      <w:r w:rsidR="003E5B0A" w:rsidRPr="00007D01">
        <w:rPr>
          <w:sz w:val="20"/>
          <w:szCs w:val="20"/>
          <w:lang w:bidi="es-ES"/>
        </w:rPr>
        <w:t xml:space="preserve"> </w:t>
      </w:r>
    </w:p>
    <w:p w:rsidR="00BE5A57" w:rsidRPr="00BF43F4" w:rsidRDefault="00BE5A57" w:rsidP="00064F78">
      <w:pPr>
        <w:spacing w:before="120" w:after="120" w:line="312" w:lineRule="auto"/>
        <w:jc w:val="both"/>
        <w:rPr>
          <w:rFonts w:eastAsiaTheme="minorHAnsi"/>
          <w:color w:val="FF0000"/>
          <w:lang w:eastAsia="en-US" w:bidi="es-ES"/>
        </w:rPr>
      </w:pPr>
    </w:p>
    <w:p w:rsidR="00BE5A57" w:rsidRPr="00BF43F4" w:rsidRDefault="00BE5A57" w:rsidP="00064F78">
      <w:pPr>
        <w:spacing w:before="120" w:after="120" w:line="312" w:lineRule="auto"/>
        <w:jc w:val="both"/>
        <w:outlineLvl w:val="1"/>
        <w:rPr>
          <w:b/>
          <w:color w:val="00642D"/>
        </w:rPr>
      </w:pPr>
      <w:r w:rsidRPr="00BF43F4">
        <w:rPr>
          <w:b/>
          <w:color w:val="00642D"/>
        </w:rPr>
        <w:t>Información Económica, Presupuestaria y Estadística</w:t>
      </w:r>
    </w:p>
    <w:p w:rsidR="00BE5A57" w:rsidRPr="00BF43F4" w:rsidRDefault="00BE5A57" w:rsidP="00064F78">
      <w:pPr>
        <w:numPr>
          <w:ilvl w:val="0"/>
          <w:numId w:val="9"/>
        </w:numPr>
        <w:spacing w:before="120" w:after="120" w:line="312" w:lineRule="auto"/>
        <w:ind w:left="714" w:hanging="357"/>
        <w:jc w:val="both"/>
      </w:pPr>
      <w:r w:rsidRPr="00BF43F4">
        <w:rPr>
          <w:rFonts w:eastAsia="Times New Roman" w:cs="Times New Roman"/>
          <w:bCs/>
        </w:rPr>
        <w:t xml:space="preserve">Debe publicarse información </w:t>
      </w:r>
      <w:r w:rsidRPr="00BF43F4">
        <w:t>sobre modificaciones de contratos</w:t>
      </w:r>
    </w:p>
    <w:p w:rsidR="00BE5A57" w:rsidRPr="0098354A" w:rsidRDefault="00BE5A57" w:rsidP="00064F78">
      <w:pPr>
        <w:numPr>
          <w:ilvl w:val="0"/>
          <w:numId w:val="10"/>
        </w:numPr>
        <w:spacing w:before="120" w:after="120" w:line="312" w:lineRule="auto"/>
        <w:jc w:val="both"/>
      </w:pPr>
      <w:r w:rsidRPr="00D46397">
        <w:rPr>
          <w:rFonts w:eastAsia="Times New Roman" w:cs="Times New Roman"/>
          <w:bCs/>
          <w:szCs w:val="36"/>
        </w:rPr>
        <w:t>Debe publicarse información estadística sobre la distribución de los contratos expresada en términos presupuestarios y según procedimiento de licitación</w:t>
      </w:r>
      <w:r>
        <w:rPr>
          <w:rFonts w:eastAsia="Times New Roman" w:cs="Times New Roman"/>
          <w:bCs/>
          <w:szCs w:val="36"/>
        </w:rPr>
        <w:t xml:space="preserve"> previsto en sus instrucciones de contratación</w:t>
      </w:r>
      <w:r w:rsidRPr="00FC0B7B">
        <w:t>.</w:t>
      </w:r>
    </w:p>
    <w:p w:rsidR="00BE5A57" w:rsidRPr="00B9022C" w:rsidRDefault="00BE5A57" w:rsidP="00064F78">
      <w:pPr>
        <w:numPr>
          <w:ilvl w:val="0"/>
          <w:numId w:val="10"/>
        </w:numPr>
        <w:spacing w:before="120" w:after="120" w:line="312" w:lineRule="auto"/>
        <w:jc w:val="both"/>
      </w:pPr>
      <w:r w:rsidRPr="00BF43F4">
        <w:rPr>
          <w:rFonts w:eastAsiaTheme="majorEastAsia" w:cstheme="majorBidi"/>
          <w:bCs/>
        </w:rPr>
        <w:lastRenderedPageBreak/>
        <w:t xml:space="preserve">Debería informar sobre </w:t>
      </w:r>
      <w:r w:rsidR="003E5B0A">
        <w:rPr>
          <w:rFonts w:eastAsiaTheme="majorEastAsia" w:cstheme="majorBidi"/>
          <w:bCs/>
        </w:rPr>
        <w:t>modificaciones de convenios</w:t>
      </w:r>
      <w:r>
        <w:rPr>
          <w:rFonts w:eastAsiaTheme="majorEastAsia" w:cstheme="majorBidi"/>
          <w:bCs/>
        </w:rPr>
        <w:t>.</w:t>
      </w:r>
    </w:p>
    <w:p w:rsidR="00BE5A57" w:rsidRPr="007E033E" w:rsidRDefault="00BE5A57" w:rsidP="00064F78">
      <w:pPr>
        <w:numPr>
          <w:ilvl w:val="0"/>
          <w:numId w:val="10"/>
        </w:numPr>
        <w:spacing w:before="120" w:after="120" w:line="312" w:lineRule="auto"/>
        <w:jc w:val="both"/>
      </w:pPr>
      <w:r>
        <w:rPr>
          <w:rFonts w:eastAsiaTheme="majorEastAsia" w:cstheme="majorBidi"/>
          <w:bCs/>
        </w:rPr>
        <w:t>Debe publicar las subvenciones y ayudas públicas que conceda, con indicación de su importe, objetivo o finalidad y beneficiario.</w:t>
      </w:r>
    </w:p>
    <w:p w:rsidR="007E033E" w:rsidRPr="007E033E" w:rsidRDefault="007E033E" w:rsidP="007E033E">
      <w:pPr>
        <w:numPr>
          <w:ilvl w:val="0"/>
          <w:numId w:val="10"/>
        </w:numPr>
        <w:spacing w:before="120" w:after="120" w:line="312" w:lineRule="auto"/>
        <w:jc w:val="both"/>
        <w:rPr>
          <w:rFonts w:eastAsiaTheme="majorEastAsia" w:cstheme="majorBidi"/>
          <w:bCs/>
        </w:rPr>
      </w:pPr>
      <w:r>
        <w:rPr>
          <w:rFonts w:eastAsiaTheme="majorEastAsia" w:cstheme="majorBidi"/>
          <w:bCs/>
        </w:rPr>
        <w:t>Debe publicar</w:t>
      </w:r>
      <w:r w:rsidRPr="007E033E">
        <w:rPr>
          <w:rFonts w:eastAsiaTheme="majorEastAsia" w:cstheme="majorBidi"/>
          <w:bCs/>
        </w:rPr>
        <w:t xml:space="preserve"> –o enlazar – a los informes de fiscalización realizados por órganos de control externo (por ejemplo, informe del TCU del año 2017 (nº1217) sobre fiscalización del patrimonio inmobiliario utilizado por las Fundaciones del sector público estatal, ejercicio 2014-2015) </w:t>
      </w:r>
    </w:p>
    <w:p w:rsidR="002D0212" w:rsidRPr="002D0212" w:rsidRDefault="00BE5A57" w:rsidP="007E033E">
      <w:pPr>
        <w:numPr>
          <w:ilvl w:val="0"/>
          <w:numId w:val="10"/>
        </w:numPr>
        <w:spacing w:before="120" w:after="120" w:line="312" w:lineRule="auto"/>
        <w:jc w:val="both"/>
      </w:pPr>
      <w:r w:rsidRPr="007E033E">
        <w:rPr>
          <w:rFonts w:eastAsiaTheme="majorEastAsia" w:cstheme="majorBidi"/>
          <w:bCs/>
        </w:rPr>
        <w:t xml:space="preserve">Debe publicarse información </w:t>
      </w:r>
      <w:r w:rsidR="003E5B0A" w:rsidRPr="007E033E">
        <w:rPr>
          <w:rFonts w:eastAsiaTheme="majorEastAsia" w:cstheme="majorBidi"/>
          <w:bCs/>
        </w:rPr>
        <w:t xml:space="preserve">actualizada </w:t>
      </w:r>
      <w:r w:rsidR="001608E7" w:rsidRPr="007E033E">
        <w:rPr>
          <w:rFonts w:eastAsiaTheme="majorEastAsia" w:cstheme="majorBidi"/>
          <w:bCs/>
        </w:rPr>
        <w:t>e individua</w:t>
      </w:r>
      <w:r w:rsidR="001608E7">
        <w:t xml:space="preserve">lizada </w:t>
      </w:r>
      <w:r>
        <w:t xml:space="preserve">sobre las retribuciones correspondientes a </w:t>
      </w:r>
      <w:r w:rsidR="00B400A7">
        <w:t>sus</w:t>
      </w:r>
      <w:r>
        <w:t xml:space="preserve"> </w:t>
      </w:r>
      <w:r w:rsidR="003E5B0A">
        <w:t xml:space="preserve">altos cargos y máximos </w:t>
      </w:r>
      <w:r>
        <w:t>responsable</w:t>
      </w:r>
      <w:r w:rsidR="00B400A7">
        <w:t>s.</w:t>
      </w:r>
      <w:r w:rsidR="002D0212" w:rsidRPr="002D0212">
        <w:rPr>
          <w:sz w:val="20"/>
          <w:szCs w:val="20"/>
        </w:rPr>
        <w:t xml:space="preserve"> </w:t>
      </w:r>
    </w:p>
    <w:p w:rsidR="00BE5A57" w:rsidRDefault="00BE5A57" w:rsidP="00064F78">
      <w:pPr>
        <w:pStyle w:val="Prrafodelista"/>
        <w:numPr>
          <w:ilvl w:val="0"/>
          <w:numId w:val="10"/>
        </w:numPr>
        <w:spacing w:before="120" w:after="120" w:line="312" w:lineRule="auto"/>
        <w:contextualSpacing w:val="0"/>
        <w:jc w:val="both"/>
      </w:pPr>
      <w:r>
        <w:t xml:space="preserve">Deben publicarse las indemnizaciones percibidas por los </w:t>
      </w:r>
      <w:r w:rsidR="00E72398">
        <w:t xml:space="preserve">altos cargos y máximos responsables </w:t>
      </w:r>
      <w:r>
        <w:t>con ocasión del abandono del cargo</w:t>
      </w:r>
      <w:r w:rsidR="00B400A7">
        <w:t>.</w:t>
      </w:r>
    </w:p>
    <w:p w:rsidR="00BE5A57" w:rsidRDefault="00BE5A57" w:rsidP="00064F78">
      <w:pPr>
        <w:pStyle w:val="Prrafodelista"/>
        <w:numPr>
          <w:ilvl w:val="0"/>
          <w:numId w:val="10"/>
        </w:numPr>
        <w:spacing w:before="120" w:after="120" w:line="312" w:lineRule="auto"/>
        <w:contextualSpacing w:val="0"/>
        <w:jc w:val="both"/>
      </w:pPr>
      <w:r>
        <w:t xml:space="preserve">Deben publicarse las autorizaciones para la compatibilidad con actividades públicas o privadas concedidas a los empleados públicos de la </w:t>
      </w:r>
      <w:r w:rsidR="007E460B">
        <w:t>fundación</w:t>
      </w:r>
      <w:r>
        <w:t>.</w:t>
      </w:r>
    </w:p>
    <w:p w:rsidR="00BE5A57" w:rsidRPr="00BF43F4" w:rsidRDefault="00BE5A57" w:rsidP="00064F78">
      <w:pPr>
        <w:pStyle w:val="Prrafodelista"/>
        <w:spacing w:before="120" w:after="120" w:line="312" w:lineRule="auto"/>
        <w:ind w:left="426"/>
        <w:contextualSpacing w:val="0"/>
        <w:jc w:val="both"/>
        <w:rPr>
          <w:lang w:bidi="es-ES"/>
        </w:rPr>
      </w:pPr>
    </w:p>
    <w:p w:rsidR="00064F78" w:rsidRDefault="00064F78" w:rsidP="00064F78">
      <w:pPr>
        <w:spacing w:before="120" w:after="120" w:line="312" w:lineRule="auto"/>
        <w:jc w:val="both"/>
        <w:outlineLvl w:val="1"/>
        <w:rPr>
          <w:b/>
          <w:color w:val="00642D"/>
        </w:rPr>
      </w:pPr>
      <w:r w:rsidRPr="00BF43F4">
        <w:rPr>
          <w:b/>
          <w:color w:val="00642D"/>
        </w:rPr>
        <w:t>Calidad de la Información</w:t>
      </w:r>
    </w:p>
    <w:p w:rsidR="004A4749" w:rsidRDefault="004A4749" w:rsidP="00064F78">
      <w:pPr>
        <w:spacing w:before="120" w:after="120" w:line="312" w:lineRule="auto"/>
        <w:jc w:val="both"/>
        <w:outlineLvl w:val="1"/>
        <w:rPr>
          <w:b/>
          <w:color w:val="00642D"/>
        </w:rPr>
      </w:pPr>
    </w:p>
    <w:p w:rsidR="00064F78" w:rsidRPr="00BF43F4" w:rsidRDefault="00064F78" w:rsidP="00064F78">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064F78" w:rsidRPr="00067B7A" w:rsidRDefault="00064F78" w:rsidP="00064F78">
      <w:pPr>
        <w:numPr>
          <w:ilvl w:val="0"/>
          <w:numId w:val="11"/>
        </w:numPr>
        <w:spacing w:before="120" w:after="120" w:line="312" w:lineRule="auto"/>
        <w:ind w:left="714" w:right="-24" w:hanging="357"/>
        <w:jc w:val="both"/>
      </w:pPr>
      <w:r w:rsidRPr="00067B7A">
        <w:t xml:space="preserve">Debería </w:t>
      </w:r>
      <w:r>
        <w:t xml:space="preserve">datarse y </w:t>
      </w:r>
      <w:r w:rsidRPr="00067B7A">
        <w:t>actualizarse la información que no lo esté.</w:t>
      </w:r>
      <w:r>
        <w:t xml:space="preserve"> </w:t>
      </w:r>
      <w:r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064F78" w:rsidRDefault="00064F78" w:rsidP="00064F78">
      <w:pPr>
        <w:numPr>
          <w:ilvl w:val="0"/>
          <w:numId w:val="11"/>
        </w:numPr>
        <w:spacing w:before="120" w:after="120" w:line="312" w:lineRule="auto"/>
        <w:ind w:left="714" w:right="-24" w:hanging="357"/>
        <w:jc w:val="both"/>
      </w:pPr>
      <w:r w:rsidRPr="00067B7A">
        <w:t xml:space="preserve">En cuanto a la información a la que se accede mediante fuentes centralizadas – Plataforma de Contratación del Sector Público </w:t>
      </w:r>
      <w:r w:rsidR="004A4749">
        <w:t>(</w:t>
      </w:r>
      <w:r>
        <w:t>o Base de Datos Nacional de Subvenciones</w:t>
      </w:r>
      <w:r w:rsidR="004A4749">
        <w:t>)</w:t>
      </w:r>
      <w:r>
        <w:t xml:space="preserve"> </w:t>
      </w:r>
      <w:r w:rsidRPr="00067B7A">
        <w:t>-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064F78" w:rsidRPr="00911AA5" w:rsidRDefault="00064F78" w:rsidP="00064F78">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064F78" w:rsidRPr="00235DC2" w:rsidRDefault="00064F78" w:rsidP="00064F78">
      <w:pPr>
        <w:pStyle w:val="Prrafodelista"/>
        <w:numPr>
          <w:ilvl w:val="0"/>
          <w:numId w:val="11"/>
        </w:numPr>
        <w:spacing w:before="120" w:after="120" w:line="312" w:lineRule="auto"/>
        <w:ind w:right="-24"/>
        <w:contextualSpacing w:val="0"/>
        <w:jc w:val="both"/>
      </w:pPr>
      <w:r w:rsidRPr="00235DC2">
        <w:t>Se recomienda que en el caso de que no hubiera información que publicar, se señale expresamente esta circunstancia.</w:t>
      </w:r>
    </w:p>
    <w:p w:rsidR="00121C30" w:rsidRDefault="00BE5A57" w:rsidP="007B398B">
      <w:pPr>
        <w:spacing w:before="120" w:after="120" w:line="312" w:lineRule="auto"/>
        <w:jc w:val="right"/>
      </w:pPr>
      <w:r>
        <w:t>Madrid, abril de 2021</w:t>
      </w:r>
      <w:r w:rsidR="00121C30">
        <w:br w:type="page"/>
      </w:r>
    </w:p>
    <w:p w:rsidR="00121C30" w:rsidRPr="00121C30" w:rsidRDefault="006F1E83"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4A4749">
      <w:headerReference w:type="even" r:id="rId14"/>
      <w:headerReference w:type="default" r:id="rId15"/>
      <w:footerReference w:type="even" r:id="rId16"/>
      <w:footerReference w:type="default" r:id="rId17"/>
      <w:headerReference w:type="first" r:id="rId18"/>
      <w:footerReference w:type="first" r:id="rId19"/>
      <w:pgSz w:w="11906" w:h="16838"/>
      <w:pgMar w:top="1134"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C1" w:rsidRDefault="00192AC1" w:rsidP="00932008">
      <w:pPr>
        <w:spacing w:after="0" w:line="240" w:lineRule="auto"/>
      </w:pPr>
      <w:r>
        <w:separator/>
      </w:r>
    </w:p>
  </w:endnote>
  <w:endnote w:type="continuationSeparator" w:id="0">
    <w:p w:rsidR="00192AC1" w:rsidRDefault="00192AC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C1" w:rsidRDefault="00192AC1" w:rsidP="00932008">
      <w:pPr>
        <w:spacing w:after="0" w:line="240" w:lineRule="auto"/>
      </w:pPr>
      <w:r>
        <w:separator/>
      </w:r>
    </w:p>
  </w:footnote>
  <w:footnote w:type="continuationSeparator" w:id="0">
    <w:p w:rsidR="00192AC1" w:rsidRDefault="00192AC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8B" w:rsidRDefault="007B39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9pt;height:9pt" o:bullet="t">
        <v:imagedata r:id="rId1" o:title="BD14533_"/>
      </v:shape>
    </w:pict>
  </w:numPicBullet>
  <w:abstractNum w:abstractNumId="0">
    <w:nsid w:val="09496516"/>
    <w:multiLevelType w:val="hybridMultilevel"/>
    <w:tmpl w:val="938274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2"/>
  </w:num>
  <w:num w:numId="5">
    <w:abstractNumId w:val="7"/>
  </w:num>
  <w:num w:numId="6">
    <w:abstractNumId w:val="2"/>
  </w:num>
  <w:num w:numId="7">
    <w:abstractNumId w:val="3"/>
  </w:num>
  <w:num w:numId="8">
    <w:abstractNumId w:val="10"/>
  </w:num>
  <w:num w:numId="9">
    <w:abstractNumId w:val="5"/>
  </w:num>
  <w:num w:numId="10">
    <w:abstractNumId w:val="4"/>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14C"/>
    <w:rsid w:val="00007D01"/>
    <w:rsid w:val="0001216D"/>
    <w:rsid w:val="000262A3"/>
    <w:rsid w:val="00045308"/>
    <w:rsid w:val="00064F78"/>
    <w:rsid w:val="0006666A"/>
    <w:rsid w:val="000965B3"/>
    <w:rsid w:val="000A5298"/>
    <w:rsid w:val="000C6CFF"/>
    <w:rsid w:val="000E3AFF"/>
    <w:rsid w:val="00102733"/>
    <w:rsid w:val="00121C30"/>
    <w:rsid w:val="001479A5"/>
    <w:rsid w:val="001561A4"/>
    <w:rsid w:val="001608E7"/>
    <w:rsid w:val="00192AC1"/>
    <w:rsid w:val="001C0E45"/>
    <w:rsid w:val="00266942"/>
    <w:rsid w:val="00267B2D"/>
    <w:rsid w:val="002A0E41"/>
    <w:rsid w:val="002A154B"/>
    <w:rsid w:val="002A3BD9"/>
    <w:rsid w:val="002D0212"/>
    <w:rsid w:val="002F6E9B"/>
    <w:rsid w:val="00316B14"/>
    <w:rsid w:val="003725E2"/>
    <w:rsid w:val="003E5B0A"/>
    <w:rsid w:val="003F271E"/>
    <w:rsid w:val="003F572A"/>
    <w:rsid w:val="00406565"/>
    <w:rsid w:val="004A4749"/>
    <w:rsid w:val="004D07D9"/>
    <w:rsid w:val="004F2655"/>
    <w:rsid w:val="00502000"/>
    <w:rsid w:val="00521DA9"/>
    <w:rsid w:val="00544E0C"/>
    <w:rsid w:val="0056132B"/>
    <w:rsid w:val="00561402"/>
    <w:rsid w:val="00566F32"/>
    <w:rsid w:val="0057532F"/>
    <w:rsid w:val="0059403F"/>
    <w:rsid w:val="005B13BD"/>
    <w:rsid w:val="005B6CF5"/>
    <w:rsid w:val="005F29B8"/>
    <w:rsid w:val="00670630"/>
    <w:rsid w:val="006A2766"/>
    <w:rsid w:val="006C60D8"/>
    <w:rsid w:val="006C7D73"/>
    <w:rsid w:val="006F1BF3"/>
    <w:rsid w:val="006F1E83"/>
    <w:rsid w:val="00710031"/>
    <w:rsid w:val="00743756"/>
    <w:rsid w:val="00760E24"/>
    <w:rsid w:val="00793F02"/>
    <w:rsid w:val="007A559A"/>
    <w:rsid w:val="007B0F99"/>
    <w:rsid w:val="007B398B"/>
    <w:rsid w:val="007E033E"/>
    <w:rsid w:val="007E460B"/>
    <w:rsid w:val="007E4A4B"/>
    <w:rsid w:val="008044FF"/>
    <w:rsid w:val="00825695"/>
    <w:rsid w:val="00843911"/>
    <w:rsid w:val="00844FA9"/>
    <w:rsid w:val="008C0882"/>
    <w:rsid w:val="008C1E1E"/>
    <w:rsid w:val="00932008"/>
    <w:rsid w:val="00952223"/>
    <w:rsid w:val="009609E9"/>
    <w:rsid w:val="009A1165"/>
    <w:rsid w:val="009C167E"/>
    <w:rsid w:val="009E1D68"/>
    <w:rsid w:val="00A4578D"/>
    <w:rsid w:val="00A71CF3"/>
    <w:rsid w:val="00A8146B"/>
    <w:rsid w:val="00AA477B"/>
    <w:rsid w:val="00AD2022"/>
    <w:rsid w:val="00AF6C05"/>
    <w:rsid w:val="00B2356C"/>
    <w:rsid w:val="00B400A7"/>
    <w:rsid w:val="00B40246"/>
    <w:rsid w:val="00B841AE"/>
    <w:rsid w:val="00BB6799"/>
    <w:rsid w:val="00BD4582"/>
    <w:rsid w:val="00BE5A57"/>
    <w:rsid w:val="00BE6A46"/>
    <w:rsid w:val="00C33A23"/>
    <w:rsid w:val="00C366BA"/>
    <w:rsid w:val="00C43711"/>
    <w:rsid w:val="00C5744D"/>
    <w:rsid w:val="00C924FE"/>
    <w:rsid w:val="00CA7C2B"/>
    <w:rsid w:val="00CB5511"/>
    <w:rsid w:val="00CC2049"/>
    <w:rsid w:val="00D01769"/>
    <w:rsid w:val="00D074AD"/>
    <w:rsid w:val="00D96F84"/>
    <w:rsid w:val="00DD58B3"/>
    <w:rsid w:val="00DF63E7"/>
    <w:rsid w:val="00E3088D"/>
    <w:rsid w:val="00E3346D"/>
    <w:rsid w:val="00E34195"/>
    <w:rsid w:val="00E413AC"/>
    <w:rsid w:val="00E47613"/>
    <w:rsid w:val="00E72398"/>
    <w:rsid w:val="00EE725E"/>
    <w:rsid w:val="00F14DA4"/>
    <w:rsid w:val="00F37CBB"/>
    <w:rsid w:val="00F47C3B"/>
    <w:rsid w:val="00F71D7D"/>
    <w:rsid w:val="00F86BF2"/>
    <w:rsid w:val="00F9711F"/>
    <w:rsid w:val="00FA558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styleId="Textoennegrita">
    <w:name w:val="Strong"/>
    <w:basedOn w:val="Fuentedeprrafopredeter"/>
    <w:uiPriority w:val="22"/>
    <w:qFormat/>
    <w:rsid w:val="00793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styleId="Textoennegrita">
    <w:name w:val="Strong"/>
    <w:basedOn w:val="Fuentedeprrafopredeter"/>
    <w:uiPriority w:val="22"/>
    <w:qFormat/>
    <w:rsid w:val="00793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fundacionico.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85129"/>
    <w:rsid w:val="0013771E"/>
    <w:rsid w:val="00370EED"/>
    <w:rsid w:val="003D088C"/>
    <w:rsid w:val="003F636C"/>
    <w:rsid w:val="005A22AE"/>
    <w:rsid w:val="00997D56"/>
    <w:rsid w:val="00AA7B52"/>
    <w:rsid w:val="00BD5F3D"/>
    <w:rsid w:val="00BF2C04"/>
    <w:rsid w:val="00D35513"/>
    <w:rsid w:val="00DC084A"/>
    <w:rsid w:val="00EA77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116962D-8831-4D9D-A723-5122F52C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2716</Words>
  <Characters>14941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2021-08-17T11:48:00Z</dcterms:created>
  <dcterms:modified xsi:type="dcterms:W3CDTF">2021-08-17T11:48:00Z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