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A8380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282EE" wp14:editId="3155B562">
                <wp:simplePos x="0" y="0"/>
                <wp:positionH relativeFrom="column">
                  <wp:posOffset>352425</wp:posOffset>
                </wp:positionH>
                <wp:positionV relativeFrom="paragraph">
                  <wp:posOffset>119380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Content>
                              <w:p w:rsidR="005D042E" w:rsidRPr="00006957" w:rsidRDefault="005D042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9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z2kb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3F5239" w:rsidRPr="00006957" w:rsidRDefault="003F523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96F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42E" w:rsidRDefault="005D042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F5239" w:rsidRDefault="003F523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597"/>
      </w:tblGrid>
      <w:tr w:rsidR="000C6CFF" w:rsidRPr="00CB5511" w:rsidTr="00B804F3">
        <w:tc>
          <w:tcPr>
            <w:tcW w:w="3085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7597" w:type="dxa"/>
          </w:tcPr>
          <w:p w:rsidR="000C6CFF" w:rsidRPr="00A8668E" w:rsidRDefault="006A390C" w:rsidP="002A72B0">
            <w:r>
              <w:t>Imprenta de Billetes, S.A.</w:t>
            </w:r>
            <w:r w:rsidR="0076064A">
              <w:t xml:space="preserve"> </w:t>
            </w:r>
            <w:r>
              <w:t>(Imbisa)</w:t>
            </w:r>
            <w:r w:rsidR="002A72B0">
              <w:t xml:space="preserve">. Medio propio (M.P.) del Banco de España </w:t>
            </w:r>
          </w:p>
        </w:tc>
      </w:tr>
      <w:tr w:rsidR="000C6CFF" w:rsidRPr="00CB5511" w:rsidTr="00B804F3">
        <w:tc>
          <w:tcPr>
            <w:tcW w:w="3085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7597" w:type="dxa"/>
          </w:tcPr>
          <w:p w:rsidR="000C6CFF" w:rsidRPr="00A8668E" w:rsidRDefault="00D20453">
            <w:r w:rsidRPr="00A8668E">
              <w:t>5 de abril de 2021</w:t>
            </w:r>
          </w:p>
        </w:tc>
      </w:tr>
      <w:tr w:rsidR="000C6CFF" w:rsidRPr="00CB5511" w:rsidTr="00B804F3">
        <w:tc>
          <w:tcPr>
            <w:tcW w:w="3085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7597" w:type="dxa"/>
          </w:tcPr>
          <w:p w:rsidR="006A390C" w:rsidRPr="00CB5511" w:rsidRDefault="005D042E" w:rsidP="006A390C">
            <w:pPr>
              <w:rPr>
                <w:sz w:val="24"/>
                <w:szCs w:val="24"/>
              </w:rPr>
            </w:pPr>
            <w:hyperlink r:id="rId12" w:history="1">
              <w:r w:rsidR="006A390C" w:rsidRPr="00382B0D">
                <w:rPr>
                  <w:rStyle w:val="Hipervnculo"/>
                </w:rPr>
                <w:t>https://www.imprentadebilletes.es/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3F0D0D">
        <w:tc>
          <w:tcPr>
            <w:tcW w:w="1760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3F0D0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13C3" w:rsidRPr="004A123A" w:rsidTr="000D1327">
        <w:tc>
          <w:tcPr>
            <w:tcW w:w="1760" w:type="dxa"/>
          </w:tcPr>
          <w:p w:rsidR="003613C3" w:rsidRPr="00F14DA4" w:rsidRDefault="003613C3" w:rsidP="000D1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3613C3" w:rsidRPr="00F14DA4" w:rsidRDefault="003613C3" w:rsidP="000D1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del sector público</w:t>
            </w:r>
          </w:p>
        </w:tc>
        <w:tc>
          <w:tcPr>
            <w:tcW w:w="709" w:type="dxa"/>
            <w:vAlign w:val="center"/>
          </w:tcPr>
          <w:p w:rsidR="003613C3" w:rsidRPr="004A123A" w:rsidRDefault="003613C3" w:rsidP="000D13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61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3613C3">
              <w:rPr>
                <w:sz w:val="20"/>
                <w:szCs w:val="20"/>
              </w:rPr>
              <w:t>h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61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3613C3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3F0D0D">
        <w:tc>
          <w:tcPr>
            <w:tcW w:w="1760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3F0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3F0D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082E36" w:rsidRDefault="00082E36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Modificaciones</w:t>
            </w:r>
            <w:r w:rsidR="00AB3949">
              <w:rPr>
                <w:sz w:val="20"/>
                <w:szCs w:val="20"/>
              </w:rPr>
              <w:t xml:space="preserve"> </w:t>
            </w:r>
            <w:r w:rsidRPr="0057532F">
              <w:rPr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5B608D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924073" w:rsidRDefault="00AD2022" w:rsidP="00743756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924073" w:rsidRDefault="005B6CF5" w:rsidP="0057532F">
            <w:pPr>
              <w:rPr>
                <w:sz w:val="20"/>
                <w:szCs w:val="20"/>
              </w:rPr>
            </w:pPr>
            <w:r w:rsidRPr="0092407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056F6C" w:rsidRDefault="00AD2022" w:rsidP="0057532F">
            <w:pPr>
              <w:rPr>
                <w:color w:val="FF0000"/>
                <w:sz w:val="20"/>
                <w:szCs w:val="20"/>
              </w:rPr>
            </w:pPr>
            <w:r w:rsidRPr="00056F6C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44E0C" w:rsidRPr="00924073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44E0C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924073" w:rsidP="005B6CF5">
            <w:pPr>
              <w:jc w:val="center"/>
            </w:pPr>
            <w:r w:rsidRPr="00924073">
              <w:rPr>
                <w:b/>
              </w:rPr>
              <w:t>x</w:t>
            </w: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CC451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CE51A5" w:rsidRDefault="00CE51A5">
      <w:pPr>
        <w:rPr>
          <w:b/>
          <w:color w:val="00642D"/>
          <w:sz w:val="30"/>
          <w:szCs w:val="30"/>
        </w:rPr>
      </w:pPr>
    </w:p>
    <w:p w:rsidR="00CE51A5" w:rsidRDefault="00CE51A5">
      <w:pPr>
        <w:rPr>
          <w:b/>
          <w:color w:val="00642D"/>
          <w:sz w:val="30"/>
          <w:szCs w:val="30"/>
        </w:rPr>
      </w:pPr>
      <w:r>
        <w:rPr>
          <w:b/>
          <w:color w:val="00642D"/>
          <w:sz w:val="30"/>
          <w:szCs w:val="30"/>
        </w:rPr>
        <w:br w:type="page"/>
      </w:r>
    </w:p>
    <w:p w:rsidR="00BB6799" w:rsidRDefault="00BB6799">
      <w:pPr>
        <w:rPr>
          <w:b/>
          <w:color w:val="00642D"/>
          <w:sz w:val="30"/>
          <w:szCs w:val="30"/>
        </w:rPr>
      </w:pPr>
    </w:p>
    <w:p w:rsidR="00B40246" w:rsidRPr="00E34195" w:rsidRDefault="005D042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6A390C" w:rsidP="0035609D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 con un enlace de “Transparencia” dentro del acceso “quiénes somos” de su p</w:t>
            </w:r>
            <w:r w:rsidR="0035609D">
              <w:rPr>
                <w:sz w:val="20"/>
                <w:szCs w:val="20"/>
              </w:rPr>
              <w:t>ág</w:t>
            </w:r>
            <w:r>
              <w:rPr>
                <w:sz w:val="20"/>
                <w:szCs w:val="20"/>
              </w:rPr>
              <w:t>ina home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6A390C" w:rsidRDefault="006A390C" w:rsidP="00CB5511">
            <w:pPr>
              <w:jc w:val="center"/>
              <w:rPr>
                <w:sz w:val="24"/>
                <w:szCs w:val="24"/>
              </w:rPr>
            </w:pPr>
            <w:r w:rsidRPr="006A390C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6A390C" w:rsidRDefault="006A390C" w:rsidP="00CB5511">
            <w:pPr>
              <w:jc w:val="center"/>
              <w:rPr>
                <w:sz w:val="24"/>
                <w:szCs w:val="24"/>
              </w:rPr>
            </w:pPr>
            <w:r w:rsidRPr="006A390C">
              <w:rPr>
                <w:sz w:val="24"/>
                <w:szCs w:val="24"/>
              </w:rPr>
              <w:t>x</w:t>
            </w:r>
          </w:p>
        </w:tc>
        <w:tc>
          <w:tcPr>
            <w:tcW w:w="3977" w:type="dxa"/>
            <w:vMerge w:val="restart"/>
          </w:tcPr>
          <w:p w:rsidR="000E7845" w:rsidRPr="006A390C" w:rsidRDefault="0076064A" w:rsidP="006A390C">
            <w:pPr>
              <w:jc w:val="both"/>
              <w:rPr>
                <w:sz w:val="20"/>
                <w:szCs w:val="20"/>
              </w:rPr>
            </w:pPr>
            <w:r w:rsidRPr="006A390C">
              <w:rPr>
                <w:sz w:val="20"/>
                <w:szCs w:val="20"/>
              </w:rPr>
              <w:t xml:space="preserve">La información sujeta a obligaciones de </w:t>
            </w:r>
            <w:r w:rsidR="006A390C" w:rsidRPr="006A390C">
              <w:rPr>
                <w:sz w:val="20"/>
                <w:szCs w:val="20"/>
              </w:rPr>
              <w:t>publicidad</w:t>
            </w:r>
            <w:r w:rsidR="006A390C" w:rsidRPr="006A390C">
              <w:rPr>
                <w:b/>
                <w:sz w:val="20"/>
                <w:szCs w:val="20"/>
              </w:rPr>
              <w:t xml:space="preserve"> </w:t>
            </w:r>
            <w:r w:rsidR="006A390C" w:rsidRPr="006A390C">
              <w:rPr>
                <w:sz w:val="20"/>
                <w:szCs w:val="20"/>
              </w:rPr>
              <w:t>activa se organiza en tres grandes apartados:</w:t>
            </w:r>
            <w:r w:rsidR="006A390C" w:rsidRPr="006A390C">
              <w:rPr>
                <w:b/>
                <w:sz w:val="20"/>
                <w:szCs w:val="20"/>
              </w:rPr>
              <w:t xml:space="preserve"> </w:t>
            </w:r>
            <w:r w:rsidR="006A390C" w:rsidRPr="006A390C">
              <w:rPr>
                <w:rStyle w:val="Textoennegrita"/>
                <w:b w:val="0"/>
                <w:sz w:val="20"/>
                <w:szCs w:val="20"/>
              </w:rPr>
              <w:t>Información institucional, organizativa y de planificación, Información económica, presupuestaria y estadística e Información de relevancia jurídica</w:t>
            </w:r>
            <w:r w:rsidR="006A390C">
              <w:rPr>
                <w:rStyle w:val="Textoennegrita"/>
                <w:b w:val="0"/>
                <w:sz w:val="20"/>
                <w:szCs w:val="20"/>
              </w:rPr>
              <w:t>. Además, cuenta con un enlace específico “solicitud acceso” que informa sobre este trámite.</w:t>
            </w:r>
            <w:r w:rsidR="00885012">
              <w:rPr>
                <w:rStyle w:val="Textoennegrita"/>
                <w:b w:val="0"/>
                <w:sz w:val="20"/>
                <w:szCs w:val="20"/>
              </w:rPr>
              <w:t xml:space="preserve"> 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4D2663" w:rsidRDefault="004D2663" w:rsidP="00E87BB6">
      <w:pPr>
        <w:jc w:val="center"/>
      </w:pPr>
      <w:r>
        <w:br w:type="textWrapping" w:clear="all"/>
      </w:r>
      <w:r w:rsidR="006A390C">
        <w:rPr>
          <w:noProof/>
        </w:rPr>
        <w:drawing>
          <wp:inline distT="0" distB="0" distL="0" distR="0" wp14:anchorId="54D405BD" wp14:editId="64ED08BD">
            <wp:extent cx="5841580" cy="3181507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966" r="1306" b="7270"/>
                    <a:stretch/>
                  </pic:blipFill>
                  <pic:spPr bwMode="auto">
                    <a:xfrm>
                      <a:off x="0" y="0"/>
                      <a:ext cx="5838576" cy="3179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402" w:rsidRDefault="00561402" w:rsidP="004D2663">
      <w:pPr>
        <w:jc w:val="center"/>
      </w:pPr>
    </w:p>
    <w:p w:rsidR="004D2663" w:rsidRDefault="004D2663"/>
    <w:p w:rsidR="00414283" w:rsidRDefault="00414283"/>
    <w:p w:rsidR="003C708A" w:rsidRDefault="003C708A">
      <w:r>
        <w:br w:type="page"/>
      </w:r>
    </w:p>
    <w:p w:rsidR="00414283" w:rsidRDefault="00414283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A10261">
        <w:trPr>
          <w:trHeight w:val="2168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C05F6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F35C8" w:rsidRDefault="00B22FFA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B22FF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A72B0" w:rsidRDefault="002A72B0" w:rsidP="0076064A">
            <w:pPr>
              <w:pStyle w:val="Cuerpodelboletn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 de la normativa que le resulta de aplicación se localiza al margen de acceso de Transparencia en el del apartado</w:t>
            </w:r>
            <w:r w:rsidR="008850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“Normativa y políticas” de la barra superior de su página home. </w:t>
            </w:r>
          </w:p>
          <w:p w:rsidR="00E34195" w:rsidRDefault="00B22FFA" w:rsidP="0076064A">
            <w:pPr>
              <w:pStyle w:val="Cuerpodelboletn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EE2812">
              <w:rPr>
                <w:sz w:val="20"/>
                <w:szCs w:val="20"/>
              </w:rPr>
              <w:t xml:space="preserve">existen referencias a la última vez que se revisó o actualizó </w:t>
            </w:r>
            <w:r>
              <w:rPr>
                <w:sz w:val="20"/>
                <w:szCs w:val="20"/>
              </w:rPr>
              <w:t>esta</w:t>
            </w:r>
            <w:r w:rsidRPr="00EE2812">
              <w:rPr>
                <w:sz w:val="20"/>
                <w:szCs w:val="20"/>
              </w:rPr>
              <w:t xml:space="preserve"> información.</w:t>
            </w:r>
          </w:p>
          <w:p w:rsidR="00B22FFA" w:rsidRPr="000E7845" w:rsidRDefault="00B22FFA" w:rsidP="00B22FFA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22FFA">
              <w:rPr>
                <w:sz w:val="20"/>
                <w:szCs w:val="20"/>
              </w:rPr>
              <w:t xml:space="preserve">Los Estatutos se ofrecen en pdf de imagen.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43886" w:rsidRDefault="00C30AE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743886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2FFA" w:rsidRDefault="00B22FFA" w:rsidP="00B22FFA">
            <w:pPr>
              <w:pStyle w:val="Cuerpodelboletn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información se localiza al margen de acceso de Transparencia en el enlace “Origen” del apartado</w:t>
            </w:r>
            <w:r w:rsidR="008850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“Quiénes somos” o bien acudiendo a sus Estatutos.</w:t>
            </w:r>
          </w:p>
          <w:p w:rsidR="00E34195" w:rsidRPr="00C30AE1" w:rsidRDefault="00E16221" w:rsidP="00B22FFA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EE2812">
              <w:rPr>
                <w:sz w:val="20"/>
                <w:szCs w:val="20"/>
              </w:rPr>
              <w:t xml:space="preserve">existen referencias a la última vez que se revisó o actualizó </w:t>
            </w:r>
            <w:r>
              <w:rPr>
                <w:sz w:val="20"/>
                <w:szCs w:val="20"/>
              </w:rPr>
              <w:t>esta</w:t>
            </w:r>
            <w:r w:rsidRPr="00EE2812">
              <w:rPr>
                <w:sz w:val="20"/>
                <w:szCs w:val="20"/>
              </w:rPr>
              <w:t xml:space="preserve"> información.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97B1E" w:rsidRDefault="00DF077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82848" w:rsidRPr="00282848" w:rsidRDefault="00600638" w:rsidP="0076064A">
            <w:pPr>
              <w:pStyle w:val="Cuerpodelboletn"/>
              <w:spacing w:before="120" w:after="120"/>
              <w:rPr>
                <w:sz w:val="20"/>
                <w:szCs w:val="20"/>
              </w:rPr>
            </w:pPr>
            <w:r w:rsidRPr="00282848">
              <w:rPr>
                <w:sz w:val="20"/>
                <w:szCs w:val="20"/>
              </w:rPr>
              <w:t>Esta información también se localiza al margen de acceso de Transparencia en el enlace “Organización” del apartado</w:t>
            </w:r>
            <w:r w:rsidR="00885012">
              <w:rPr>
                <w:sz w:val="20"/>
                <w:szCs w:val="20"/>
              </w:rPr>
              <w:t xml:space="preserve"> </w:t>
            </w:r>
            <w:r w:rsidRPr="00282848">
              <w:rPr>
                <w:sz w:val="20"/>
                <w:szCs w:val="20"/>
              </w:rPr>
              <w:t>“Quiénes somos” (dentro del acceso de Transparencia en el</w:t>
            </w:r>
            <w:r w:rsidRPr="0028284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enlace funciones y estructura organizativa </w:t>
            </w:r>
            <w:r w:rsidR="00282848" w:rsidRPr="0028284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únicamente </w:t>
            </w:r>
            <w:r w:rsidRPr="0028284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local</w:t>
            </w:r>
            <w:r w:rsidR="00282848" w:rsidRPr="0028284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iza el organigrama)</w:t>
            </w:r>
            <w:r w:rsidR="0028284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82848" w:rsidRPr="0028284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8284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="00282848" w:rsidRPr="0028284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 mencionan los órganos de gobierno de Imbisa: </w:t>
            </w:r>
            <w:r w:rsidR="00282848" w:rsidRPr="00282848">
              <w:rPr>
                <w:sz w:val="20"/>
                <w:szCs w:val="20"/>
              </w:rPr>
              <w:t xml:space="preserve">Junta General de Accionistas y las direcciones generales y de operaciones. </w:t>
            </w:r>
          </w:p>
          <w:p w:rsidR="00E34195" w:rsidRPr="00B932E4" w:rsidRDefault="00DF077D" w:rsidP="00282848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La información carece de fecha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22FFA" w:rsidRDefault="00B22FFA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B22FF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497B1E" w:rsidRDefault="00E34195" w:rsidP="00DF077D">
            <w:pPr>
              <w:pStyle w:val="Cuerpodelboletn"/>
              <w:spacing w:before="120" w:after="120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22FFA" w:rsidRDefault="003F0D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B22FFA">
              <w:rPr>
                <w:bCs/>
                <w:color w:val="auto"/>
                <w:sz w:val="24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A193C" w:rsidRDefault="00282848" w:rsidP="004A193C">
            <w:pPr>
              <w:pStyle w:val="Cuerpodelboletn"/>
              <w:spacing w:before="120" w:after="120"/>
              <w:rPr>
                <w:sz w:val="20"/>
                <w:szCs w:val="20"/>
              </w:rPr>
            </w:pPr>
            <w:r w:rsidRPr="00282848">
              <w:rPr>
                <w:sz w:val="20"/>
                <w:szCs w:val="20"/>
              </w:rPr>
              <w:t>Esta información también se localiza al margen de acceso de Transparencia en el enlace “Organización” del apartado</w:t>
            </w:r>
            <w:r w:rsidR="00885012">
              <w:rPr>
                <w:sz w:val="20"/>
                <w:szCs w:val="20"/>
              </w:rPr>
              <w:t xml:space="preserve"> </w:t>
            </w:r>
            <w:r w:rsidRPr="00282848">
              <w:rPr>
                <w:sz w:val="20"/>
                <w:szCs w:val="20"/>
              </w:rPr>
              <w:t>“Quiénes somos”</w:t>
            </w:r>
            <w:r>
              <w:rPr>
                <w:sz w:val="20"/>
                <w:szCs w:val="20"/>
              </w:rPr>
              <w:t>.</w:t>
            </w:r>
          </w:p>
          <w:p w:rsidR="00282848" w:rsidRPr="004A193C" w:rsidRDefault="00282848" w:rsidP="00282848">
            <w:pPr>
              <w:pStyle w:val="Cuerpodelboletn"/>
              <w:spacing w:before="120" w:after="120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La información carece de fecha.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232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232D" w:rsidRDefault="00DF077D" w:rsidP="00320444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AA607B" w:rsidRDefault="00AA607B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AA607B" w:rsidRDefault="00AA607B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50D13" w:rsidRDefault="00C50D13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26F39" w:rsidRDefault="00326F39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3845A" wp14:editId="70994E5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2E" w:rsidRDefault="005D042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D042E" w:rsidRPr="003E31AC" w:rsidRDefault="005D042E" w:rsidP="00ED4A1F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F206C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3E31AC">
                              <w:rPr>
                                <w:sz w:val="20"/>
                                <w:szCs w:val="20"/>
                              </w:rPr>
                              <w:t xml:space="preserve"> información publicada no recoge la totalidad de los contenidos obligatorios establecidos en el artículo 6 de la LTAIBG.</w:t>
                            </w:r>
                          </w:p>
                          <w:p w:rsidR="005D042E" w:rsidRPr="00282848" w:rsidRDefault="005D042E" w:rsidP="00DF077D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312" w:lineRule="auto"/>
                              <w:ind w:hanging="229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82848">
                              <w:rPr>
                                <w:sz w:val="20"/>
                                <w:szCs w:val="20"/>
                              </w:rPr>
                              <w:t xml:space="preserve">No se informa sobre toda su estructura organizativa (obligación distinta e independiente de la obligación de publicar su organigrama): se trata de que describa cómo se organiza la entidad la división funcional del sujeto en órganos, unidades y departamentos, de la organización u ordenación de los mismos (órganos, unidades o departamentos). Sólo se describen sus órganos de gobierno </w:t>
                            </w:r>
                          </w:p>
                          <w:p w:rsidR="005D042E" w:rsidRPr="00212589" w:rsidRDefault="005D042E" w:rsidP="00ED4A1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2125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 w:rsidRPr="00212589">
                              <w:rPr>
                                <w:sz w:val="20"/>
                                <w:szCs w:val="20"/>
                              </w:rPr>
                              <w:t>informa sobre el perfil y trayectoria profesional 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los responsables de la sociedad. </w:t>
                            </w:r>
                          </w:p>
                          <w:p w:rsidR="005D042E" w:rsidRPr="00212589" w:rsidRDefault="005D042E" w:rsidP="00212589">
                            <w:pPr>
                              <w:spacing w:before="120" w:after="120" w:line="312" w:lineRule="auto"/>
                              <w:ind w:left="72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212589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D042E" w:rsidRDefault="005D042E" w:rsidP="006A6E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ind w:left="1135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90450D">
                              <w:rPr>
                                <w:sz w:val="20"/>
                                <w:szCs w:val="20"/>
                              </w:rPr>
                              <w:t xml:space="preserve">información no está datada o carece de referencias a la última vez que se revisó o actualizó. </w:t>
                            </w:r>
                          </w:p>
                          <w:p w:rsidR="005D042E" w:rsidRDefault="005D042E" w:rsidP="006A6E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ind w:left="1135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Los estatutos se ofrecen en un pdf de imagen (no reutilizable)</w:t>
                            </w:r>
                          </w:p>
                          <w:p w:rsidR="005D042E" w:rsidRDefault="005D042E" w:rsidP="006A6E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ind w:left="1135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82848">
                              <w:rPr>
                                <w:sz w:val="20"/>
                                <w:szCs w:val="20"/>
                              </w:rPr>
                              <w:t xml:space="preserve">Parte de la información de este bloque se localiza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282848">
                              <w:rPr>
                                <w:sz w:val="20"/>
                                <w:szCs w:val="20"/>
                              </w:rPr>
                              <w:t>l margen del acceso específico de Transparencia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 no enlaza con este acceso.</w:t>
                            </w:r>
                            <w:r w:rsidRPr="002828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F5239" w:rsidRDefault="003F5239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F5239" w:rsidRPr="003E31AC" w:rsidRDefault="003F5239" w:rsidP="00ED4A1F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F206C">
                        <w:rPr>
                          <w:sz w:val="20"/>
                          <w:szCs w:val="20"/>
                        </w:rPr>
                        <w:t>La</w:t>
                      </w:r>
                      <w:r w:rsidRPr="003E31AC">
                        <w:rPr>
                          <w:sz w:val="20"/>
                          <w:szCs w:val="20"/>
                        </w:rPr>
                        <w:t xml:space="preserve"> información publicada no recoge la totalidad de los contenidos obligatorios establecidos en el artículo 6 de la LTAIBG.</w:t>
                      </w:r>
                    </w:p>
                    <w:p w:rsidR="003F5239" w:rsidRPr="00282848" w:rsidRDefault="003F5239" w:rsidP="00DF077D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312" w:lineRule="auto"/>
                        <w:ind w:hanging="229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82848">
                        <w:rPr>
                          <w:sz w:val="20"/>
                          <w:szCs w:val="20"/>
                        </w:rPr>
                        <w:t xml:space="preserve">No se informa sobre toda su estructura organizativa (obligación distinta e independiente de la obligación de publicar su organigrama): se trata de que describa cómo se organiza la entidad la división funcional del sujeto en órganos, unidades y departamentos, de la organización u ordenación de los mismos (órganos, unidades o departamentos). Sólo se describen sus órganos de gobierno </w:t>
                      </w:r>
                    </w:p>
                    <w:p w:rsidR="003F5239" w:rsidRPr="00212589" w:rsidRDefault="003F5239" w:rsidP="00ED4A1F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b/>
                          <w:color w:val="00642D"/>
                        </w:rPr>
                      </w:pPr>
                      <w:r w:rsidRPr="0021258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No se </w:t>
                      </w:r>
                      <w:r w:rsidRPr="00212589">
                        <w:rPr>
                          <w:sz w:val="20"/>
                          <w:szCs w:val="20"/>
                        </w:rPr>
                        <w:t>informa sobre el perfil y trayectoria profesional de</w:t>
                      </w:r>
                      <w:r>
                        <w:rPr>
                          <w:sz w:val="20"/>
                          <w:szCs w:val="20"/>
                        </w:rPr>
                        <w:t xml:space="preserve"> los responsables de la sociedad. </w:t>
                      </w:r>
                    </w:p>
                    <w:p w:rsidR="003F5239" w:rsidRPr="00212589" w:rsidRDefault="003F5239" w:rsidP="00212589">
                      <w:pPr>
                        <w:spacing w:before="120" w:after="120" w:line="312" w:lineRule="auto"/>
                        <w:ind w:left="720"/>
                        <w:jc w:val="both"/>
                        <w:rPr>
                          <w:b/>
                          <w:color w:val="00642D"/>
                        </w:rPr>
                      </w:pPr>
                      <w:r w:rsidRPr="00212589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F5239" w:rsidRDefault="003F5239" w:rsidP="006A6E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ind w:left="1135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90450D">
                        <w:rPr>
                          <w:sz w:val="20"/>
                          <w:szCs w:val="20"/>
                        </w:rPr>
                        <w:t xml:space="preserve">información no está datada o carece de referencias a la última vez que se revisó o actualizó. </w:t>
                      </w:r>
                    </w:p>
                    <w:p w:rsidR="003F5239" w:rsidRDefault="003F5239" w:rsidP="006A6E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ind w:left="1135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Los estatutos se ofrecen en un pdf de imagen (no reutilizable)</w:t>
                      </w:r>
                    </w:p>
                    <w:p w:rsidR="003F5239" w:rsidRDefault="003F5239" w:rsidP="006A6E6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ind w:left="1135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282848">
                        <w:rPr>
                          <w:sz w:val="20"/>
                          <w:szCs w:val="20"/>
                        </w:rPr>
                        <w:t xml:space="preserve">Parte de la información de este bloque se localiza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282848">
                        <w:rPr>
                          <w:sz w:val="20"/>
                          <w:szCs w:val="20"/>
                        </w:rPr>
                        <w:t>l margen del acceso específico de Transparencia</w:t>
                      </w:r>
                      <w:r>
                        <w:rPr>
                          <w:sz w:val="20"/>
                          <w:szCs w:val="20"/>
                        </w:rPr>
                        <w:t xml:space="preserve"> y no enlaza con este acceso.</w:t>
                      </w:r>
                      <w:r w:rsidRPr="0028284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7444C5" w:rsidRDefault="007444C5">
      <w:pPr>
        <w:rPr>
          <w:rStyle w:val="Ttulo2Car"/>
          <w:lang w:bidi="es-ES"/>
        </w:rPr>
      </w:pPr>
    </w:p>
    <w:p w:rsidR="00326F39" w:rsidRDefault="00326F39">
      <w:pPr>
        <w:rPr>
          <w:rStyle w:val="Ttulo2Car"/>
          <w:lang w:bidi="es-ES"/>
        </w:rPr>
      </w:pPr>
    </w:p>
    <w:p w:rsidR="00326F39" w:rsidRDefault="00326F39">
      <w:pPr>
        <w:rPr>
          <w:rStyle w:val="Ttulo2Car"/>
          <w:lang w:bidi="es-ES"/>
        </w:rPr>
      </w:pPr>
    </w:p>
    <w:p w:rsidR="00326F39" w:rsidRDefault="00326F39">
      <w:pPr>
        <w:rPr>
          <w:rStyle w:val="Ttulo2Car"/>
          <w:lang w:bidi="es-ES"/>
        </w:rPr>
      </w:pPr>
    </w:p>
    <w:p w:rsidR="00326F39" w:rsidRDefault="00326F39">
      <w:pPr>
        <w:rPr>
          <w:rStyle w:val="Ttulo2Car"/>
          <w:lang w:bidi="es-ES"/>
        </w:rPr>
      </w:pPr>
    </w:p>
    <w:p w:rsidR="00326F39" w:rsidRDefault="00326F39">
      <w:pPr>
        <w:rPr>
          <w:rStyle w:val="Ttulo2Car"/>
          <w:lang w:bidi="es-ES"/>
        </w:rPr>
      </w:pPr>
    </w:p>
    <w:p w:rsidR="00326F39" w:rsidRDefault="00326F39">
      <w:pPr>
        <w:rPr>
          <w:rStyle w:val="Ttulo2Car"/>
          <w:lang w:bidi="es-ES"/>
        </w:rPr>
      </w:pPr>
    </w:p>
    <w:p w:rsidR="00ED4A1F" w:rsidRDefault="00ED4A1F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7444C5" w:rsidRDefault="007444C5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977"/>
        <w:gridCol w:w="567"/>
        <w:gridCol w:w="5329"/>
      </w:tblGrid>
      <w:tr w:rsidR="00C33A23" w:rsidRPr="00E34195" w:rsidTr="00D051A3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297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D051A3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B303B2" w:rsidRDefault="0035609D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4B2" w:rsidRDefault="006A24B2" w:rsidP="002A72B0">
            <w:pPr>
              <w:spacing w:before="120" w:after="1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33A23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B303B2" w:rsidRDefault="005D042E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91759F" w:rsidRDefault="00B303B2" w:rsidP="002A72B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D29E8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D29E8" w:rsidRPr="00E34195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6A2766" w:rsidRDefault="00AD29E8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D458C2" w:rsidRDefault="00D458C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D458C2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D29E8" w:rsidRPr="0091759F" w:rsidRDefault="00AD29E8" w:rsidP="002A72B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B608D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B608D" w:rsidRPr="00E34195" w:rsidRDefault="005B608D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B608D" w:rsidRDefault="005B608D" w:rsidP="005B608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F206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B608D" w:rsidRPr="00665CC1" w:rsidRDefault="005D042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B608D" w:rsidRPr="0091759F" w:rsidRDefault="005B608D" w:rsidP="005D042E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A505F1" w:rsidRPr="00CB5511" w:rsidTr="00D051A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505F1" w:rsidRPr="00E34195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6A2766" w:rsidRDefault="00A505F1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53AE3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7603B3" w:rsidRDefault="00A505F1" w:rsidP="0035609D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505F1" w:rsidRPr="00CB5511" w:rsidTr="00D051A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505F1" w:rsidRPr="00E34195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B5511" w:rsidRDefault="00A505F1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B5511" w:rsidRDefault="005D042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1C2A8B" w:rsidRDefault="005D042E" w:rsidP="002A72B0">
            <w:pPr>
              <w:pStyle w:val="Cuerpodelboletn"/>
              <w:spacing w:before="120"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No aplicable</w:t>
            </w:r>
          </w:p>
        </w:tc>
      </w:tr>
      <w:tr w:rsidR="00A505F1" w:rsidRPr="00CB5511" w:rsidTr="00D051A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B03DF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6855DB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9B5E47" w:rsidRDefault="000F7B82" w:rsidP="00B303B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EC2B5E">
              <w:rPr>
                <w:sz w:val="20"/>
                <w:szCs w:val="20"/>
              </w:rPr>
              <w:t>No se ha localizado información</w:t>
            </w:r>
          </w:p>
        </w:tc>
      </w:tr>
      <w:tr w:rsidR="00A505F1" w:rsidRPr="00CB5511" w:rsidTr="00E92927">
        <w:trPr>
          <w:trHeight w:val="1529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B303B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B5511" w:rsidRDefault="005D042E" w:rsidP="00F2251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9B5E47" w:rsidRDefault="00A505F1" w:rsidP="0035609D">
            <w:pPr>
              <w:spacing w:before="120" w:after="1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505F1" w:rsidRPr="00CB5511" w:rsidTr="00D051A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7D6373" w:rsidRDefault="007D637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2"/>
                <w:szCs w:val="22"/>
                <w:lang w:bidi="es-ES"/>
              </w:rPr>
            </w:pPr>
            <w:r w:rsidRPr="007D6373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6013A" w:rsidRDefault="005D042E" w:rsidP="008B3082">
            <w:pPr>
              <w:pStyle w:val="Cuerpodelboletn"/>
              <w:spacing w:before="120" w:after="120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E</w:t>
            </w:r>
            <w:r w:rsidR="007D6373">
              <w:rPr>
                <w:sz w:val="20"/>
                <w:szCs w:val="20"/>
              </w:rPr>
              <w:t xml:space="preserve">n </w:t>
            </w:r>
            <w:proofErr w:type="spellStart"/>
            <w:r w:rsidR="007D6373">
              <w:rPr>
                <w:sz w:val="20"/>
                <w:szCs w:val="20"/>
              </w:rPr>
              <w:t>pdf</w:t>
            </w:r>
            <w:proofErr w:type="spellEnd"/>
            <w:r w:rsidR="007D6373">
              <w:rPr>
                <w:sz w:val="20"/>
                <w:szCs w:val="20"/>
              </w:rPr>
              <w:t xml:space="preserve"> de imagen </w:t>
            </w:r>
          </w:p>
        </w:tc>
      </w:tr>
      <w:tr w:rsidR="00A505F1" w:rsidRPr="00CB5511" w:rsidTr="00E92927">
        <w:trPr>
          <w:trHeight w:val="1335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7D6373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 w:rsidRPr="007D6373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7D6373" w:rsidRDefault="007D637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 w:rsidRPr="007D6373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D6373" w:rsidRPr="007D596E" w:rsidRDefault="00553D6F" w:rsidP="00553D6F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Informe de auditoría con </w:t>
            </w:r>
            <w:r w:rsidR="007D6373" w:rsidRPr="007D596E">
              <w:rPr>
                <w:color w:val="000000"/>
                <w:sz w:val="20"/>
                <w:szCs w:val="20"/>
              </w:rPr>
              <w:t>las cuentas anuales en pdf de imagen</w:t>
            </w:r>
            <w:r w:rsidR="007D596E" w:rsidRPr="007D596E">
              <w:rPr>
                <w:color w:val="000000"/>
                <w:sz w:val="20"/>
                <w:szCs w:val="20"/>
              </w:rPr>
              <w:t xml:space="preserve">. </w:t>
            </w:r>
          </w:p>
          <w:p w:rsidR="00A505F1" w:rsidRPr="007D596E" w:rsidRDefault="00A505F1" w:rsidP="002A72B0">
            <w:pPr>
              <w:pStyle w:val="Cuerpodelboletn"/>
              <w:spacing w:before="120" w:after="120"/>
              <w:rPr>
                <w:sz w:val="20"/>
                <w:szCs w:val="20"/>
              </w:rPr>
            </w:pPr>
          </w:p>
        </w:tc>
      </w:tr>
      <w:tr w:rsidR="00A505F1" w:rsidRPr="00CB5511" w:rsidTr="00D051A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6013A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D9084F" w:rsidRDefault="007D6373" w:rsidP="0035609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highlight w:val="yellow"/>
                <w:lang w:bidi="es-ES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35609D">
              <w:rPr>
                <w:sz w:val="20"/>
                <w:szCs w:val="20"/>
              </w:rPr>
              <w:t xml:space="preserve">ha sido posible tener en cuenta la información que se ofrece, ya que </w:t>
            </w:r>
            <w:r>
              <w:rPr>
                <w:sz w:val="20"/>
                <w:szCs w:val="20"/>
              </w:rPr>
              <w:t>se refieren al año 2017</w:t>
            </w:r>
            <w:r w:rsidR="0035609D">
              <w:rPr>
                <w:sz w:val="20"/>
                <w:szCs w:val="20"/>
              </w:rPr>
              <w:t>.</w:t>
            </w:r>
          </w:p>
        </w:tc>
      </w:tr>
      <w:tr w:rsidR="00A505F1" w:rsidRPr="00CB5511" w:rsidTr="00C6013A">
        <w:trPr>
          <w:trHeight w:val="1607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Indemnizaciones percibidas por Altos Cargos o máximos responsables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247A45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D9084F" w:rsidRDefault="001918E8" w:rsidP="004E29A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505F1" w:rsidRPr="00CB5511" w:rsidTr="00E92927">
        <w:trPr>
          <w:trHeight w:val="195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Pr="00665CC1" w:rsidRDefault="00A505F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665CC1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econ</w:t>
            </w: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ómica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665CC1" w:rsidRDefault="00A505F1" w:rsidP="00E92927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CB5511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AD29E8" w:rsidRDefault="001509B5" w:rsidP="001509B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A505F1" w:rsidRPr="00CB5511" w:rsidTr="00D051A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505F1" w:rsidRPr="00665CC1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665CC1" w:rsidRDefault="00A505F1" w:rsidP="00665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65CC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247A45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05F1" w:rsidRPr="00AD29E8" w:rsidRDefault="00A505F1" w:rsidP="00A8668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AD29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</w:tbl>
    <w:p w:rsidR="002A0B95" w:rsidRDefault="002A0B9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2A0B95" w:rsidRDefault="002A0B9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8A37B5">
        <w:rPr>
          <w:rStyle w:val="Ttulo2Car"/>
          <w:color w:val="00642D"/>
          <w:lang w:bidi="es-ES"/>
        </w:rPr>
        <w:lastRenderedPageBreak/>
        <w:t xml:space="preserve">Análisis </w:t>
      </w:r>
      <w:r w:rsidRPr="00C33A23">
        <w:rPr>
          <w:rStyle w:val="Ttulo2Car"/>
          <w:color w:val="00642D"/>
          <w:lang w:bidi="es-ES"/>
        </w:rPr>
        <w:t xml:space="preserve">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40E2D" wp14:editId="58F0C7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2E" w:rsidRDefault="005D042E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D042E" w:rsidRPr="00C5053A" w:rsidRDefault="005D042E" w:rsidP="00C53A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>La información publicada no conte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mpla la totalidad de los contenidos obligatorios establecidos en el artículo 8 de la LTAIBG aplicables a esta sociedad: </w:t>
                            </w:r>
                          </w:p>
                          <w:p w:rsidR="005D042E" w:rsidRDefault="005D042E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subvenciones y ayudas públicas </w:t>
                            </w:r>
                          </w:p>
                          <w:p w:rsidR="005D042E" w:rsidRPr="007D596E" w:rsidRDefault="005D042E" w:rsidP="00553D6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A24B2">
                              <w:rPr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 w:rsidRPr="007D59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sobre </w:t>
                            </w:r>
                            <w:r w:rsidRPr="007D596E">
                              <w:rPr>
                                <w:sz w:val="20"/>
                                <w:szCs w:val="20"/>
                              </w:rPr>
                              <w:t>informes de fiscalización realizados por órganos de control externo.</w:t>
                            </w:r>
                          </w:p>
                          <w:p w:rsidR="005D042E" w:rsidRPr="00DA3658" w:rsidRDefault="005D042E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A3658">
                              <w:rPr>
                                <w:sz w:val="20"/>
                                <w:szCs w:val="20"/>
                              </w:rPr>
                              <w:t xml:space="preserve">No se ha localizado información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actualizada </w:t>
                            </w:r>
                            <w:r w:rsidRPr="00DA3658">
                              <w:rPr>
                                <w:sz w:val="20"/>
                                <w:szCs w:val="20"/>
                              </w:rPr>
                              <w:t xml:space="preserve">sobre las retribuciones de los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DA3658">
                              <w:rPr>
                                <w:sz w:val="20"/>
                                <w:szCs w:val="20"/>
                              </w:rPr>
                              <w:t xml:space="preserve">ltos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DA3658">
                              <w:rPr>
                                <w:sz w:val="20"/>
                                <w:szCs w:val="20"/>
                              </w:rPr>
                              <w:t>argos y máximos responsables</w:t>
                            </w:r>
                          </w:p>
                          <w:p w:rsidR="005D042E" w:rsidRDefault="005D042E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 i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ndemnizaciones percibidas por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ltos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argos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máximos responsables 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>con ocasión del abandono del cargo</w:t>
                            </w:r>
                          </w:p>
                          <w:p w:rsidR="005D042E" w:rsidRPr="00C20F23" w:rsidRDefault="005D042E" w:rsidP="00DA365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20F2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informa sobre resoluciones de autorización o reconocimiento de compatibilidad que afecten a los empleados públicos </w:t>
                            </w:r>
                          </w:p>
                          <w:p w:rsidR="005D042E" w:rsidRPr="007D596E" w:rsidRDefault="005D042E" w:rsidP="00DA3658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ind w:left="714" w:hanging="357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  <w:r w:rsidRPr="006855DB">
                              <w:rPr>
                                <w:sz w:val="20"/>
                                <w:szCs w:val="20"/>
                              </w:rPr>
                              <w:t>No se ha localizado información sobre la autorización para actividad privada al cese de altos cargos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D042E" w:rsidRDefault="005D042E" w:rsidP="00F704A4">
                            <w:pPr>
                              <w:contextualSpacing/>
                              <w:jc w:val="both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</w:p>
                          <w:p w:rsidR="005D042E" w:rsidRDefault="005D042E" w:rsidP="00BF6F1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D042E" w:rsidRPr="003F0CD0" w:rsidRDefault="005D042E" w:rsidP="007E6E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D6373">
                              <w:rPr>
                                <w:sz w:val="20"/>
                                <w:szCs w:val="20"/>
                              </w:rPr>
                              <w:t>Las cuentas anuales e informes de auditoría se prop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Pr="007D6373">
                              <w:rPr>
                                <w:sz w:val="20"/>
                                <w:szCs w:val="20"/>
                              </w:rPr>
                              <w:t>cionan en un pdf de imagen (no reutilizable)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7D637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D042E" w:rsidRDefault="005D042E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D042E" w:rsidRPr="00C5053A" w:rsidRDefault="005D042E" w:rsidP="00C53A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>La información publicada no conte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mpla la totalidad de los contenidos obligatorios establecidos en el artículo 8 de la LTAIBG aplicables a esta sociedad: </w:t>
                      </w:r>
                    </w:p>
                    <w:p w:rsidR="005D042E" w:rsidRDefault="005D042E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subvenciones y ayudas públicas </w:t>
                      </w:r>
                    </w:p>
                    <w:p w:rsidR="005D042E" w:rsidRPr="007D596E" w:rsidRDefault="005D042E" w:rsidP="00553D6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/>
                        <w:jc w:val="both"/>
                        <w:rPr>
                          <w:sz w:val="20"/>
                          <w:szCs w:val="20"/>
                        </w:rPr>
                      </w:pPr>
                      <w:r w:rsidRPr="006A24B2">
                        <w:rPr>
                          <w:sz w:val="20"/>
                          <w:szCs w:val="20"/>
                        </w:rPr>
                        <w:t>No se ha localizado información</w:t>
                      </w:r>
                      <w:r w:rsidRPr="007D596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sobre </w:t>
                      </w:r>
                      <w:r w:rsidRPr="007D596E">
                        <w:rPr>
                          <w:sz w:val="20"/>
                          <w:szCs w:val="20"/>
                        </w:rPr>
                        <w:t>informes de fiscalización realizados por órganos de control externo.</w:t>
                      </w:r>
                    </w:p>
                    <w:p w:rsidR="005D042E" w:rsidRPr="00DA3658" w:rsidRDefault="005D042E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DA3658">
                        <w:rPr>
                          <w:sz w:val="20"/>
                          <w:szCs w:val="20"/>
                        </w:rPr>
                        <w:t xml:space="preserve">No se ha localizado información </w:t>
                      </w:r>
                      <w:r>
                        <w:rPr>
                          <w:sz w:val="20"/>
                          <w:szCs w:val="20"/>
                        </w:rPr>
                        <w:t xml:space="preserve">actualizada </w:t>
                      </w:r>
                      <w:r w:rsidRPr="00DA3658">
                        <w:rPr>
                          <w:sz w:val="20"/>
                          <w:szCs w:val="20"/>
                        </w:rPr>
                        <w:t xml:space="preserve">sobre las retribuciones de los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DA3658">
                        <w:rPr>
                          <w:sz w:val="20"/>
                          <w:szCs w:val="20"/>
                        </w:rPr>
                        <w:t xml:space="preserve">ltos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DA3658">
                        <w:rPr>
                          <w:sz w:val="20"/>
                          <w:szCs w:val="20"/>
                        </w:rPr>
                        <w:t>argos y máximos responsables</w:t>
                      </w:r>
                    </w:p>
                    <w:p w:rsidR="005D042E" w:rsidRDefault="005D042E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 i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ndemnizaciones percibidas por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ltos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argos </w:t>
                      </w:r>
                      <w:r>
                        <w:rPr>
                          <w:sz w:val="20"/>
                          <w:szCs w:val="20"/>
                        </w:rPr>
                        <w:t xml:space="preserve">y máximos responsables </w:t>
                      </w:r>
                      <w:r w:rsidRPr="00085262">
                        <w:rPr>
                          <w:sz w:val="20"/>
                          <w:szCs w:val="20"/>
                        </w:rPr>
                        <w:t>con ocasión del abandono del cargo</w:t>
                      </w:r>
                    </w:p>
                    <w:p w:rsidR="005D042E" w:rsidRPr="00C20F23" w:rsidRDefault="005D042E" w:rsidP="00DA365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C20F2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informa sobre resoluciones de autorización o reconocimiento de compatibilidad que afecten a los empleados públicos </w:t>
                      </w:r>
                    </w:p>
                    <w:p w:rsidR="005D042E" w:rsidRPr="007D596E" w:rsidRDefault="005D042E" w:rsidP="00DA3658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ind w:left="714" w:hanging="357"/>
                        <w:contextualSpacing/>
                        <w:jc w:val="both"/>
                        <w:rPr>
                          <w:b/>
                        </w:rPr>
                      </w:pPr>
                      <w:r w:rsidRPr="006855DB">
                        <w:rPr>
                          <w:sz w:val="20"/>
                          <w:szCs w:val="20"/>
                        </w:rPr>
                        <w:t>No se ha localizado información sobre la autorización para actividad privada al cese de altos cargos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D042E" w:rsidRDefault="005D042E" w:rsidP="00F704A4">
                      <w:pPr>
                        <w:contextualSpacing/>
                        <w:jc w:val="both"/>
                        <w:rPr>
                          <w:rFonts w:eastAsiaTheme="majorEastAsia" w:cstheme="majorBidi"/>
                          <w:bCs/>
                        </w:rPr>
                      </w:pPr>
                    </w:p>
                    <w:p w:rsidR="005D042E" w:rsidRDefault="005D042E" w:rsidP="00BF6F1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D042E" w:rsidRPr="003F0CD0" w:rsidRDefault="005D042E" w:rsidP="007E6E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D6373">
                        <w:rPr>
                          <w:sz w:val="20"/>
                          <w:szCs w:val="20"/>
                        </w:rPr>
                        <w:t>Las cuentas anuales e informes de auditoría se prop</w:t>
                      </w:r>
                      <w:r>
                        <w:rPr>
                          <w:sz w:val="20"/>
                          <w:szCs w:val="20"/>
                        </w:rPr>
                        <w:t>or</w:t>
                      </w:r>
                      <w:r w:rsidRPr="007D6373">
                        <w:rPr>
                          <w:sz w:val="20"/>
                          <w:szCs w:val="20"/>
                        </w:rPr>
                        <w:t>cionan en un pdf de imagen (no reutilizable)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7D637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E92927" w:rsidRDefault="00E92927">
      <w:pPr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250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BF4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A5E94" w:rsidRPr="00FD0689" w:rsidTr="001A5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A5E94" w:rsidRPr="00FD0689" w:rsidRDefault="001A5E94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A5E94" w:rsidRPr="001A5E94" w:rsidRDefault="001A5E94" w:rsidP="001A5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5E94">
              <w:rPr>
                <w:sz w:val="16"/>
                <w:szCs w:val="16"/>
              </w:rPr>
              <w:t>75,0%</w:t>
            </w:r>
          </w:p>
        </w:tc>
        <w:tc>
          <w:tcPr>
            <w:tcW w:w="0" w:type="auto"/>
            <w:noWrap/>
            <w:vAlign w:val="center"/>
          </w:tcPr>
          <w:p w:rsidR="001A5E94" w:rsidRPr="001A5E94" w:rsidRDefault="001A5E94" w:rsidP="001A5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5E94">
              <w:rPr>
                <w:sz w:val="16"/>
                <w:szCs w:val="16"/>
              </w:rPr>
              <w:t>83,3%</w:t>
            </w:r>
          </w:p>
        </w:tc>
        <w:tc>
          <w:tcPr>
            <w:tcW w:w="0" w:type="auto"/>
            <w:noWrap/>
            <w:vAlign w:val="center"/>
          </w:tcPr>
          <w:p w:rsidR="001A5E94" w:rsidRPr="001A5E94" w:rsidRDefault="001A5E94" w:rsidP="001A5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5E94">
              <w:rPr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1A5E94" w:rsidRPr="001A5E94" w:rsidRDefault="001A5E94" w:rsidP="001A5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5E94">
              <w:rPr>
                <w:sz w:val="16"/>
                <w:szCs w:val="16"/>
              </w:rPr>
              <w:t>83,3%</w:t>
            </w:r>
          </w:p>
        </w:tc>
        <w:tc>
          <w:tcPr>
            <w:tcW w:w="0" w:type="auto"/>
            <w:noWrap/>
            <w:vAlign w:val="center"/>
          </w:tcPr>
          <w:p w:rsidR="001A5E94" w:rsidRPr="001A5E94" w:rsidRDefault="001A5E94" w:rsidP="001A5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5E94">
              <w:rPr>
                <w:sz w:val="16"/>
                <w:szCs w:val="16"/>
              </w:rPr>
              <w:t>83,3%</w:t>
            </w:r>
          </w:p>
        </w:tc>
        <w:tc>
          <w:tcPr>
            <w:tcW w:w="0" w:type="auto"/>
            <w:noWrap/>
            <w:vAlign w:val="center"/>
          </w:tcPr>
          <w:p w:rsidR="001A5E94" w:rsidRPr="001A5E94" w:rsidRDefault="001A5E94" w:rsidP="001A5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5E94">
              <w:rPr>
                <w:sz w:val="16"/>
                <w:szCs w:val="16"/>
              </w:rPr>
              <w:t>66,7%</w:t>
            </w:r>
          </w:p>
        </w:tc>
        <w:tc>
          <w:tcPr>
            <w:tcW w:w="0" w:type="auto"/>
            <w:noWrap/>
            <w:vAlign w:val="center"/>
          </w:tcPr>
          <w:p w:rsidR="001A5E94" w:rsidRPr="001A5E94" w:rsidRDefault="001A5E94" w:rsidP="001A5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5E94">
              <w:rPr>
                <w:sz w:val="16"/>
                <w:szCs w:val="16"/>
              </w:rPr>
              <w:t>33,3%</w:t>
            </w:r>
          </w:p>
        </w:tc>
        <w:tc>
          <w:tcPr>
            <w:tcW w:w="0" w:type="auto"/>
            <w:noWrap/>
            <w:vAlign w:val="center"/>
          </w:tcPr>
          <w:p w:rsidR="001A5E94" w:rsidRPr="001A5E94" w:rsidRDefault="001A5E94" w:rsidP="001A5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5E94">
              <w:rPr>
                <w:sz w:val="16"/>
                <w:szCs w:val="16"/>
              </w:rPr>
              <w:t>70,2%</w:t>
            </w:r>
          </w:p>
        </w:tc>
      </w:tr>
      <w:tr w:rsidR="0012518A" w:rsidRPr="00FD0689" w:rsidTr="0012518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2518A" w:rsidRPr="00FD0689" w:rsidRDefault="0012518A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518A">
              <w:rPr>
                <w:sz w:val="16"/>
                <w:szCs w:val="16"/>
              </w:rPr>
              <w:t>58,5%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518A">
              <w:rPr>
                <w:sz w:val="16"/>
                <w:szCs w:val="16"/>
              </w:rPr>
              <w:t>61,5%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518A">
              <w:rPr>
                <w:sz w:val="16"/>
                <w:szCs w:val="16"/>
              </w:rPr>
              <w:t>61,5%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518A">
              <w:rPr>
                <w:sz w:val="16"/>
                <w:szCs w:val="16"/>
              </w:rPr>
              <w:t>61,5%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518A">
              <w:rPr>
                <w:sz w:val="16"/>
                <w:szCs w:val="16"/>
              </w:rPr>
              <w:t>61,5%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518A">
              <w:rPr>
                <w:sz w:val="16"/>
                <w:szCs w:val="16"/>
              </w:rPr>
              <w:t>46,2%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518A">
              <w:rPr>
                <w:sz w:val="16"/>
                <w:szCs w:val="16"/>
              </w:rPr>
              <w:t>61,5%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518A">
              <w:rPr>
                <w:sz w:val="16"/>
                <w:szCs w:val="16"/>
              </w:rPr>
              <w:t>58,9%</w:t>
            </w:r>
          </w:p>
        </w:tc>
      </w:tr>
      <w:tr w:rsidR="0012518A" w:rsidRPr="00A94BCA" w:rsidTr="0012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2518A" w:rsidRPr="002A154B" w:rsidRDefault="0012518A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2518A">
              <w:rPr>
                <w:b/>
                <w:i/>
                <w:sz w:val="16"/>
                <w:szCs w:val="16"/>
              </w:rPr>
              <w:t>63,7%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2518A">
              <w:rPr>
                <w:b/>
                <w:i/>
                <w:sz w:val="16"/>
                <w:szCs w:val="16"/>
              </w:rPr>
              <w:t>68,4%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2518A">
              <w:rPr>
                <w:b/>
                <w:i/>
                <w:sz w:val="16"/>
                <w:szCs w:val="16"/>
              </w:rPr>
              <w:t>63,2%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2518A">
              <w:rPr>
                <w:b/>
                <w:i/>
                <w:sz w:val="16"/>
                <w:szCs w:val="16"/>
              </w:rPr>
              <w:t>68,4%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2518A">
              <w:rPr>
                <w:b/>
                <w:i/>
                <w:sz w:val="16"/>
                <w:szCs w:val="16"/>
              </w:rPr>
              <w:t>68,4%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2518A">
              <w:rPr>
                <w:b/>
                <w:i/>
                <w:sz w:val="16"/>
                <w:szCs w:val="16"/>
              </w:rPr>
              <w:t>52,6%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2518A">
              <w:rPr>
                <w:b/>
                <w:i/>
                <w:sz w:val="16"/>
                <w:szCs w:val="16"/>
              </w:rPr>
              <w:t>52,6%</w:t>
            </w:r>
          </w:p>
        </w:tc>
        <w:tc>
          <w:tcPr>
            <w:tcW w:w="0" w:type="auto"/>
            <w:noWrap/>
            <w:vAlign w:val="center"/>
          </w:tcPr>
          <w:p w:rsidR="0012518A" w:rsidRPr="0012518A" w:rsidRDefault="0012518A" w:rsidP="00125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2518A">
              <w:rPr>
                <w:b/>
                <w:i/>
                <w:sz w:val="16"/>
                <w:szCs w:val="16"/>
              </w:rPr>
              <w:t>62,5%</w:t>
            </w:r>
          </w:p>
        </w:tc>
      </w:tr>
    </w:tbl>
    <w:p w:rsidR="001A5E94" w:rsidRPr="00CE51A5" w:rsidRDefault="001A5E94" w:rsidP="00BF43F4">
      <w:pPr>
        <w:pStyle w:val="Cuerpodelboletn"/>
        <w:spacing w:before="120" w:after="120" w:line="312" w:lineRule="auto"/>
        <w:ind w:left="284"/>
        <w:rPr>
          <w:color w:val="auto"/>
        </w:rPr>
      </w:pPr>
    </w:p>
    <w:p w:rsidR="00BD4582" w:rsidRPr="00CE51A5" w:rsidRDefault="001179AB" w:rsidP="00BF43F4">
      <w:pPr>
        <w:pStyle w:val="Cuerpodelboletn"/>
        <w:spacing w:before="120" w:after="120" w:line="312" w:lineRule="auto"/>
        <w:ind w:left="284"/>
        <w:rPr>
          <w:color w:val="auto"/>
        </w:rPr>
      </w:pPr>
      <w:r w:rsidRPr="00CE51A5">
        <w:rPr>
          <w:color w:val="auto"/>
        </w:rPr>
        <w:t xml:space="preserve">El Índice de Cumplimiento de la Información Obligatoria (ICIO) alcanza un </w:t>
      </w:r>
      <w:r w:rsidR="0012518A">
        <w:rPr>
          <w:color w:val="auto"/>
        </w:rPr>
        <w:t>62,5</w:t>
      </w:r>
      <w:r w:rsidRPr="00CE51A5">
        <w:rPr>
          <w:color w:val="auto"/>
        </w:rPr>
        <w:t>% de cumplimiento. La falta de publicación de informaciones obligatorias – sólo se publica el</w:t>
      </w:r>
      <w:r w:rsidR="00AB3949" w:rsidRPr="00CE51A5">
        <w:rPr>
          <w:color w:val="auto"/>
        </w:rPr>
        <w:t xml:space="preserve"> </w:t>
      </w:r>
      <w:r w:rsidR="0012518A">
        <w:rPr>
          <w:color w:val="auto"/>
        </w:rPr>
        <w:t>63,7</w:t>
      </w:r>
      <w:r w:rsidRPr="00CE51A5">
        <w:rPr>
          <w:color w:val="auto"/>
        </w:rPr>
        <w:t>%</w:t>
      </w:r>
      <w:r w:rsidR="0072156A" w:rsidRPr="00CE51A5">
        <w:rPr>
          <w:color w:val="auto"/>
        </w:rPr>
        <w:t xml:space="preserve"> </w:t>
      </w:r>
      <w:r w:rsidRPr="00CE51A5">
        <w:rPr>
          <w:color w:val="auto"/>
        </w:rPr>
        <w:t>de las informaciones sujetas a publicidad activa – así como la publicación de la información en formatos no reutilizables o la falta de referencias a la fecha en que se revisó o actualizó la información por última vez, explican el nivel de cumplimiento alcanzado.</w:t>
      </w:r>
    </w:p>
    <w:p w:rsidR="00E274F2" w:rsidRPr="00CE51A5" w:rsidRDefault="00E274F2" w:rsidP="00BF43F4">
      <w:pPr>
        <w:pStyle w:val="Cuerpodelboletn"/>
        <w:spacing w:before="120" w:after="120" w:line="312" w:lineRule="auto"/>
        <w:ind w:left="284"/>
        <w:rPr>
          <w:b/>
          <w:color w:val="auto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B6D03" wp14:editId="2501CD4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2E" w:rsidRDefault="005D042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5D042E" w:rsidRPr="00243B6A" w:rsidRDefault="005D042E" w:rsidP="00243B6A">
                            <w:pPr>
                              <w:spacing w:before="120" w:after="12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43B6A">
                              <w:rPr>
                                <w:sz w:val="20"/>
                                <w:szCs w:val="20"/>
                              </w:rPr>
                              <w:t>Imbisa, S.A. (M.P. del Banco de España), en su página web publica informaciones adicionales a las obligatorias que pueden considerarse relevantes desde el punto de vista de la Transparencia de la sociedad, aunque algunas de ellas puedan derivar de obligaciones establecidas en otras disposiciones normativas:</w:t>
                            </w:r>
                          </w:p>
                          <w:p w:rsidR="005D042E" w:rsidRPr="00243B6A" w:rsidRDefault="005D042E" w:rsidP="00243B6A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43B6A">
                              <w:rPr>
                                <w:sz w:val="20"/>
                                <w:szCs w:val="20"/>
                              </w:rPr>
                              <w:t>Bienes inmuebles de su titularidad</w:t>
                            </w:r>
                          </w:p>
                          <w:p w:rsidR="005D042E" w:rsidRPr="00243B6A" w:rsidRDefault="005D042E" w:rsidP="00243B6A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43B6A">
                              <w:rPr>
                                <w:sz w:val="20"/>
                                <w:szCs w:val="20"/>
                              </w:rPr>
                              <w:t>Protocolo para el procedimiento de contratación de personal en Imbisa (2015)</w:t>
                            </w:r>
                          </w:p>
                          <w:p w:rsidR="005D042E" w:rsidRPr="00243B6A" w:rsidRDefault="005D042E" w:rsidP="00243B6A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43B6A">
                              <w:rPr>
                                <w:sz w:val="20"/>
                                <w:szCs w:val="20"/>
                              </w:rPr>
                              <w:t xml:space="preserve">Normas reguladoras del presupuesto de gastos de funcionamiento e inversiones de Imbisa (M.P. del Banco de España) </w:t>
                            </w:r>
                          </w:p>
                          <w:p w:rsidR="005D042E" w:rsidRPr="00243B6A" w:rsidRDefault="005D042E" w:rsidP="00243B6A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43B6A">
                              <w:rPr>
                                <w:sz w:val="20"/>
                                <w:szCs w:val="20"/>
                              </w:rPr>
                              <w:t xml:space="preserve">El establecimiento de un Sistema Integrado de Gestión de Calidad, Medio Ambiente, Seguridad y Salud en el Trabajo, y Responsabilidad Social de acuerdo a las normas UNE-EN ISO 9001:2015,UNE -EN ISO 14001:2015 e ISO 45001:2018 y el estándar IQNet SR10: 201 2019). Documento fechado en enero de 2021. </w:t>
                            </w:r>
                          </w:p>
                          <w:p w:rsidR="005D042E" w:rsidRPr="00243B6A" w:rsidRDefault="005D042E" w:rsidP="00243B6A">
                            <w:pPr>
                              <w:pStyle w:val="Ttulo3"/>
                              <w:numPr>
                                <w:ilvl w:val="0"/>
                                <w:numId w:val="22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43B6A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Código ético.</w:t>
                            </w:r>
                          </w:p>
                          <w:p w:rsidR="005D042E" w:rsidRPr="00243B6A" w:rsidRDefault="005D042E" w:rsidP="00243B6A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43B6A">
                              <w:rPr>
                                <w:sz w:val="20"/>
                                <w:szCs w:val="20"/>
                              </w:rPr>
                              <w:t xml:space="preserve"> El convenio colectivo del personal laboral de Imbisa y el convenio colectivo de la   Fábrica Nacional de Moneda y Timbre - Real Casa de la Moneda.  </w:t>
                            </w:r>
                          </w:p>
                          <w:p w:rsidR="005D042E" w:rsidRPr="00243B6A" w:rsidRDefault="005D042E" w:rsidP="00243B6A">
                            <w:pPr>
                              <w:pStyle w:val="Ttulo3"/>
                              <w:numPr>
                                <w:ilvl w:val="0"/>
                                <w:numId w:val="22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43B6A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Convocatorias  de empleo (fijo y temporal) </w:t>
                            </w:r>
                          </w:p>
                          <w:p w:rsidR="005D042E" w:rsidRPr="00E274F2" w:rsidRDefault="005D042E" w:rsidP="00E274F2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3F5239" w:rsidRDefault="003F523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3F5239" w:rsidRPr="00243B6A" w:rsidRDefault="003F5239" w:rsidP="00243B6A">
                      <w:pPr>
                        <w:spacing w:before="120" w:after="12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43B6A">
                        <w:rPr>
                          <w:sz w:val="20"/>
                          <w:szCs w:val="20"/>
                        </w:rPr>
                        <w:t>Imbisa, S.A. (M.P. del Banco de España), en su página web publica informaciones adicionales a las obligatorias que pueden considerarse relevantes desde el punto de vista de la Transparencia de la sociedad, aunque algunas de ellas puedan derivar de obligaciones establecidas en otras disposiciones normativas:</w:t>
                      </w:r>
                    </w:p>
                    <w:p w:rsidR="003F5239" w:rsidRPr="00243B6A" w:rsidRDefault="003F5239" w:rsidP="00243B6A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43B6A">
                        <w:rPr>
                          <w:sz w:val="20"/>
                          <w:szCs w:val="20"/>
                        </w:rPr>
                        <w:t>Bienes inmuebles de su titularidad</w:t>
                      </w:r>
                    </w:p>
                    <w:p w:rsidR="003F5239" w:rsidRPr="00243B6A" w:rsidRDefault="003F5239" w:rsidP="00243B6A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43B6A">
                        <w:rPr>
                          <w:sz w:val="20"/>
                          <w:szCs w:val="20"/>
                        </w:rPr>
                        <w:t>Protocolo para el procedimiento de contratación de personal en Imbisa (2015)</w:t>
                      </w:r>
                    </w:p>
                    <w:p w:rsidR="003F5239" w:rsidRPr="00243B6A" w:rsidRDefault="003F5239" w:rsidP="00243B6A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43B6A">
                        <w:rPr>
                          <w:sz w:val="20"/>
                          <w:szCs w:val="20"/>
                        </w:rPr>
                        <w:t xml:space="preserve">Normas reguladoras del presupuesto de gastos de funcionamiento e inversiones de Imbisa (M.P. del Banco de España) </w:t>
                      </w:r>
                    </w:p>
                    <w:p w:rsidR="003F5239" w:rsidRPr="00243B6A" w:rsidRDefault="003F5239" w:rsidP="00243B6A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43B6A">
                        <w:rPr>
                          <w:sz w:val="20"/>
                          <w:szCs w:val="20"/>
                        </w:rPr>
                        <w:t xml:space="preserve">El establecimiento de un Sistema Integrado de Gestión de Calidad, Medio Ambiente, Seguridad y Salud en el Trabajo, y Responsabilidad Social de acuerdo a las normas UNE-EN ISO 9001:2015,UNE -EN ISO 14001:2015 e ISO 45001:2018 y el estándar IQNet SR10: 201 2019). Documento fechado en enero de 2021. </w:t>
                      </w:r>
                    </w:p>
                    <w:p w:rsidR="003F5239" w:rsidRPr="00243B6A" w:rsidRDefault="003F5239" w:rsidP="00243B6A">
                      <w:pPr>
                        <w:pStyle w:val="Ttulo3"/>
                        <w:numPr>
                          <w:ilvl w:val="0"/>
                          <w:numId w:val="22"/>
                        </w:numPr>
                        <w:spacing w:before="120" w:after="120" w:line="240" w:lineRule="auto"/>
                        <w:jc w:val="both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243B6A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>Código ético.</w:t>
                      </w:r>
                    </w:p>
                    <w:p w:rsidR="003F5239" w:rsidRPr="00243B6A" w:rsidRDefault="003F5239" w:rsidP="00243B6A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43B6A">
                        <w:rPr>
                          <w:sz w:val="20"/>
                          <w:szCs w:val="20"/>
                        </w:rPr>
                        <w:t xml:space="preserve"> El convenio colectivo del personal laboral de Imbisa y el convenio colectivo de la   Fábrica Nacional de Moneda y Timbre - Real Casa de la Moneda.  </w:t>
                      </w:r>
                    </w:p>
                    <w:p w:rsidR="003F5239" w:rsidRPr="00243B6A" w:rsidRDefault="003F5239" w:rsidP="00243B6A">
                      <w:pPr>
                        <w:pStyle w:val="Ttulo3"/>
                        <w:numPr>
                          <w:ilvl w:val="0"/>
                          <w:numId w:val="22"/>
                        </w:numPr>
                        <w:spacing w:before="120" w:after="120" w:line="240" w:lineRule="auto"/>
                        <w:jc w:val="both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243B6A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Convocatorias  de empleo (fijo y temporal) </w:t>
                      </w:r>
                    </w:p>
                    <w:p w:rsidR="003F5239" w:rsidRPr="00E274F2" w:rsidRDefault="003F5239" w:rsidP="00E274F2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2A72B0" w:rsidRDefault="002A72B0"/>
    <w:p w:rsidR="002A72B0" w:rsidRDefault="002A72B0"/>
    <w:p w:rsidR="002A72B0" w:rsidRDefault="002A72B0"/>
    <w:p w:rsidR="002A72B0" w:rsidRDefault="002A72B0"/>
    <w:p w:rsidR="002A72B0" w:rsidRDefault="002A72B0"/>
    <w:p w:rsidR="002A72B0" w:rsidRDefault="002A72B0"/>
    <w:p w:rsidR="002A72B0" w:rsidRDefault="002A72B0"/>
    <w:p w:rsidR="002A72B0" w:rsidRDefault="002A72B0"/>
    <w:p w:rsidR="002A72B0" w:rsidRDefault="002A72B0"/>
    <w:p w:rsidR="002A72B0" w:rsidRDefault="002A72B0"/>
    <w:p w:rsidR="002A72B0" w:rsidRDefault="002A72B0"/>
    <w:p w:rsidR="007F72A8" w:rsidRDefault="007F72A8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CF7AE" wp14:editId="4526B4B6">
                <wp:simplePos x="0" y="0"/>
                <wp:positionH relativeFrom="column">
                  <wp:posOffset>176530</wp:posOffset>
                </wp:positionH>
                <wp:positionV relativeFrom="paragraph">
                  <wp:posOffset>87630</wp:posOffset>
                </wp:positionV>
                <wp:extent cx="6264910" cy="1403985"/>
                <wp:effectExtent l="0" t="0" r="21590" b="254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42E" w:rsidRDefault="005D042E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5D042E" w:rsidRDefault="005D042E" w:rsidP="005D6F3B">
                            <w:pPr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6F3B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abe reseñar como </w:t>
                            </w:r>
                            <w:r w:rsidRPr="005D6F3B">
                              <w:rPr>
                                <w:sz w:val="20"/>
                                <w:szCs w:val="20"/>
                              </w:rPr>
                              <w:t>buenas prácticas de Imbisa, S.A. (M.P. del Banco de España)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las siguientes:</w:t>
                            </w:r>
                          </w:p>
                          <w:p w:rsidR="005D042E" w:rsidRDefault="005D042E" w:rsidP="005D6F3B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6F3B">
                              <w:rPr>
                                <w:sz w:val="20"/>
                                <w:szCs w:val="20"/>
                              </w:rPr>
                              <w:t>La creación de un acceso específico dentro del apartado “transparencia” en el que se informa con gran detalle del procedimiento</w:t>
                            </w:r>
                            <w:r w:rsidRPr="008979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F3B">
                              <w:rPr>
                                <w:sz w:val="20"/>
                                <w:szCs w:val="20"/>
                              </w:rPr>
                              <w:t xml:space="preserve">para el ejercicio del derecho de acceso. </w:t>
                            </w:r>
                          </w:p>
                          <w:p w:rsidR="005D042E" w:rsidRPr="005D6F3B" w:rsidRDefault="005D042E" w:rsidP="005D6F3B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6F3B">
                              <w:rPr>
                                <w:sz w:val="20"/>
                                <w:szCs w:val="20"/>
                              </w:rPr>
                              <w:t>La organización y presentación de la información que facilita la localización y accesibilidad a la misma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D042E" w:rsidRPr="005D6F3B" w:rsidRDefault="005D042E" w:rsidP="005D6F3B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6F3B">
                              <w:rPr>
                                <w:sz w:val="20"/>
                                <w:szCs w:val="20"/>
                              </w:rPr>
                              <w:t>La indicación de las causas por las que determinadas informaciones obligatorias no se publican (aunque debería ser objeto de actual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ización)</w:t>
                            </w:r>
                            <w:r w:rsidRPr="005D6F3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D042E" w:rsidRPr="005D6F3B" w:rsidRDefault="005D042E" w:rsidP="005D6F3B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6F3B">
                              <w:rPr>
                                <w:sz w:val="20"/>
                                <w:szCs w:val="20"/>
                              </w:rPr>
                              <w:t>La publicación de fichas de la información procedente de fuentes centralizadas (contratos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que también debería ser objeto de </w:t>
                            </w:r>
                            <w:r w:rsidRPr="005D6F3B">
                              <w:rPr>
                                <w:sz w:val="20"/>
                                <w:szCs w:val="20"/>
                              </w:rPr>
                              <w:t>actual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ización).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3.9pt;margin-top:6.9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EdujlDdAAAACgEAAA8AAABkcnMvZG93bnJl&#10;di54bWxMj8FuwjAMhu+T9g6RJ+2CRgotsHVN0YbEaSc6uIfGa6s1TpcEKG8/c9pOlv1Zvz8X69H2&#10;4ow+dI4UzKYJCKTamY4aBfvP7dMziBA1Gd07QgVXDLAu7+8KnRt3oR2eq9gIDqGQawVtjEMuZahb&#10;tDpM3YDE7Mt5qyO3vpHG6wuH217Ok2Qpre6IL7R6wE2L9Xd1sgqWP1U6+TiYCe2u23df24XZ7BdK&#10;PT6Mb68gIo7xbxlu+qwOJTsd3YlMEL2C+YrNI89TrjeezLIMxJFJmr2A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EdujlDdAAAACgEAAA8AAAAAAAAAAAAAAAAAhQQAAGRy&#10;cy9kb3ducmV2LnhtbFBLBQYAAAAABAAEAPMAAACPBQAAAAA=&#10;">
                <v:textbox style="mso-fit-shape-to-text:t">
                  <w:txbxContent>
                    <w:p w:rsidR="003F5239" w:rsidRDefault="003F5239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3F5239" w:rsidRDefault="003F5239" w:rsidP="005D6F3B">
                      <w:pPr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5D6F3B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 xml:space="preserve">abe reseñar como </w:t>
                      </w:r>
                      <w:r w:rsidRPr="005D6F3B">
                        <w:rPr>
                          <w:sz w:val="20"/>
                          <w:szCs w:val="20"/>
                        </w:rPr>
                        <w:t>buenas prácticas de Imbisa, S.A. (M.P. del Banco de España)</w:t>
                      </w:r>
                      <w:r>
                        <w:rPr>
                          <w:sz w:val="20"/>
                          <w:szCs w:val="20"/>
                        </w:rPr>
                        <w:t xml:space="preserve"> las siguientes:</w:t>
                      </w:r>
                    </w:p>
                    <w:p w:rsidR="008979D7" w:rsidRDefault="003F5239" w:rsidP="005D6F3B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D6F3B">
                        <w:rPr>
                          <w:sz w:val="20"/>
                          <w:szCs w:val="20"/>
                        </w:rPr>
                        <w:t xml:space="preserve">La creación de un acceso específico </w:t>
                      </w:r>
                      <w:r w:rsidR="008979D7" w:rsidRPr="005D6F3B">
                        <w:rPr>
                          <w:sz w:val="20"/>
                          <w:szCs w:val="20"/>
                        </w:rPr>
                        <w:t xml:space="preserve">dentro del apartado </w:t>
                      </w:r>
                      <w:r w:rsidR="008979D7" w:rsidRPr="005D6F3B">
                        <w:rPr>
                          <w:sz w:val="20"/>
                          <w:szCs w:val="20"/>
                        </w:rPr>
                        <w:t>“transparencia”</w:t>
                      </w:r>
                      <w:bookmarkStart w:id="1" w:name="_GoBack"/>
                      <w:bookmarkEnd w:id="1"/>
                      <w:r w:rsidRPr="005D6F3B">
                        <w:rPr>
                          <w:sz w:val="20"/>
                          <w:szCs w:val="20"/>
                        </w:rPr>
                        <w:t xml:space="preserve"> en el que se informa con gran detalle del procedimiento</w:t>
                      </w:r>
                      <w:r w:rsidR="008979D7" w:rsidRPr="008979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79D7" w:rsidRPr="005D6F3B">
                        <w:rPr>
                          <w:sz w:val="20"/>
                          <w:szCs w:val="20"/>
                        </w:rPr>
                        <w:t>para el ejercicio del derecho de acceso</w:t>
                      </w:r>
                      <w:r w:rsidRPr="005D6F3B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3F5239" w:rsidRPr="005D6F3B" w:rsidRDefault="003F5239" w:rsidP="005D6F3B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D6F3B">
                        <w:rPr>
                          <w:sz w:val="20"/>
                          <w:szCs w:val="20"/>
                        </w:rPr>
                        <w:t>La organización y presentación de la información que facilita la localización y accesibilidad a la misma</w:t>
                      </w:r>
                      <w:r w:rsidR="008979D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F5239" w:rsidRPr="005D6F3B" w:rsidRDefault="003F5239" w:rsidP="005D6F3B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5D6F3B">
                        <w:rPr>
                          <w:sz w:val="20"/>
                          <w:szCs w:val="20"/>
                        </w:rPr>
                        <w:t>La indicación de las causas por las que determinadas informaciones obligatorias no se publican (aunque debería ser objeto de actual</w:t>
                      </w:r>
                      <w:r>
                        <w:rPr>
                          <w:sz w:val="20"/>
                          <w:szCs w:val="20"/>
                        </w:rPr>
                        <w:t>ización)</w:t>
                      </w:r>
                      <w:r w:rsidRPr="005D6F3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F5239" w:rsidRPr="005D6F3B" w:rsidRDefault="003F5239" w:rsidP="005D6F3B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D6F3B">
                        <w:rPr>
                          <w:sz w:val="20"/>
                          <w:szCs w:val="20"/>
                        </w:rPr>
                        <w:t>La publicación de fichas de la información procedente de fuentes centralizadas (contratos</w:t>
                      </w:r>
                      <w:r>
                        <w:rPr>
                          <w:sz w:val="20"/>
                          <w:szCs w:val="20"/>
                        </w:rPr>
                        <w:t xml:space="preserve">, que también debería ser objeto de </w:t>
                      </w:r>
                      <w:r w:rsidRPr="005D6F3B">
                        <w:rPr>
                          <w:sz w:val="20"/>
                          <w:szCs w:val="20"/>
                        </w:rPr>
                        <w:t>actual</w:t>
                      </w:r>
                      <w:r>
                        <w:rPr>
                          <w:sz w:val="20"/>
                          <w:szCs w:val="20"/>
                        </w:rPr>
                        <w:t>ización).</w:t>
                      </w:r>
                    </w:p>
                  </w:txbxContent>
                </v:textbox>
              </v:shape>
            </w:pict>
          </mc:Fallback>
        </mc:AlternateContent>
      </w:r>
    </w:p>
    <w:p w:rsidR="007F72A8" w:rsidRDefault="007F72A8"/>
    <w:p w:rsidR="007F72A8" w:rsidRDefault="007F72A8"/>
    <w:p w:rsidR="005D6F3B" w:rsidRDefault="005D6F3B"/>
    <w:p w:rsidR="005D6F3B" w:rsidRDefault="005D6F3B"/>
    <w:p w:rsidR="005D6F3B" w:rsidRDefault="005D6F3B"/>
    <w:p w:rsidR="005D6F3B" w:rsidRDefault="005D6F3B"/>
    <w:p w:rsidR="007F72A8" w:rsidRDefault="007F72A8"/>
    <w:p w:rsidR="003F5239" w:rsidRDefault="003F5239"/>
    <w:p w:rsidR="003F5239" w:rsidRDefault="003F5239"/>
    <w:p w:rsidR="00CE51A5" w:rsidRDefault="00CE51A5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1179AB" w:rsidRPr="007E6ED4" w:rsidRDefault="001179AB" w:rsidP="00BF43F4">
      <w:pPr>
        <w:spacing w:before="120" w:after="120" w:line="312" w:lineRule="auto"/>
        <w:jc w:val="both"/>
      </w:pPr>
      <w:r w:rsidRPr="007E6ED4">
        <w:t xml:space="preserve">Como se ha indicado el cumplimiento de las obligaciones de transparencia de la LTAIBG por parte de </w:t>
      </w:r>
      <w:r w:rsidR="0040208C">
        <w:t>Imprenta de Billetes, S.A., (M.P. del Banco de España)</w:t>
      </w:r>
      <w:r w:rsidR="00F16E31" w:rsidRPr="007E6ED4">
        <w:t>,</w:t>
      </w:r>
      <w:r w:rsidRPr="007E6ED4">
        <w:t xml:space="preserve"> en función de la información disponible en su Portal de Transparencia</w:t>
      </w:r>
      <w:r w:rsidR="00BA7733" w:rsidRPr="007E6ED4">
        <w:t xml:space="preserve"> y en su web</w:t>
      </w:r>
      <w:r w:rsidRPr="007E6ED4">
        <w:t xml:space="preserve"> alcanza el</w:t>
      </w:r>
      <w:r w:rsidR="00702FF8" w:rsidRPr="007E6ED4">
        <w:t xml:space="preserve"> </w:t>
      </w:r>
      <w:r w:rsidR="0012518A">
        <w:t>62,5</w:t>
      </w:r>
      <w:r w:rsidRPr="007E6ED4">
        <w:t xml:space="preserve">%. </w:t>
      </w:r>
    </w:p>
    <w:p w:rsidR="001179AB" w:rsidRPr="00FD0689" w:rsidRDefault="001179AB" w:rsidP="00BF43F4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7E6ED4">
        <w:t xml:space="preserve">A lo largo del informe se han señalado una serie de carencias. Por ello y para procurar avances en el grado de cumplimiento de la LTAIBG por parte de </w:t>
      </w:r>
      <w:r w:rsidR="0040208C">
        <w:t>Imprenta de Billetes, S.A., (M.P. del Banco de España)</w:t>
      </w:r>
      <w:r w:rsidR="00AB3949" w:rsidRPr="007E6ED4">
        <w:t>,</w:t>
      </w:r>
      <w:r w:rsidRPr="007E6ED4">
        <w:t xml:space="preserve"> </w:t>
      </w:r>
      <w:r w:rsidRPr="00BF43F4">
        <w:t xml:space="preserve">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1179AB" w:rsidRDefault="001179AB" w:rsidP="00BF43F4">
      <w:pPr>
        <w:spacing w:before="120" w:after="120" w:line="312" w:lineRule="auto"/>
        <w:jc w:val="both"/>
        <w:rPr>
          <w:b/>
          <w:color w:val="00642D"/>
        </w:rPr>
      </w:pPr>
    </w:p>
    <w:p w:rsidR="00790A5B" w:rsidRPr="00443391" w:rsidRDefault="00790A5B" w:rsidP="00BF43F4">
      <w:pPr>
        <w:spacing w:before="120" w:after="120" w:line="312" w:lineRule="auto"/>
        <w:jc w:val="both"/>
        <w:rPr>
          <w:b/>
          <w:color w:val="00642D"/>
        </w:rPr>
      </w:pPr>
      <w:r w:rsidRPr="00443391">
        <w:rPr>
          <w:b/>
          <w:color w:val="00642D"/>
        </w:rPr>
        <w:t>Localización y Estructuración de la información</w:t>
      </w:r>
    </w:p>
    <w:p w:rsidR="0040208C" w:rsidRPr="00BF43F4" w:rsidRDefault="0040208C" w:rsidP="0040208C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BF43F4">
        <w:rPr>
          <w:rFonts w:eastAsiaTheme="majorEastAsia" w:cstheme="majorBidi"/>
          <w:bCs/>
        </w:rPr>
        <w:t xml:space="preserve">Dentro del acceso específico de Transparencia y </w:t>
      </w:r>
      <w:r>
        <w:rPr>
          <w:rFonts w:eastAsiaTheme="majorEastAsia" w:cstheme="majorBidi"/>
          <w:bCs/>
        </w:rPr>
        <w:t>por</w:t>
      </w:r>
      <w:r w:rsidRPr="00BF43F4">
        <w:rPr>
          <w:rFonts w:eastAsiaTheme="majorEastAsia" w:cstheme="majorBidi"/>
          <w:bCs/>
        </w:rPr>
        <w:t xml:space="preserve"> cada bloque de información – deberían de publicarse - o enlazarse - las informaciones obligatorias que establecen los artículos 6 y 8 de la LTAIBG</w:t>
      </w:r>
      <w:r>
        <w:rPr>
          <w:rFonts w:eastAsiaTheme="majorEastAsia" w:cstheme="majorBidi"/>
          <w:bCs/>
        </w:rPr>
        <w:t xml:space="preserve">. </w:t>
      </w:r>
    </w:p>
    <w:p w:rsidR="0040208C" w:rsidRPr="00BF43F4" w:rsidRDefault="0040208C" w:rsidP="0040208C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BF43F4">
        <w:rPr>
          <w:rFonts w:eastAsiaTheme="majorEastAsia" w:cstheme="majorBidi"/>
          <w:bCs/>
        </w:rPr>
        <w:t>En el caso de que no sea posible la publicación de alguna de las informaciones vinculadas a estos bloques bien porque no exista, no concurra el supuesto o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</w:p>
    <w:p w:rsidR="004443A9" w:rsidRDefault="004443A9" w:rsidP="00BF43F4">
      <w:pPr>
        <w:spacing w:before="120" w:after="120" w:line="312" w:lineRule="auto"/>
        <w:jc w:val="both"/>
        <w:rPr>
          <w:b/>
          <w:color w:val="00642D"/>
        </w:rPr>
      </w:pPr>
    </w:p>
    <w:p w:rsidR="001A5E94" w:rsidRDefault="001A5E94" w:rsidP="00BF43F4">
      <w:pPr>
        <w:spacing w:before="120" w:after="120" w:line="312" w:lineRule="auto"/>
        <w:jc w:val="both"/>
        <w:rPr>
          <w:b/>
          <w:color w:val="00642D"/>
        </w:rPr>
      </w:pPr>
    </w:p>
    <w:p w:rsidR="003F5239" w:rsidRDefault="003F5239" w:rsidP="00BF43F4">
      <w:pPr>
        <w:spacing w:before="120" w:after="120" w:line="312" w:lineRule="auto"/>
        <w:jc w:val="both"/>
        <w:rPr>
          <w:b/>
          <w:color w:val="00642D"/>
        </w:rPr>
      </w:pPr>
    </w:p>
    <w:p w:rsidR="001179AB" w:rsidRDefault="001179AB" w:rsidP="00BF43F4">
      <w:pPr>
        <w:spacing w:before="120" w:after="120" w:line="312" w:lineRule="auto"/>
        <w:jc w:val="both"/>
        <w:rPr>
          <w:b/>
          <w:color w:val="00642D"/>
        </w:rPr>
      </w:pPr>
      <w:r w:rsidRPr="00BF43F4">
        <w:rPr>
          <w:b/>
          <w:color w:val="00642D"/>
        </w:rPr>
        <w:lastRenderedPageBreak/>
        <w:t>Incorporación de información</w:t>
      </w:r>
    </w:p>
    <w:p w:rsidR="00BF43F4" w:rsidRPr="00BF43F4" w:rsidRDefault="00BF43F4" w:rsidP="00BF43F4">
      <w:pPr>
        <w:spacing w:before="120" w:after="120" w:line="312" w:lineRule="auto"/>
        <w:jc w:val="both"/>
        <w:rPr>
          <w:b/>
          <w:color w:val="00642D"/>
        </w:rPr>
      </w:pPr>
    </w:p>
    <w:p w:rsidR="00BF43F4" w:rsidRDefault="001179AB" w:rsidP="00BF43F4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Información Institucional, Organizativa y de Planificación</w:t>
      </w:r>
    </w:p>
    <w:p w:rsidR="001179AB" w:rsidRPr="00BF43F4" w:rsidRDefault="001179AB" w:rsidP="00BF43F4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 xml:space="preserve"> </w:t>
      </w:r>
    </w:p>
    <w:p w:rsidR="0040208C" w:rsidRDefault="002B36D2" w:rsidP="007D596E">
      <w:pPr>
        <w:pStyle w:val="Prrafodelista"/>
        <w:numPr>
          <w:ilvl w:val="0"/>
          <w:numId w:val="4"/>
        </w:numPr>
        <w:spacing w:before="120" w:after="120" w:line="312" w:lineRule="auto"/>
        <w:contextualSpacing w:val="0"/>
        <w:jc w:val="both"/>
      </w:pPr>
      <w:r w:rsidRPr="00441962">
        <w:t xml:space="preserve">Debería de </w:t>
      </w:r>
      <w:r w:rsidR="0040208C">
        <w:t>completarse la información sobre la estructura organizativa de la sociedad.</w:t>
      </w:r>
    </w:p>
    <w:p w:rsidR="0040208C" w:rsidRPr="0040208C" w:rsidRDefault="00A858B3" w:rsidP="007D596E">
      <w:pPr>
        <w:pStyle w:val="Prrafodelista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rFonts w:eastAsiaTheme="minorHAnsi"/>
          <w:lang w:eastAsia="en-US" w:bidi="es-ES"/>
        </w:rPr>
      </w:pPr>
      <w:r>
        <w:t xml:space="preserve"> </w:t>
      </w:r>
      <w:r w:rsidR="002B36D2" w:rsidRPr="00441962">
        <w:t>Debe</w:t>
      </w:r>
      <w:r w:rsidR="007612AB" w:rsidRPr="00441962">
        <w:t>ría</w:t>
      </w:r>
      <w:r w:rsidR="002B36D2" w:rsidRPr="00441962">
        <w:t xml:space="preserve"> informarse sobre el perfil y trayectoria profesional de</w:t>
      </w:r>
      <w:r w:rsidR="00E326C1" w:rsidRPr="00441962">
        <w:t xml:space="preserve"> todos los responsables de la sociedad</w:t>
      </w:r>
      <w:r w:rsidR="0040208C">
        <w:t>.</w:t>
      </w:r>
    </w:p>
    <w:p w:rsidR="00BF43F4" w:rsidRPr="0040208C" w:rsidRDefault="00885012" w:rsidP="007D596E">
      <w:pPr>
        <w:spacing w:before="120" w:after="120" w:line="312" w:lineRule="auto"/>
        <w:jc w:val="both"/>
        <w:rPr>
          <w:rFonts w:eastAsiaTheme="minorHAnsi"/>
          <w:lang w:eastAsia="en-US" w:bidi="es-ES"/>
        </w:rPr>
      </w:pPr>
      <w:r>
        <w:t xml:space="preserve"> </w:t>
      </w:r>
    </w:p>
    <w:p w:rsidR="001179AB" w:rsidRPr="00BF43F4" w:rsidRDefault="001179AB" w:rsidP="007D596E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Información Económica, Presupuestaria y Estadística</w:t>
      </w:r>
    </w:p>
    <w:p w:rsidR="00B9022C" w:rsidRPr="00FD3CDB" w:rsidRDefault="00B9022C" w:rsidP="007D596E">
      <w:pPr>
        <w:numPr>
          <w:ilvl w:val="0"/>
          <w:numId w:val="8"/>
        </w:numPr>
        <w:spacing w:before="120" w:after="120" w:line="312" w:lineRule="auto"/>
        <w:ind w:left="714" w:hanging="357"/>
        <w:jc w:val="both"/>
      </w:pPr>
      <w:r w:rsidRPr="00FD3CDB">
        <w:rPr>
          <w:rFonts w:eastAsiaTheme="majorEastAsia" w:cstheme="majorBidi"/>
          <w:bCs/>
        </w:rPr>
        <w:t>Debe publicar</w:t>
      </w:r>
      <w:r w:rsidR="00441962" w:rsidRPr="00FD3CDB">
        <w:rPr>
          <w:rFonts w:eastAsiaTheme="majorEastAsia" w:cstheme="majorBidi"/>
          <w:bCs/>
        </w:rPr>
        <w:t xml:space="preserve"> información actualizada sobre</w:t>
      </w:r>
      <w:r w:rsidRPr="00FD3CDB">
        <w:rPr>
          <w:rFonts w:eastAsiaTheme="majorEastAsia" w:cstheme="majorBidi"/>
          <w:bCs/>
        </w:rPr>
        <w:t xml:space="preserve"> subvenciones y ayudas públicas con indicación de su importe, objetivo o finalidad y beneficiario.</w:t>
      </w:r>
    </w:p>
    <w:p w:rsidR="00553D6F" w:rsidRPr="007D596E" w:rsidRDefault="00553D6F" w:rsidP="00553D6F">
      <w:pPr>
        <w:pStyle w:val="Prrafodelista"/>
        <w:numPr>
          <w:ilvl w:val="0"/>
          <w:numId w:val="8"/>
        </w:numPr>
        <w:spacing w:before="120" w:after="120" w:line="312" w:lineRule="auto"/>
        <w:jc w:val="both"/>
      </w:pPr>
      <w:r w:rsidRPr="00FD3CDB">
        <w:t>Debe</w:t>
      </w:r>
      <w:r>
        <w:t>ría</w:t>
      </w:r>
      <w:r w:rsidRPr="00FD3CDB">
        <w:t xml:space="preserve"> publicar</w:t>
      </w:r>
      <w:r w:rsidRPr="007D596E">
        <w:t xml:space="preserve"> – o enla</w:t>
      </w:r>
      <w:r>
        <w:t>zar</w:t>
      </w:r>
      <w:r w:rsidRPr="007D596E">
        <w:t xml:space="preserve"> – a los informes de fiscalización realizados por órganos de control externo.</w:t>
      </w:r>
    </w:p>
    <w:p w:rsidR="0098354A" w:rsidRPr="00FD3CDB" w:rsidRDefault="0098354A" w:rsidP="007D596E">
      <w:pPr>
        <w:pStyle w:val="Prrafodelista"/>
        <w:numPr>
          <w:ilvl w:val="0"/>
          <w:numId w:val="8"/>
        </w:numPr>
        <w:spacing w:before="120" w:after="120" w:line="312" w:lineRule="auto"/>
        <w:ind w:left="714" w:hanging="357"/>
        <w:contextualSpacing w:val="0"/>
        <w:jc w:val="both"/>
      </w:pPr>
      <w:r w:rsidRPr="00FD3CDB">
        <w:t xml:space="preserve">Debe publicarse información </w:t>
      </w:r>
      <w:r w:rsidR="00441962" w:rsidRPr="00FD3CDB">
        <w:t xml:space="preserve">(actualizada) </w:t>
      </w:r>
      <w:r w:rsidRPr="00FD3CDB">
        <w:t>sobre las retribuciones correspondientes a los altos cargos</w:t>
      </w:r>
      <w:r w:rsidR="00B9022C" w:rsidRPr="00FD3CDB">
        <w:t xml:space="preserve"> y </w:t>
      </w:r>
      <w:r w:rsidR="00441962" w:rsidRPr="00FD3CDB">
        <w:t xml:space="preserve">todos los </w:t>
      </w:r>
      <w:r w:rsidR="00B9022C" w:rsidRPr="00FD3CDB">
        <w:t>máximos responsable</w:t>
      </w:r>
      <w:r w:rsidR="00680946" w:rsidRPr="00FD3CDB">
        <w:t>s</w:t>
      </w:r>
      <w:r w:rsidRPr="00FD3CDB">
        <w:t>.</w:t>
      </w:r>
    </w:p>
    <w:p w:rsidR="0098354A" w:rsidRPr="00FD3CDB" w:rsidRDefault="0098354A" w:rsidP="007D596E">
      <w:pPr>
        <w:pStyle w:val="Prrafodelista"/>
        <w:numPr>
          <w:ilvl w:val="0"/>
          <w:numId w:val="8"/>
        </w:numPr>
        <w:spacing w:before="120" w:after="120" w:line="312" w:lineRule="auto"/>
        <w:ind w:left="714" w:hanging="357"/>
        <w:contextualSpacing w:val="0"/>
        <w:jc w:val="both"/>
      </w:pPr>
      <w:r w:rsidRPr="00FD3CDB">
        <w:t xml:space="preserve">Deben publicarse las indemnizaciones percibidas por los altos cargos </w:t>
      </w:r>
      <w:r w:rsidR="005D6F3B" w:rsidRPr="00FD3CDB">
        <w:t xml:space="preserve">y máximos responsables </w:t>
      </w:r>
      <w:r w:rsidRPr="00FD3CDB">
        <w:t>con ocasión del abandono del cargo</w:t>
      </w:r>
    </w:p>
    <w:p w:rsidR="0098354A" w:rsidRPr="00FD3CDB" w:rsidRDefault="0098354A" w:rsidP="007D596E">
      <w:pPr>
        <w:pStyle w:val="Prrafodelista"/>
        <w:numPr>
          <w:ilvl w:val="0"/>
          <w:numId w:val="8"/>
        </w:numPr>
        <w:spacing w:before="120" w:after="120" w:line="312" w:lineRule="auto"/>
        <w:ind w:left="714" w:hanging="357"/>
        <w:contextualSpacing w:val="0"/>
        <w:jc w:val="both"/>
      </w:pPr>
      <w:r w:rsidRPr="00FD3CDB">
        <w:t>Deben publicarse las autorizaciones</w:t>
      </w:r>
      <w:r w:rsidR="00B9022C" w:rsidRPr="00FD3CDB">
        <w:t xml:space="preserve"> </w:t>
      </w:r>
      <w:r w:rsidRPr="00FD3CDB">
        <w:t>para la compatibilidad con actividades públicas o privadas</w:t>
      </w:r>
      <w:r w:rsidR="00B9022C" w:rsidRPr="00FD3CDB">
        <w:t xml:space="preserve"> </w:t>
      </w:r>
      <w:r w:rsidRPr="00FD3CDB">
        <w:t>concedidas a los empleados públicos de</w:t>
      </w:r>
      <w:r w:rsidR="00B9022C" w:rsidRPr="00FD3CDB">
        <w:t xml:space="preserve"> la sociedad</w:t>
      </w:r>
      <w:r w:rsidRPr="00FD3CDB">
        <w:t>.</w:t>
      </w:r>
    </w:p>
    <w:p w:rsidR="0098354A" w:rsidRPr="00FD3CDB" w:rsidRDefault="0098354A" w:rsidP="007D596E">
      <w:pPr>
        <w:pStyle w:val="Prrafodelista"/>
        <w:numPr>
          <w:ilvl w:val="0"/>
          <w:numId w:val="8"/>
        </w:numPr>
        <w:spacing w:before="120" w:after="120" w:line="312" w:lineRule="auto"/>
        <w:ind w:left="714" w:hanging="357"/>
        <w:contextualSpacing w:val="0"/>
        <w:jc w:val="both"/>
      </w:pPr>
      <w:r w:rsidRPr="00FD3CDB">
        <w:t>Deben publicarse las autorizaciones para el ejercicio de actividades privadas al cese de altos cargos</w:t>
      </w:r>
      <w:r w:rsidR="003F0CD0" w:rsidRPr="00FD3CDB">
        <w:t>.</w:t>
      </w:r>
      <w:r w:rsidRPr="00FD3CDB">
        <w:t xml:space="preserve"> </w:t>
      </w:r>
    </w:p>
    <w:p w:rsidR="00702FF8" w:rsidRPr="00BF43F4" w:rsidRDefault="00702FF8" w:rsidP="007D596E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</w:p>
    <w:p w:rsidR="001179AB" w:rsidRDefault="001179AB" w:rsidP="007D596E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BF43F4">
        <w:rPr>
          <w:b/>
          <w:color w:val="00642D"/>
        </w:rPr>
        <w:t>Calidad de la Información</w:t>
      </w:r>
    </w:p>
    <w:p w:rsidR="00D20453" w:rsidRPr="00CE51A5" w:rsidRDefault="00702FF8" w:rsidP="007D596E">
      <w:pPr>
        <w:pStyle w:val="Prrafodelista"/>
        <w:numPr>
          <w:ilvl w:val="0"/>
          <w:numId w:val="9"/>
        </w:numPr>
        <w:spacing w:before="120" w:after="120" w:line="312" w:lineRule="auto"/>
        <w:ind w:left="714" w:hanging="357"/>
        <w:contextualSpacing w:val="0"/>
        <w:jc w:val="both"/>
      </w:pPr>
      <w:r w:rsidRPr="00BF43F4">
        <w:t>Toda l</w:t>
      </w:r>
      <w:r w:rsidR="001179AB" w:rsidRPr="00BF43F4">
        <w:t>a información debe publicarse en</w:t>
      </w:r>
      <w:r w:rsidR="001179AB" w:rsidRPr="00CE51A5">
        <w:t xml:space="preserve"> formatos reutilizables según lo dispuesto por la Ley 17/2007, de reutilización de la información del sector público</w:t>
      </w:r>
      <w:r w:rsidR="003F0CD0" w:rsidRPr="00CE51A5">
        <w:t>.</w:t>
      </w:r>
      <w:r w:rsidR="001179AB" w:rsidRPr="00CE51A5">
        <w:t xml:space="preserve"> </w:t>
      </w:r>
    </w:p>
    <w:p w:rsidR="001179AB" w:rsidRPr="00DA5FC4" w:rsidRDefault="001179AB" w:rsidP="007D596E">
      <w:pPr>
        <w:pStyle w:val="Prrafodelista"/>
        <w:numPr>
          <w:ilvl w:val="0"/>
          <w:numId w:val="9"/>
        </w:numPr>
        <w:spacing w:before="120" w:after="120" w:line="312" w:lineRule="auto"/>
        <w:ind w:left="714" w:hanging="357"/>
        <w:contextualSpacing w:val="0"/>
        <w:jc w:val="both"/>
        <w:rPr>
          <w:color w:val="FF0000"/>
        </w:rPr>
      </w:pPr>
      <w:r w:rsidRPr="00BF43F4">
        <w:t>Debe</w:t>
      </w:r>
      <w:r w:rsidR="00D23F37" w:rsidRPr="00BF43F4">
        <w:t xml:space="preserve"> </w:t>
      </w:r>
      <w:r w:rsidR="00B9022C">
        <w:t xml:space="preserve">datarse y actualizarse </w:t>
      </w:r>
      <w:r w:rsidR="00D23F37" w:rsidRPr="00BF43F4">
        <w:t>toda la información que no lo esté</w:t>
      </w:r>
      <w:r w:rsidR="00B9022C">
        <w:t xml:space="preserve">, </w:t>
      </w:r>
      <w:r w:rsidR="00D23F37" w:rsidRPr="00BF43F4">
        <w:t xml:space="preserve">e </w:t>
      </w:r>
      <w:r w:rsidRPr="00BF43F4">
        <w:t>incluirse referencias a la fecha en que se revisó o actualizó por última vez la información.</w:t>
      </w:r>
      <w:r w:rsidR="003F5239">
        <w:t xml:space="preserve"> </w:t>
      </w:r>
      <w:r w:rsidR="003F5239" w:rsidRPr="00067B7A">
        <w:t>También se recomienda incluir en el Portal de Transparencia una referencia a la última fecha en que se revisó o actualizó la información. Solo de esta manera sería posible para la ciudadanía saber si la información que está consultando está vigente.</w:t>
      </w:r>
    </w:p>
    <w:p w:rsidR="00DA5FC4" w:rsidRPr="00911AA5" w:rsidRDefault="00DA5FC4" w:rsidP="007D596E">
      <w:pPr>
        <w:pStyle w:val="Prrafodelista"/>
        <w:numPr>
          <w:ilvl w:val="0"/>
          <w:numId w:val="9"/>
        </w:numPr>
        <w:spacing w:before="120" w:after="120" w:line="312" w:lineRule="auto"/>
        <w:ind w:left="714" w:right="-24" w:hanging="357"/>
        <w:contextualSpacing w:val="0"/>
        <w:jc w:val="both"/>
      </w:pPr>
      <w:r w:rsidRPr="00911AA5">
        <w:t>Sería deseable que toda la información sujeta a obligaciones de publicidad activa se localizase dentro del Portal de Transparencia, bien directamente, bien a través de un enlace.</w:t>
      </w:r>
    </w:p>
    <w:p w:rsidR="00DA5FC4" w:rsidRPr="003F5239" w:rsidRDefault="00DA5FC4" w:rsidP="007D596E">
      <w:pPr>
        <w:pStyle w:val="Prrafodelista"/>
        <w:numPr>
          <w:ilvl w:val="0"/>
          <w:numId w:val="9"/>
        </w:numPr>
        <w:spacing w:before="120" w:after="120" w:line="312" w:lineRule="auto"/>
        <w:ind w:right="-24"/>
        <w:contextualSpacing w:val="0"/>
        <w:jc w:val="both"/>
        <w:rPr>
          <w:bCs/>
        </w:rPr>
      </w:pPr>
      <w:r w:rsidRPr="003F5239">
        <w:t>Se recomienda que en el caso de que no hubiera información que publicar, se señale expresamente esta circunstancia</w:t>
      </w:r>
      <w:r w:rsidRPr="003F5239">
        <w:rPr>
          <w:b/>
          <w:bCs/>
        </w:rPr>
        <w:t>.</w:t>
      </w:r>
    </w:p>
    <w:p w:rsidR="00CE51A5" w:rsidRDefault="001179AB" w:rsidP="0012518A">
      <w:pPr>
        <w:spacing w:before="120" w:after="120" w:line="312" w:lineRule="auto"/>
        <w:jc w:val="right"/>
      </w:pPr>
      <w:r>
        <w:t xml:space="preserve">Madrid, </w:t>
      </w:r>
      <w:r w:rsidR="0012518A">
        <w:t>agosto</w:t>
      </w:r>
      <w:r>
        <w:t xml:space="preserve"> de 2021</w:t>
      </w:r>
      <w:bookmarkStart w:id="0" w:name="_GoBack"/>
      <w:bookmarkEnd w:id="0"/>
      <w:r w:rsidR="00CE51A5">
        <w:br w:type="page"/>
      </w:r>
    </w:p>
    <w:p w:rsidR="00121C30" w:rsidRDefault="00121C30"/>
    <w:p w:rsidR="00121C30" w:rsidRPr="00121C30" w:rsidRDefault="005D042E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</w:t>
            </w:r>
            <w:r w:rsidR="00AB3949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121C30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3F52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2E" w:rsidRDefault="005D042E" w:rsidP="00932008">
      <w:pPr>
        <w:spacing w:after="0" w:line="240" w:lineRule="auto"/>
      </w:pPr>
      <w:r>
        <w:separator/>
      </w:r>
    </w:p>
  </w:endnote>
  <w:endnote w:type="continuationSeparator" w:id="0">
    <w:p w:rsidR="005D042E" w:rsidRDefault="005D042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2E" w:rsidRDefault="005D04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2E" w:rsidRDefault="005D042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2E" w:rsidRDefault="005D04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2E" w:rsidRDefault="005D042E" w:rsidP="00932008">
      <w:pPr>
        <w:spacing w:after="0" w:line="240" w:lineRule="auto"/>
      </w:pPr>
      <w:r>
        <w:separator/>
      </w:r>
    </w:p>
  </w:footnote>
  <w:footnote w:type="continuationSeparator" w:id="0">
    <w:p w:rsidR="005D042E" w:rsidRDefault="005D042E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2E" w:rsidRDefault="005D04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2E" w:rsidRDefault="005D042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2E" w:rsidRDefault="005D04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33_"/>
      </v:shape>
    </w:pict>
  </w:numPicBullet>
  <w:abstractNum w:abstractNumId="0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25639"/>
    <w:multiLevelType w:val="hybridMultilevel"/>
    <w:tmpl w:val="EC401364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865CE"/>
    <w:multiLevelType w:val="multilevel"/>
    <w:tmpl w:val="9E9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F202A"/>
    <w:multiLevelType w:val="hybridMultilevel"/>
    <w:tmpl w:val="6C24433E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F49C8"/>
    <w:multiLevelType w:val="hybridMultilevel"/>
    <w:tmpl w:val="9558BF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2902"/>
    <w:multiLevelType w:val="hybridMultilevel"/>
    <w:tmpl w:val="E0328CA2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06CFC"/>
    <w:multiLevelType w:val="hybridMultilevel"/>
    <w:tmpl w:val="8F448A5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41EF0"/>
    <w:multiLevelType w:val="hybridMultilevel"/>
    <w:tmpl w:val="13A4E678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746CAB"/>
    <w:multiLevelType w:val="hybridMultilevel"/>
    <w:tmpl w:val="6F1619D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45BC3"/>
    <w:multiLevelType w:val="hybridMultilevel"/>
    <w:tmpl w:val="319EE6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21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19"/>
  </w:num>
  <w:num w:numId="10">
    <w:abstractNumId w:val="8"/>
  </w:num>
  <w:num w:numId="11">
    <w:abstractNumId w:val="9"/>
  </w:num>
  <w:num w:numId="12">
    <w:abstractNumId w:val="14"/>
  </w:num>
  <w:num w:numId="13">
    <w:abstractNumId w:val="17"/>
  </w:num>
  <w:num w:numId="14">
    <w:abstractNumId w:val="18"/>
  </w:num>
  <w:num w:numId="15">
    <w:abstractNumId w:val="2"/>
  </w:num>
  <w:num w:numId="16">
    <w:abstractNumId w:val="3"/>
  </w:num>
  <w:num w:numId="17">
    <w:abstractNumId w:val="10"/>
  </w:num>
  <w:num w:numId="18">
    <w:abstractNumId w:val="19"/>
  </w:num>
  <w:num w:numId="19">
    <w:abstractNumId w:val="1"/>
  </w:num>
  <w:num w:numId="20">
    <w:abstractNumId w:val="22"/>
  </w:num>
  <w:num w:numId="21">
    <w:abstractNumId w:val="13"/>
  </w:num>
  <w:num w:numId="22">
    <w:abstractNumId w:val="20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5576C"/>
    <w:rsid w:val="00056F6C"/>
    <w:rsid w:val="00063A03"/>
    <w:rsid w:val="00082E36"/>
    <w:rsid w:val="00087908"/>
    <w:rsid w:val="000965B3"/>
    <w:rsid w:val="000A136A"/>
    <w:rsid w:val="000A5616"/>
    <w:rsid w:val="000C6CFF"/>
    <w:rsid w:val="000C7D64"/>
    <w:rsid w:val="000D1327"/>
    <w:rsid w:val="000E7845"/>
    <w:rsid w:val="000F12F7"/>
    <w:rsid w:val="000F7B82"/>
    <w:rsid w:val="000F7BCF"/>
    <w:rsid w:val="00102733"/>
    <w:rsid w:val="001037EF"/>
    <w:rsid w:val="001179AB"/>
    <w:rsid w:val="00121C30"/>
    <w:rsid w:val="0012518A"/>
    <w:rsid w:val="001509B5"/>
    <w:rsid w:val="00155C93"/>
    <w:rsid w:val="001561A4"/>
    <w:rsid w:val="0015759C"/>
    <w:rsid w:val="00171B86"/>
    <w:rsid w:val="00177C0B"/>
    <w:rsid w:val="00182938"/>
    <w:rsid w:val="001918E8"/>
    <w:rsid w:val="00196E94"/>
    <w:rsid w:val="001A5E94"/>
    <w:rsid w:val="001C2A8B"/>
    <w:rsid w:val="00212589"/>
    <w:rsid w:val="00222C4B"/>
    <w:rsid w:val="00231932"/>
    <w:rsid w:val="00243B6A"/>
    <w:rsid w:val="00247A45"/>
    <w:rsid w:val="00282848"/>
    <w:rsid w:val="002A0B95"/>
    <w:rsid w:val="002A154B"/>
    <w:rsid w:val="002A72B0"/>
    <w:rsid w:val="002B36D2"/>
    <w:rsid w:val="002B4079"/>
    <w:rsid w:val="002D30F5"/>
    <w:rsid w:val="00315D71"/>
    <w:rsid w:val="00320444"/>
    <w:rsid w:val="0032102D"/>
    <w:rsid w:val="00321A48"/>
    <w:rsid w:val="00326F39"/>
    <w:rsid w:val="00345A70"/>
    <w:rsid w:val="00355B0B"/>
    <w:rsid w:val="0035609D"/>
    <w:rsid w:val="003613C3"/>
    <w:rsid w:val="00376EAC"/>
    <w:rsid w:val="00392269"/>
    <w:rsid w:val="003C3B3A"/>
    <w:rsid w:val="003C708A"/>
    <w:rsid w:val="003D3077"/>
    <w:rsid w:val="003E31AC"/>
    <w:rsid w:val="003F0CD0"/>
    <w:rsid w:val="003F0D0D"/>
    <w:rsid w:val="003F271E"/>
    <w:rsid w:val="003F5239"/>
    <w:rsid w:val="003F572A"/>
    <w:rsid w:val="0040208C"/>
    <w:rsid w:val="00414283"/>
    <w:rsid w:val="00441962"/>
    <w:rsid w:val="0044421F"/>
    <w:rsid w:val="004443A9"/>
    <w:rsid w:val="00453CE5"/>
    <w:rsid w:val="00463637"/>
    <w:rsid w:val="00492DF1"/>
    <w:rsid w:val="00497B1E"/>
    <w:rsid w:val="004A193C"/>
    <w:rsid w:val="004D2663"/>
    <w:rsid w:val="004E29AF"/>
    <w:rsid w:val="004E7205"/>
    <w:rsid w:val="004F2655"/>
    <w:rsid w:val="0050370B"/>
    <w:rsid w:val="00521DA9"/>
    <w:rsid w:val="00531564"/>
    <w:rsid w:val="00544E0C"/>
    <w:rsid w:val="00553D6F"/>
    <w:rsid w:val="0056132B"/>
    <w:rsid w:val="00561402"/>
    <w:rsid w:val="00563E2C"/>
    <w:rsid w:val="0057532F"/>
    <w:rsid w:val="005B13BD"/>
    <w:rsid w:val="005B608D"/>
    <w:rsid w:val="005B6CF5"/>
    <w:rsid w:val="005D042E"/>
    <w:rsid w:val="005D59B0"/>
    <w:rsid w:val="005D6F3B"/>
    <w:rsid w:val="005F29B8"/>
    <w:rsid w:val="00600638"/>
    <w:rsid w:val="00607165"/>
    <w:rsid w:val="00614881"/>
    <w:rsid w:val="00616000"/>
    <w:rsid w:val="00665CC1"/>
    <w:rsid w:val="00680946"/>
    <w:rsid w:val="006855DB"/>
    <w:rsid w:val="006A24B2"/>
    <w:rsid w:val="006A2766"/>
    <w:rsid w:val="006A390C"/>
    <w:rsid w:val="006A6E63"/>
    <w:rsid w:val="006D5F56"/>
    <w:rsid w:val="006E4529"/>
    <w:rsid w:val="006F3CA6"/>
    <w:rsid w:val="00702FF8"/>
    <w:rsid w:val="00707DA4"/>
    <w:rsid w:val="00710031"/>
    <w:rsid w:val="007116B2"/>
    <w:rsid w:val="0072156A"/>
    <w:rsid w:val="007370E8"/>
    <w:rsid w:val="00742778"/>
    <w:rsid w:val="00743756"/>
    <w:rsid w:val="00743886"/>
    <w:rsid w:val="007444C5"/>
    <w:rsid w:val="00746C83"/>
    <w:rsid w:val="007603B3"/>
    <w:rsid w:val="0076064A"/>
    <w:rsid w:val="007612AB"/>
    <w:rsid w:val="007850FB"/>
    <w:rsid w:val="007903EA"/>
    <w:rsid w:val="00790A5B"/>
    <w:rsid w:val="0079783E"/>
    <w:rsid w:val="007B0F99"/>
    <w:rsid w:val="007D596E"/>
    <w:rsid w:val="007D6373"/>
    <w:rsid w:val="007E6ED4"/>
    <w:rsid w:val="007F1D0F"/>
    <w:rsid w:val="007F72A8"/>
    <w:rsid w:val="00802C7C"/>
    <w:rsid w:val="00806DE9"/>
    <w:rsid w:val="008075A4"/>
    <w:rsid w:val="00826773"/>
    <w:rsid w:val="0083209D"/>
    <w:rsid w:val="00843911"/>
    <w:rsid w:val="00844FA9"/>
    <w:rsid w:val="00873061"/>
    <w:rsid w:val="008770D3"/>
    <w:rsid w:val="00885012"/>
    <w:rsid w:val="008861AF"/>
    <w:rsid w:val="00894571"/>
    <w:rsid w:val="008979D7"/>
    <w:rsid w:val="008A37B5"/>
    <w:rsid w:val="008B3082"/>
    <w:rsid w:val="008C1E1E"/>
    <w:rsid w:val="008D0E54"/>
    <w:rsid w:val="008D3856"/>
    <w:rsid w:val="008E05B9"/>
    <w:rsid w:val="008E7D0B"/>
    <w:rsid w:val="008F5CE3"/>
    <w:rsid w:val="009038B7"/>
    <w:rsid w:val="0090450D"/>
    <w:rsid w:val="00913174"/>
    <w:rsid w:val="0091759F"/>
    <w:rsid w:val="009214BE"/>
    <w:rsid w:val="00924073"/>
    <w:rsid w:val="00932008"/>
    <w:rsid w:val="00953D1D"/>
    <w:rsid w:val="009609E9"/>
    <w:rsid w:val="00967377"/>
    <w:rsid w:val="0098354A"/>
    <w:rsid w:val="009B5E47"/>
    <w:rsid w:val="009C54FB"/>
    <w:rsid w:val="009D16D8"/>
    <w:rsid w:val="009F206C"/>
    <w:rsid w:val="00A10261"/>
    <w:rsid w:val="00A27488"/>
    <w:rsid w:val="00A505F1"/>
    <w:rsid w:val="00A6166B"/>
    <w:rsid w:val="00A8146B"/>
    <w:rsid w:val="00A83804"/>
    <w:rsid w:val="00A858B3"/>
    <w:rsid w:val="00A8668E"/>
    <w:rsid w:val="00A95F9C"/>
    <w:rsid w:val="00AA102A"/>
    <w:rsid w:val="00AA4E7E"/>
    <w:rsid w:val="00AA607B"/>
    <w:rsid w:val="00AB3949"/>
    <w:rsid w:val="00AD06BA"/>
    <w:rsid w:val="00AD2022"/>
    <w:rsid w:val="00AD29E8"/>
    <w:rsid w:val="00AD7C1D"/>
    <w:rsid w:val="00AE1666"/>
    <w:rsid w:val="00AF2AAB"/>
    <w:rsid w:val="00B030DA"/>
    <w:rsid w:val="00B03DF0"/>
    <w:rsid w:val="00B22FFA"/>
    <w:rsid w:val="00B303B2"/>
    <w:rsid w:val="00B316E5"/>
    <w:rsid w:val="00B40246"/>
    <w:rsid w:val="00B63FEE"/>
    <w:rsid w:val="00B804F3"/>
    <w:rsid w:val="00B841AE"/>
    <w:rsid w:val="00B84ED3"/>
    <w:rsid w:val="00B9022C"/>
    <w:rsid w:val="00B932E4"/>
    <w:rsid w:val="00BA1753"/>
    <w:rsid w:val="00BA57D3"/>
    <w:rsid w:val="00BA7733"/>
    <w:rsid w:val="00BB6799"/>
    <w:rsid w:val="00BC6B57"/>
    <w:rsid w:val="00BD4582"/>
    <w:rsid w:val="00BE6A46"/>
    <w:rsid w:val="00BF35C8"/>
    <w:rsid w:val="00BF43F4"/>
    <w:rsid w:val="00BF6F19"/>
    <w:rsid w:val="00C05F64"/>
    <w:rsid w:val="00C074A6"/>
    <w:rsid w:val="00C20F23"/>
    <w:rsid w:val="00C30AE1"/>
    <w:rsid w:val="00C33A23"/>
    <w:rsid w:val="00C43711"/>
    <w:rsid w:val="00C5053A"/>
    <w:rsid w:val="00C50D13"/>
    <w:rsid w:val="00C53AE3"/>
    <w:rsid w:val="00C5744D"/>
    <w:rsid w:val="00C6013A"/>
    <w:rsid w:val="00C65A7A"/>
    <w:rsid w:val="00C66635"/>
    <w:rsid w:val="00C7005E"/>
    <w:rsid w:val="00C72AD3"/>
    <w:rsid w:val="00C9403B"/>
    <w:rsid w:val="00CB5511"/>
    <w:rsid w:val="00CC2049"/>
    <w:rsid w:val="00CC38ED"/>
    <w:rsid w:val="00CC451F"/>
    <w:rsid w:val="00CE51A5"/>
    <w:rsid w:val="00CF23B6"/>
    <w:rsid w:val="00D002D4"/>
    <w:rsid w:val="00D051A3"/>
    <w:rsid w:val="00D164BD"/>
    <w:rsid w:val="00D20453"/>
    <w:rsid w:val="00D23F37"/>
    <w:rsid w:val="00D3051B"/>
    <w:rsid w:val="00D45248"/>
    <w:rsid w:val="00D458C2"/>
    <w:rsid w:val="00D6232D"/>
    <w:rsid w:val="00D9084F"/>
    <w:rsid w:val="00D96F84"/>
    <w:rsid w:val="00DA3658"/>
    <w:rsid w:val="00DA5FC4"/>
    <w:rsid w:val="00DC44B2"/>
    <w:rsid w:val="00DD58B3"/>
    <w:rsid w:val="00DF077D"/>
    <w:rsid w:val="00DF63E7"/>
    <w:rsid w:val="00E0211B"/>
    <w:rsid w:val="00E100D8"/>
    <w:rsid w:val="00E16221"/>
    <w:rsid w:val="00E274F2"/>
    <w:rsid w:val="00E3088D"/>
    <w:rsid w:val="00E326C1"/>
    <w:rsid w:val="00E34195"/>
    <w:rsid w:val="00E42BEA"/>
    <w:rsid w:val="00E47613"/>
    <w:rsid w:val="00E54A74"/>
    <w:rsid w:val="00E84A2A"/>
    <w:rsid w:val="00E85B09"/>
    <w:rsid w:val="00E87BB6"/>
    <w:rsid w:val="00E92927"/>
    <w:rsid w:val="00E92BE3"/>
    <w:rsid w:val="00EA1E0B"/>
    <w:rsid w:val="00EA7789"/>
    <w:rsid w:val="00EC2B5E"/>
    <w:rsid w:val="00ED4A1F"/>
    <w:rsid w:val="00EE2812"/>
    <w:rsid w:val="00F14DA4"/>
    <w:rsid w:val="00F16E31"/>
    <w:rsid w:val="00F22512"/>
    <w:rsid w:val="00F4117B"/>
    <w:rsid w:val="00F47C3B"/>
    <w:rsid w:val="00F66371"/>
    <w:rsid w:val="00F704A4"/>
    <w:rsid w:val="00F71D7D"/>
    <w:rsid w:val="00F71D92"/>
    <w:rsid w:val="00F96B96"/>
    <w:rsid w:val="00FA263C"/>
    <w:rsid w:val="00FC0273"/>
    <w:rsid w:val="00FC4FE1"/>
    <w:rsid w:val="00FD3CDB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sid w:val="00EA1E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imprentadebilletes.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56208"/>
    <w:rsid w:val="000F349A"/>
    <w:rsid w:val="0013771E"/>
    <w:rsid w:val="001D68FC"/>
    <w:rsid w:val="002353EE"/>
    <w:rsid w:val="00391BE2"/>
    <w:rsid w:val="003D088C"/>
    <w:rsid w:val="0043252F"/>
    <w:rsid w:val="004C7436"/>
    <w:rsid w:val="005C439C"/>
    <w:rsid w:val="006A79BF"/>
    <w:rsid w:val="006E19CB"/>
    <w:rsid w:val="007A0322"/>
    <w:rsid w:val="007A1A3C"/>
    <w:rsid w:val="00875600"/>
    <w:rsid w:val="008B2695"/>
    <w:rsid w:val="008E1A51"/>
    <w:rsid w:val="009B3782"/>
    <w:rsid w:val="00A1408F"/>
    <w:rsid w:val="00A66078"/>
    <w:rsid w:val="00B74106"/>
    <w:rsid w:val="00BF2C04"/>
    <w:rsid w:val="00CA3A68"/>
    <w:rsid w:val="00D35513"/>
    <w:rsid w:val="00D9568B"/>
    <w:rsid w:val="00DB1124"/>
    <w:rsid w:val="00DC084A"/>
    <w:rsid w:val="00E55076"/>
    <w:rsid w:val="00E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8BDF1-45BF-4C67-8297-398C7920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7</TotalTime>
  <Pages>12</Pages>
  <Words>2111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2021-08-23T11:40:00Z</dcterms:created>
  <dcterms:modified xsi:type="dcterms:W3CDTF">2021-08-23T12:00:00Z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