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CC63EB" w:rsidRDefault="00CC63E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CC63EB" w:rsidRPr="00006957" w:rsidRDefault="00CC63E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CC63EB" w:rsidRDefault="00CC63EB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CC63EB" w:rsidRPr="00006957" w:rsidRDefault="00CC63EB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63EB" w:rsidRDefault="00CC63EB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CC63EB" w:rsidRDefault="00CC63EB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F36C7F" w:rsidP="00AC715D">
            <w:pPr>
              <w:rPr>
                <w:sz w:val="24"/>
                <w:szCs w:val="24"/>
              </w:rPr>
            </w:pPr>
            <w:r w:rsidRPr="00F36C7F">
              <w:rPr>
                <w:sz w:val="24"/>
                <w:szCs w:val="24"/>
              </w:rPr>
              <w:t>Consorcio para el Diseño, Construcción, Equipamiento y Explotación de la Plataforma Oceánica de Canarias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F36C7F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0272AA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0272AA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remitido información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0272AA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Pr="000272AA" w:rsidRDefault="000272AA" w:rsidP="0012783F">
      <w:pPr>
        <w:pStyle w:val="Cuerpodelboletn"/>
        <w:spacing w:before="120" w:after="120" w:line="312" w:lineRule="auto"/>
        <w:ind w:left="360"/>
        <w:rPr>
          <w:rStyle w:val="Ttulo2Car"/>
          <w:b w:val="0"/>
          <w:color w:val="auto"/>
          <w:sz w:val="22"/>
          <w:szCs w:val="22"/>
          <w:lang w:bidi="es-ES"/>
        </w:rPr>
      </w:pPr>
      <w:r w:rsidRPr="000272AA">
        <w:rPr>
          <w:rStyle w:val="Ttulo2Car"/>
          <w:b w:val="0"/>
          <w:color w:val="auto"/>
          <w:sz w:val="22"/>
          <w:szCs w:val="22"/>
          <w:lang w:bidi="es-ES"/>
        </w:rPr>
        <w:t>No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se ha remitido información.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314CFE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de </w:t>
      </w:r>
      <w:r w:rsidR="00314CFE">
        <w:rPr>
          <w:rStyle w:val="Ttulo2Car"/>
          <w:b w:val="0"/>
          <w:color w:val="auto"/>
          <w:sz w:val="22"/>
          <w:szCs w:val="22"/>
          <w:lang w:bidi="es-ES"/>
        </w:rPr>
        <w:t>PLOCAN</w:t>
      </w:r>
      <w:r w:rsidRPr="00314CFE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314CFE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314CFE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812AB" w:rsidRPr="00E34195" w:rsidRDefault="000272AA" w:rsidP="000272AA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F95C49" w:rsidRDefault="00CC63EB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PLOCAN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en su Portal de Transparencia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las solicitudes de acceso a la información pública.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este apartado dedicado al ejercicio del derecho de acceso </w:t>
      </w:r>
      <w:r w:rsidR="00314CFE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s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e informa</w:t>
      </w:r>
      <w:r w:rsidR="00314CFE">
        <w:rPr>
          <w:rStyle w:val="Ttulo2Car"/>
          <w:b w:val="0"/>
          <w:color w:val="auto"/>
          <w:sz w:val="22"/>
          <w:szCs w:val="22"/>
          <w:lang w:bidi="es-ES"/>
        </w:rPr>
        <w:t xml:space="preserve"> expresamente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sobre la posibilidad de solicitar información pública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a </w:t>
      </w:r>
      <w:r w:rsidR="00314CFE">
        <w:rPr>
          <w:rStyle w:val="Ttulo2Car"/>
          <w:b w:val="0"/>
          <w:color w:val="auto"/>
          <w:sz w:val="22"/>
          <w:szCs w:val="22"/>
          <w:lang w:bidi="es-ES"/>
        </w:rPr>
        <w:t>la entidad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F95C49" w:rsidRDefault="00CC63EB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PLOCAN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314CFE">
        <w:rPr>
          <w:rStyle w:val="Ttulo2Car"/>
          <w:b w:val="0"/>
          <w:color w:val="auto"/>
          <w:sz w:val="22"/>
          <w:szCs w:val="22"/>
          <w:lang w:bidi="es-ES"/>
        </w:rPr>
        <w:t xml:space="preserve">sólo ha habilitado la web como medio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para la presentación de las solicitudes de acceso.</w:t>
      </w:r>
    </w:p>
    <w:p w:rsidR="000272AA" w:rsidRDefault="000272AA" w:rsidP="00F95C4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95C49" w:rsidRDefault="00F95C49" w:rsidP="00F95C4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Para la presentación de las solicitudes se exigen como requisitos la</w:t>
      </w:r>
      <w:r w:rsidRPr="00F95C49">
        <w:rPr>
          <w:rStyle w:val="Ttulo2Car"/>
          <w:b w:val="0"/>
          <w:color w:val="auto"/>
          <w:sz w:val="22"/>
          <w:szCs w:val="22"/>
          <w:lang w:bidi="es-ES"/>
        </w:rPr>
        <w:t xml:space="preserve"> identificación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de la persona que efectúa la solicitud,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email de contacto</w:t>
      </w:r>
      <w:r w:rsidRPr="00F95C49">
        <w:rPr>
          <w:rStyle w:val="Ttulo2Car"/>
          <w:b w:val="0"/>
          <w:color w:val="auto"/>
          <w:sz w:val="22"/>
          <w:szCs w:val="22"/>
          <w:lang w:bidi="es-ES"/>
        </w:rPr>
        <w:t xml:space="preserve"> y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la aceptación de la política de privacidad.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34803" w:rsidRDefault="00CC63EB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PLOCAN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 proporciona un formulario web para la cumplimentación de las solicitudes pero no incluye instrucciones, explicaciones o ayudas adicionales</w:t>
      </w:r>
      <w:r w:rsidR="00626819">
        <w:rPr>
          <w:rStyle w:val="Ttulo2Car"/>
          <w:b w:val="0"/>
          <w:color w:val="auto"/>
          <w:sz w:val="22"/>
          <w:szCs w:val="22"/>
          <w:lang w:bidi="es-ES"/>
        </w:rPr>
        <w:t>,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 ni identifica al órgano competente para resolver.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0272AA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314CFE">
        <w:rPr>
          <w:color w:val="auto"/>
          <w:lang w:bidi="es-ES"/>
        </w:rPr>
        <w:t>10</w:t>
      </w:r>
      <w:r w:rsidR="000B2A81">
        <w:rPr>
          <w:color w:val="auto"/>
          <w:lang w:bidi="es-ES"/>
        </w:rPr>
        <w:t>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>a través del formulario disponible en la web institucional d</w:t>
      </w:r>
      <w:r w:rsidR="00314CFE">
        <w:rPr>
          <w:color w:val="auto"/>
          <w:lang w:bidi="es-ES"/>
        </w:rPr>
        <w:t xml:space="preserve">e </w:t>
      </w:r>
      <w:r w:rsidR="00CC63EB">
        <w:rPr>
          <w:color w:val="auto"/>
          <w:lang w:bidi="es-ES"/>
        </w:rPr>
        <w:t>PLOCAN</w:t>
      </w:r>
      <w:r w:rsidR="00904E47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 xml:space="preserve">una solicitud de acceso a información pública. </w:t>
      </w:r>
      <w:r w:rsidR="00314CFE">
        <w:rPr>
          <w:color w:val="auto"/>
          <w:lang w:bidi="es-ES"/>
        </w:rPr>
        <w:t>El 11/05/2021</w:t>
      </w:r>
      <w:r w:rsidR="000B2A81">
        <w:rPr>
          <w:color w:val="auto"/>
          <w:lang w:bidi="es-ES"/>
        </w:rPr>
        <w:t xml:space="preserve"> se emite un acuse de recibo por parte del organismo que incluye </w:t>
      </w:r>
      <w:r w:rsidR="00AC715D">
        <w:rPr>
          <w:color w:val="auto"/>
          <w:lang w:bidi="es-ES"/>
        </w:rPr>
        <w:t xml:space="preserve">la transcripción de la solicitud de información efectuada.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1E1C29" w:rsidRDefault="00904E47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</w:t>
      </w:r>
      <w:r w:rsidR="00F34803">
        <w:rPr>
          <w:color w:val="auto"/>
          <w:lang w:bidi="es-ES"/>
        </w:rPr>
        <w:t xml:space="preserve"> se </w:t>
      </w:r>
      <w:r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 xml:space="preserve">inicio de la tramitación de la solicitud.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AC715D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No se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>
        <w:rPr>
          <w:color w:val="auto"/>
          <w:lang w:bidi="es-ES"/>
        </w:rPr>
        <w:t xml:space="preserve">. Con fecha </w:t>
      </w:r>
      <w:r w:rsidR="00314CFE">
        <w:rPr>
          <w:color w:val="auto"/>
          <w:lang w:bidi="es-ES"/>
        </w:rPr>
        <w:t>28</w:t>
      </w:r>
      <w:r>
        <w:rPr>
          <w:color w:val="auto"/>
          <w:lang w:bidi="es-ES"/>
        </w:rPr>
        <w:t xml:space="preserve">/05/2021 </w:t>
      </w:r>
      <w:r w:rsidR="00626819">
        <w:rPr>
          <w:color w:val="auto"/>
          <w:lang w:bidi="es-ES"/>
        </w:rPr>
        <w:t>en respuesta a la solicitud de información</w:t>
      </w:r>
      <w:r>
        <w:rPr>
          <w:color w:val="auto"/>
          <w:lang w:bidi="es-ES"/>
        </w:rPr>
        <w:t>,</w:t>
      </w:r>
      <w:r w:rsidR="00626819">
        <w:rPr>
          <w:color w:val="auto"/>
          <w:lang w:bidi="es-ES"/>
        </w:rPr>
        <w:t xml:space="preserve"> se remite por correo electrónico</w:t>
      </w:r>
      <w:r w:rsidR="001C238B">
        <w:rPr>
          <w:color w:val="auto"/>
          <w:lang w:bidi="es-ES"/>
        </w:rPr>
        <w:t xml:space="preserve"> la </w:t>
      </w:r>
      <w:r w:rsidR="00FB2F95">
        <w:rPr>
          <w:color w:val="auto"/>
          <w:lang w:bidi="es-ES"/>
        </w:rPr>
        <w:t xml:space="preserve">información. </w:t>
      </w:r>
    </w:p>
    <w:p w:rsidR="00DF2ACE" w:rsidRDefault="00DF2ACE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Est</w:t>
      </w:r>
      <w:r w:rsidR="00AC715D">
        <w:rPr>
          <w:color w:val="auto"/>
          <w:lang w:bidi="es-ES"/>
        </w:rPr>
        <w:t>e</w:t>
      </w:r>
      <w:r w:rsidR="001C238B">
        <w:rPr>
          <w:color w:val="auto"/>
          <w:lang w:bidi="es-ES"/>
        </w:rPr>
        <w:t xml:space="preserve"> </w:t>
      </w:r>
      <w:r w:rsidR="00AC715D">
        <w:rPr>
          <w:color w:val="auto"/>
          <w:lang w:bidi="es-ES"/>
        </w:rPr>
        <w:t xml:space="preserve">correo </w:t>
      </w:r>
      <w:r>
        <w:rPr>
          <w:color w:val="auto"/>
          <w:lang w:bidi="es-ES"/>
        </w:rPr>
        <w:t xml:space="preserve">se firma por </w:t>
      </w:r>
      <w:r w:rsidR="00AC715D">
        <w:rPr>
          <w:color w:val="auto"/>
          <w:lang w:bidi="es-ES"/>
        </w:rPr>
        <w:t xml:space="preserve">el </w:t>
      </w:r>
      <w:r w:rsidR="00314CFE">
        <w:rPr>
          <w:color w:val="auto"/>
          <w:lang w:bidi="es-ES"/>
        </w:rPr>
        <w:t xml:space="preserve">Servicio de Información </w:t>
      </w:r>
      <w:r w:rsidR="00FB2F95">
        <w:rPr>
          <w:color w:val="auto"/>
          <w:lang w:bidi="es-ES"/>
        </w:rPr>
        <w:t>PLOCAN</w:t>
      </w:r>
      <w:r>
        <w:rPr>
          <w:color w:val="auto"/>
          <w:lang w:bidi="es-ES"/>
        </w:rPr>
        <w:t>.</w:t>
      </w:r>
    </w:p>
    <w:p w:rsidR="00F34803" w:rsidRDefault="00AC715D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E</w:t>
      </w:r>
      <w:r w:rsidR="001C238B">
        <w:rPr>
          <w:color w:val="auto"/>
          <w:lang w:bidi="es-ES"/>
        </w:rPr>
        <w:t xml:space="preserve">n el correo electrónico de remisión </w:t>
      </w:r>
      <w:r w:rsidR="00FB2F95">
        <w:rPr>
          <w:color w:val="auto"/>
          <w:lang w:bidi="es-ES"/>
        </w:rPr>
        <w:t xml:space="preserve">no </w:t>
      </w:r>
      <w:r w:rsidR="001C238B">
        <w:rPr>
          <w:color w:val="auto"/>
          <w:lang w:bidi="es-ES"/>
        </w:rPr>
        <w:t xml:space="preserve">se </w:t>
      </w:r>
      <w:r w:rsidR="00904E47">
        <w:rPr>
          <w:color w:val="auto"/>
          <w:lang w:bidi="es-ES"/>
        </w:rPr>
        <w:t xml:space="preserve">informa </w:t>
      </w:r>
      <w:r w:rsidR="000272AA">
        <w:rPr>
          <w:color w:val="auto"/>
          <w:lang w:bidi="es-ES"/>
        </w:rPr>
        <w:t>sobre</w:t>
      </w:r>
      <w:r w:rsidR="00904E47">
        <w:rPr>
          <w:color w:val="auto"/>
          <w:lang w:bidi="es-ES"/>
        </w:rPr>
        <w:t xml:space="preserve"> los posibles recursos que el solicitante puede interponer en caso de disconformidad con la información recibida.</w:t>
      </w:r>
    </w:p>
    <w:p w:rsidR="00046805" w:rsidRDefault="00046805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046805">
        <w:rPr>
          <w:color w:val="auto"/>
          <w:lang w:bidi="es-ES"/>
        </w:rPr>
        <w:t xml:space="preserve">La información </w:t>
      </w:r>
      <w:r w:rsidR="00AC715D">
        <w:rPr>
          <w:color w:val="auto"/>
          <w:lang w:bidi="es-ES"/>
        </w:rPr>
        <w:t>se proporciona</w:t>
      </w:r>
      <w:r w:rsidR="001E1C29">
        <w:rPr>
          <w:color w:val="auto"/>
          <w:lang w:bidi="es-ES"/>
        </w:rPr>
        <w:t xml:space="preserve"> </w:t>
      </w:r>
      <w:r w:rsidR="00FB2F95">
        <w:rPr>
          <w:color w:val="auto"/>
          <w:lang w:bidi="es-ES"/>
        </w:rPr>
        <w:t>en el cuerpo del correo electrónico</w:t>
      </w:r>
      <w:r w:rsidR="00AC715D">
        <w:rPr>
          <w:color w:val="auto"/>
          <w:lang w:bidi="es-ES"/>
        </w:rPr>
        <w:t>,</w:t>
      </w:r>
      <w:r w:rsidR="00531D6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lo que es coherente con</w:t>
      </w:r>
      <w:r w:rsidR="001E1C29">
        <w:rPr>
          <w:color w:val="auto"/>
          <w:lang w:bidi="es-ES"/>
        </w:rPr>
        <w:t xml:space="preserve"> </w:t>
      </w:r>
      <w:r w:rsidR="001E1C29" w:rsidRPr="001E1C29">
        <w:rPr>
          <w:color w:val="auto"/>
          <w:lang w:bidi="es-ES"/>
        </w:rPr>
        <w:t xml:space="preserve">el </w:t>
      </w:r>
      <w:r w:rsidR="00FB2F95">
        <w:rPr>
          <w:color w:val="auto"/>
          <w:lang w:bidi="es-ES"/>
        </w:rPr>
        <w:t>hecho de que no se había producido ninguna actividad relativa a la información solicitada</w:t>
      </w:r>
      <w:r>
        <w:rPr>
          <w:color w:val="auto"/>
          <w:lang w:bidi="es-ES"/>
        </w:rPr>
        <w:t>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FB2F95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F34803" w:rsidRDefault="00F34803" w:rsidP="00AC715D">
      <w:pPr>
        <w:pStyle w:val="Cuerpodelboletn"/>
        <w:spacing w:line="276" w:lineRule="auto"/>
        <w:ind w:left="426"/>
        <w:rPr>
          <w:color w:val="auto"/>
        </w:rPr>
      </w:pPr>
      <w:r>
        <w:rPr>
          <w:color w:val="auto"/>
        </w:rPr>
        <w:t xml:space="preserve">El CTBG ha </w:t>
      </w:r>
      <w:r w:rsidR="00AC715D">
        <w:rPr>
          <w:color w:val="auto"/>
        </w:rPr>
        <w:t xml:space="preserve">no </w:t>
      </w:r>
      <w:r>
        <w:rPr>
          <w:color w:val="auto"/>
        </w:rPr>
        <w:t xml:space="preserve">recibido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AC715D">
        <w:rPr>
          <w:color w:val="auto"/>
        </w:rPr>
        <w:t>d</w:t>
      </w:r>
      <w:r w:rsidR="00FB2F95">
        <w:rPr>
          <w:color w:val="auto"/>
        </w:rPr>
        <w:t xml:space="preserve">e </w:t>
      </w:r>
      <w:r w:rsidR="00CC63EB">
        <w:rPr>
          <w:color w:val="auto"/>
        </w:rPr>
        <w:t>PLOCAN</w:t>
      </w:r>
      <w:r>
        <w:rPr>
          <w:color w:val="auto"/>
        </w:rPr>
        <w:t xml:space="preserve"> en materia de acceso a la información pública. </w:t>
      </w:r>
    </w:p>
    <w:p w:rsidR="000272AA" w:rsidRDefault="000272AA" w:rsidP="00AC715D">
      <w:pPr>
        <w:pStyle w:val="Cuerpodelboletn"/>
        <w:spacing w:line="276" w:lineRule="auto"/>
        <w:ind w:left="426"/>
        <w:rPr>
          <w:color w:val="auto"/>
        </w:rPr>
      </w:pPr>
    </w:p>
    <w:p w:rsidR="000272AA" w:rsidRDefault="000272AA" w:rsidP="00AC715D">
      <w:pPr>
        <w:pStyle w:val="Cuerpodelboletn"/>
        <w:spacing w:line="276" w:lineRule="auto"/>
        <w:ind w:left="426"/>
      </w:pPr>
    </w:p>
    <w:p w:rsidR="00F34803" w:rsidRDefault="00F34803" w:rsidP="00256215">
      <w:pPr>
        <w:pStyle w:val="Cuerpodelboletn"/>
      </w:pPr>
    </w:p>
    <w:p w:rsidR="001F251B" w:rsidRPr="00256215" w:rsidRDefault="000272AA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F34803" w:rsidRDefault="00DC0848" w:rsidP="00DC0848">
      <w:pPr>
        <w:ind w:left="426"/>
        <w:jc w:val="both"/>
      </w:pPr>
      <w:r w:rsidRPr="00DC0848">
        <w:t xml:space="preserve">La gestión de las solicitudes de acceso a la información pública por parte </w:t>
      </w:r>
      <w:r w:rsidR="00AC715D">
        <w:t>d</w:t>
      </w:r>
      <w:r w:rsidR="00FB2F95">
        <w:t xml:space="preserve">e </w:t>
      </w:r>
      <w:r w:rsidR="00CC63EB">
        <w:t>PLOCAN</w:t>
      </w:r>
      <w:r w:rsidRPr="00DC0848">
        <w:t xml:space="preserve"> presenta algunas buenas prácticas que serían aplicables por otras organizaciones públicas. Así cabe destacar:</w:t>
      </w:r>
    </w:p>
    <w:p w:rsidR="00256215" w:rsidRDefault="00A544D3" w:rsidP="00A544D3">
      <w:pPr>
        <w:pStyle w:val="Prrafodelista"/>
        <w:numPr>
          <w:ilvl w:val="0"/>
          <w:numId w:val="5"/>
        </w:numPr>
      </w:pPr>
      <w:r>
        <w:t>La disponibilidad de un formulario web para la presentación de las solicitudes.</w:t>
      </w:r>
    </w:p>
    <w:p w:rsidR="00A544D3" w:rsidRDefault="00A544D3" w:rsidP="00A544D3">
      <w:pPr>
        <w:pStyle w:val="Prrafodelista"/>
        <w:numPr>
          <w:ilvl w:val="0"/>
          <w:numId w:val="5"/>
        </w:numPr>
      </w:pPr>
      <w:r>
        <w:t>La posibilidad de efectuar la solicitud sin más requisitos que la identif</w:t>
      </w:r>
      <w:r w:rsidR="00AC715D">
        <w:t>icación y un correo electrónico.</w:t>
      </w:r>
    </w:p>
    <w:p w:rsidR="00256215" w:rsidRDefault="000272AA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0272AA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Como se ha indicado PLOCAN no ha enviado información sobre la actividad generada por las solicitudes de acceso a información pública durante 2020.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FB2F95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PLOCAN</w:t>
      </w:r>
      <w:r w:rsidR="00D74E79">
        <w:rPr>
          <w:bCs/>
        </w:rPr>
        <w:t xml:space="preserve"> 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A915A2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CC63EB">
        <w:t>PLOCAN</w:t>
      </w:r>
      <w:r>
        <w:t xml:space="preserve"> </w:t>
      </w:r>
      <w:r w:rsidR="00D74E79">
        <w:t>dispone de un</w:t>
      </w:r>
      <w:r>
        <w:t xml:space="preserve"> espacio </w:t>
      </w:r>
      <w:r w:rsidR="00D74E79">
        <w:t xml:space="preserve">en su Portal de Transparencia </w:t>
      </w:r>
      <w:r w:rsidR="00FB2F95">
        <w:t xml:space="preserve">a través del que pueden presentarse </w:t>
      </w:r>
      <w:r>
        <w:t xml:space="preserve">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>
        <w:t xml:space="preserve">. </w:t>
      </w:r>
      <w:r w:rsidR="005A0354">
        <w:t>También proporciona un formulario web</w:t>
      </w:r>
      <w:r w:rsidR="00FB2F95">
        <w:t xml:space="preserve">. Pero no informa sobre la posibilidad que tienen los ciudadanos de solicitar información pública al amparo de la Ley 19/2013. </w:t>
      </w:r>
      <w:r w:rsidR="005A0354">
        <w:t xml:space="preserve"> </w:t>
      </w:r>
      <w:r w:rsidR="00FB2F95">
        <w:t>El único medio de presentación de solicitudes que se</w:t>
      </w:r>
      <w:r w:rsidR="005A0354">
        <w:t xml:space="preserve"> ha habilitado </w:t>
      </w:r>
      <w:r w:rsidR="00FB2F95">
        <w:t>es la web</w:t>
      </w:r>
      <w:r w:rsidR="005A0354">
        <w:t xml:space="preserve">. </w:t>
      </w:r>
    </w:p>
    <w:p w:rsidR="00A915A2" w:rsidRDefault="00A915A2" w:rsidP="00F34803">
      <w:pPr>
        <w:pStyle w:val="Prrafodelista"/>
        <w:ind w:left="644"/>
        <w:jc w:val="both"/>
      </w:pPr>
    </w:p>
    <w:p w:rsidR="00D84B7B" w:rsidRDefault="00AC715D" w:rsidP="00FB2F95">
      <w:pPr>
        <w:pStyle w:val="Prrafodelista"/>
        <w:ind w:left="644"/>
        <w:jc w:val="both"/>
      </w:pPr>
      <w:r>
        <w:t>S</w:t>
      </w:r>
      <w:r w:rsidR="005A0354">
        <w:t>olo se exige la identificación del solicitante</w:t>
      </w:r>
      <w:r>
        <w:t xml:space="preserve"> y</w:t>
      </w:r>
      <w:r w:rsidR="00A915A2">
        <w:t xml:space="preserve"> </w:t>
      </w:r>
      <w:r>
        <w:t>un</w:t>
      </w:r>
      <w:r w:rsidR="005A0354">
        <w:t xml:space="preserve"> </w:t>
      </w:r>
      <w:r>
        <w:t>correo electrónico</w:t>
      </w:r>
      <w:r w:rsidR="005A0354">
        <w:t xml:space="preserve"> de contacto </w:t>
      </w:r>
      <w:r w:rsidR="00A915A2">
        <w:t xml:space="preserve">y la aceptación </w:t>
      </w:r>
      <w:r w:rsidR="00D84B7B">
        <w:t>de la política de privacidad,</w:t>
      </w:r>
      <w:r w:rsidR="005A0354">
        <w:t xml:space="preserve"> </w:t>
      </w:r>
      <w:r w:rsidR="00D84B7B">
        <w:t>l</w:t>
      </w:r>
      <w:r w:rsidR="00A915A2">
        <w:t>o que facilita la accesibilidad al ejercicio del derecho.</w:t>
      </w:r>
      <w:r w:rsidR="00D84B7B">
        <w:t xml:space="preserve"> </w:t>
      </w:r>
    </w:p>
    <w:p w:rsidR="00FB2F95" w:rsidRPr="00D84B7B" w:rsidRDefault="00FB2F95" w:rsidP="00FB2F95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Pr="00D84B7B" w:rsidRDefault="00F34803" w:rsidP="00C628D7">
      <w:pPr>
        <w:pStyle w:val="Prrafodelista"/>
        <w:tabs>
          <w:tab w:val="left" w:pos="3828"/>
        </w:tabs>
        <w:ind w:left="426"/>
        <w:jc w:val="both"/>
      </w:pPr>
      <w:r>
        <w:t xml:space="preserve">La gestión de la solicitud de acceso presentada </w:t>
      </w:r>
      <w:r w:rsidR="00A915A2">
        <w:t xml:space="preserve">no </w:t>
      </w:r>
      <w:r>
        <w:t>se ha ajustado al procedimiento establecido po</w:t>
      </w:r>
      <w:r w:rsidR="00A915A2">
        <w:t xml:space="preserve">r la LTAIBG. </w:t>
      </w:r>
      <w:r w:rsidR="00D84B7B" w:rsidRPr="00D84B7B">
        <w:t xml:space="preserve">La información se remite en </w:t>
      </w:r>
      <w:r w:rsidR="00FB2F95">
        <w:t>el cuerpo de un</w:t>
      </w:r>
      <w:r w:rsidR="00D84B7B" w:rsidRPr="00D84B7B">
        <w:t xml:space="preserve"> correo electrónico que no incluye pie de recurso, careciendo en consecuencia, de información sobre los </w:t>
      </w:r>
      <w:r w:rsidR="00D84B7B" w:rsidRPr="00D84B7B">
        <w:lastRenderedPageBreak/>
        <w:t xml:space="preserve">medios de impugnación en caso de disconformidad </w:t>
      </w:r>
      <w:r w:rsidR="00D84B7B">
        <w:t>c</w:t>
      </w:r>
      <w:r w:rsidR="00D84B7B" w:rsidRPr="00D84B7B">
        <w:t xml:space="preserve">on la respuesta proporcionada, cuestión sobre la que tampoco se informa en el Portal de Transparencia de la entidad.      </w:t>
      </w:r>
    </w:p>
    <w:p w:rsidR="00D84B7B" w:rsidRPr="00D84B7B" w:rsidRDefault="00CC63EB" w:rsidP="00D84B7B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contextualSpacing/>
        <w:jc w:val="both"/>
      </w:pPr>
      <w:r>
        <w:t>PLOCAN</w:t>
      </w:r>
      <w:r w:rsidR="00D84B7B" w:rsidRPr="00D84B7B">
        <w:t xml:space="preserve"> debe ajustarse al procedimiento establecido por las Leyes 19/2013 y 39/2015: debe emitir una resolución expresa – no es suficiente un correo electrónico informando de la remisión de la información - que indique los recursos que contra la misma procedan, órgano administrativo o judicial ante el que presentarlos y el plazo para interponerlos. </w:t>
      </w:r>
    </w:p>
    <w:p w:rsidR="00D84B7B" w:rsidRPr="00D84B7B" w:rsidRDefault="00D84B7B" w:rsidP="00D84B7B">
      <w:pPr>
        <w:tabs>
          <w:tab w:val="left" w:pos="426"/>
        </w:tabs>
        <w:ind w:left="426"/>
        <w:contextualSpacing/>
        <w:jc w:val="both"/>
      </w:pPr>
    </w:p>
    <w:p w:rsidR="00C628D7" w:rsidRPr="00D84B7B" w:rsidRDefault="00D84B7B" w:rsidP="00C628D7">
      <w:pPr>
        <w:tabs>
          <w:tab w:val="left" w:pos="426"/>
        </w:tabs>
        <w:ind w:left="426"/>
        <w:contextualSpacing/>
        <w:jc w:val="both"/>
      </w:pPr>
      <w:r w:rsidRPr="00D84B7B">
        <w:t>La notificación se efectúa por correo electrónico y la información se proporciona en el momento de la notificación</w:t>
      </w:r>
      <w:r w:rsidR="00C628D7">
        <w:t xml:space="preserve"> aunque no en el formato solicitado lo que es coherente con el hecho de que durante el periodo de tiempo de referencia no ha habido actividad relativa a la información solicitada</w:t>
      </w:r>
      <w:r w:rsidR="00C628D7" w:rsidRPr="00D84B7B">
        <w:t xml:space="preserve">. </w:t>
      </w:r>
      <w:bookmarkStart w:id="0" w:name="_GoBack"/>
      <w:bookmarkEnd w:id="0"/>
    </w:p>
    <w:p w:rsidR="00D84B7B" w:rsidRPr="00D84B7B" w:rsidRDefault="00D84B7B" w:rsidP="00D84B7B">
      <w:pPr>
        <w:tabs>
          <w:tab w:val="left" w:pos="426"/>
        </w:tabs>
        <w:ind w:left="426"/>
        <w:contextualSpacing/>
        <w:jc w:val="both"/>
      </w:pP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EB" w:rsidRDefault="00CC63EB" w:rsidP="00932008">
      <w:pPr>
        <w:spacing w:after="0" w:line="240" w:lineRule="auto"/>
      </w:pPr>
      <w:r>
        <w:separator/>
      </w:r>
    </w:p>
  </w:endnote>
  <w:endnote w:type="continuationSeparator" w:id="0">
    <w:p w:rsidR="00CC63EB" w:rsidRDefault="00CC63EB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C63EB" w:rsidRPr="00C533E7" w:rsidRDefault="00CC63EB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0272AA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CC63EB" w:rsidRDefault="00CC63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EB" w:rsidRDefault="00CC63EB" w:rsidP="00932008">
      <w:pPr>
        <w:spacing w:after="0" w:line="240" w:lineRule="auto"/>
      </w:pPr>
      <w:r>
        <w:separator/>
      </w:r>
    </w:p>
  </w:footnote>
  <w:footnote w:type="continuationSeparator" w:id="0">
    <w:p w:rsidR="00CC63EB" w:rsidRDefault="00CC63EB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5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72AA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114FF"/>
    <w:rsid w:val="00241D7A"/>
    <w:rsid w:val="00256215"/>
    <w:rsid w:val="0026281C"/>
    <w:rsid w:val="002A154B"/>
    <w:rsid w:val="003145AD"/>
    <w:rsid w:val="00314CFE"/>
    <w:rsid w:val="00334115"/>
    <w:rsid w:val="00340559"/>
    <w:rsid w:val="003B5288"/>
    <w:rsid w:val="003F271E"/>
    <w:rsid w:val="003F572A"/>
    <w:rsid w:val="004A123A"/>
    <w:rsid w:val="004A706B"/>
    <w:rsid w:val="004B4DC3"/>
    <w:rsid w:val="004D6E73"/>
    <w:rsid w:val="004F265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26819"/>
    <w:rsid w:val="00654162"/>
    <w:rsid w:val="006A2766"/>
    <w:rsid w:val="006A2E9A"/>
    <w:rsid w:val="00706E04"/>
    <w:rsid w:val="00707CFE"/>
    <w:rsid w:val="00710031"/>
    <w:rsid w:val="00727BA2"/>
    <w:rsid w:val="00743756"/>
    <w:rsid w:val="007B0F99"/>
    <w:rsid w:val="007C57AB"/>
    <w:rsid w:val="007D6B40"/>
    <w:rsid w:val="00815659"/>
    <w:rsid w:val="008207D9"/>
    <w:rsid w:val="00833900"/>
    <w:rsid w:val="00844FA9"/>
    <w:rsid w:val="008C1E1E"/>
    <w:rsid w:val="00904E47"/>
    <w:rsid w:val="00923092"/>
    <w:rsid w:val="009239D9"/>
    <w:rsid w:val="00930638"/>
    <w:rsid w:val="00932008"/>
    <w:rsid w:val="009609E9"/>
    <w:rsid w:val="00983919"/>
    <w:rsid w:val="00A41DD5"/>
    <w:rsid w:val="00A544D3"/>
    <w:rsid w:val="00A8003E"/>
    <w:rsid w:val="00A915A2"/>
    <w:rsid w:val="00AC715D"/>
    <w:rsid w:val="00AD1DBF"/>
    <w:rsid w:val="00AE788F"/>
    <w:rsid w:val="00B40246"/>
    <w:rsid w:val="00B5583D"/>
    <w:rsid w:val="00B812AB"/>
    <w:rsid w:val="00B841AE"/>
    <w:rsid w:val="00B84669"/>
    <w:rsid w:val="00BA266E"/>
    <w:rsid w:val="00BB6799"/>
    <w:rsid w:val="00BD4582"/>
    <w:rsid w:val="00BE6A46"/>
    <w:rsid w:val="00C33A23"/>
    <w:rsid w:val="00C34BB5"/>
    <w:rsid w:val="00C4479B"/>
    <w:rsid w:val="00C533E7"/>
    <w:rsid w:val="00C5744D"/>
    <w:rsid w:val="00C628D7"/>
    <w:rsid w:val="00CB5511"/>
    <w:rsid w:val="00CB7518"/>
    <w:rsid w:val="00CC2049"/>
    <w:rsid w:val="00CC587B"/>
    <w:rsid w:val="00CC610D"/>
    <w:rsid w:val="00CC63EB"/>
    <w:rsid w:val="00CD0605"/>
    <w:rsid w:val="00D445A7"/>
    <w:rsid w:val="00D52E43"/>
    <w:rsid w:val="00D74E79"/>
    <w:rsid w:val="00D84B7B"/>
    <w:rsid w:val="00D96F84"/>
    <w:rsid w:val="00DC0848"/>
    <w:rsid w:val="00DD3E02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E5BDF"/>
    <w:rsid w:val="00F14DA4"/>
    <w:rsid w:val="00F34803"/>
    <w:rsid w:val="00F36C7F"/>
    <w:rsid w:val="00F47C3B"/>
    <w:rsid w:val="00F50AE2"/>
    <w:rsid w:val="00F71D7D"/>
    <w:rsid w:val="00F7263F"/>
    <w:rsid w:val="00F95C49"/>
    <w:rsid w:val="00FB2F95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87096B"/>
    <w:rsid w:val="009D7C6C"/>
    <w:rsid w:val="00A80EAD"/>
    <w:rsid w:val="00AB1850"/>
    <w:rsid w:val="00C26568"/>
    <w:rsid w:val="00C60DC9"/>
    <w:rsid w:val="00D35513"/>
    <w:rsid w:val="00E147F2"/>
    <w:rsid w:val="00E16D50"/>
    <w:rsid w:val="00E30568"/>
    <w:rsid w:val="00E5085E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D80AE-F885-45CF-A258-AC52D252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27</TotalTime>
  <Pages>4</Pages>
  <Words>895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6</cp:revision>
  <cp:lastPrinted>2007-10-26T10:03:00Z</cp:lastPrinted>
  <dcterms:created xsi:type="dcterms:W3CDTF">2021-06-02T11:45:00Z</dcterms:created>
  <dcterms:modified xsi:type="dcterms:W3CDTF">2021-08-25T10:27:00Z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