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020BAB" w:rsidRDefault="00020BA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020BAB" w:rsidRPr="00006957" w:rsidRDefault="00020BA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B07CF7" w:rsidRDefault="00B07CF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B07CF7" w:rsidRPr="00006957" w:rsidRDefault="00B07CF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0BAB" w:rsidRDefault="00020BA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07CF7" w:rsidRDefault="00B07CF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3327FC" w:rsidP="00AC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AENA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E1CBE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CB770A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020BAB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gestión de las solicitudes de acceso se efectúa por la Unidad de Transparencia de AENA, que cuenta con tres personas para ello, de las cuales una se dedica exclusivamente a esta actividad</w:t>
      </w:r>
      <w:r w:rsidR="0042784D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CB770A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020BAB" w:rsidP="00020BAB">
      <w:pPr>
        <w:ind w:left="426"/>
        <w:jc w:val="both"/>
      </w:pPr>
      <w:r>
        <w:t>En 2020 AENA recibió 64 solicitudes de acceso a información pública. De ellas una fue inadmitida. De las 63 restantes, en 55 ocasiones se concedió acceso a la información – lo que supone que se dio acceso a la información en el 87,3% de las ocasiones - . En la información remitida no se especifica cuántas de esta resoluciones concedieron acceso total y cuántas parcial. Resultaron por lo tanto, inadmitidas 8, el 12,7%</w:t>
      </w:r>
      <w:r w:rsidR="006449BC">
        <w:t>, sin que se aporte información que permita conocer cuántas de estas solicitudes denegadas lo fueron por aplicación de los límites del artículo 14 de la LTAIBG</w:t>
      </w:r>
      <w:r>
        <w:t xml:space="preserve">. No se desestimaron solicitudes por silencio administrativo. </w:t>
      </w:r>
    </w:p>
    <w:p w:rsidR="006449BC" w:rsidRPr="009079EA" w:rsidRDefault="006449BC" w:rsidP="006449BC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540D31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de </w:t>
      </w:r>
      <w:r>
        <w:rPr>
          <w:rStyle w:val="Ttulo2Car"/>
          <w:b w:val="0"/>
          <w:color w:val="auto"/>
          <w:sz w:val="22"/>
          <w:szCs w:val="22"/>
          <w:lang w:bidi="es-ES"/>
        </w:rPr>
        <w:t>AENA</w:t>
      </w:r>
      <w:r w:rsidRPr="00540D31">
        <w:rPr>
          <w:rStyle w:val="Ttulo2Car"/>
          <w:b w:val="0"/>
          <w:color w:val="auto"/>
          <w:sz w:val="22"/>
          <w:szCs w:val="22"/>
          <w:lang w:bidi="es-ES"/>
        </w:rPr>
        <w:t xml:space="preserve">, información sobre las solicitudes denegadas por aplicación de los límites del artículo 14 de 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CB770A" w:rsidP="0042784D">
      <w:pPr>
        <w:pStyle w:val="Titulardelboletn"/>
        <w:spacing w:before="120" w:after="120" w:line="312" w:lineRule="auto"/>
        <w:ind w:left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378E2" w:rsidRPr="00B378E2" w:rsidRDefault="00B378E2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web institucional de </w:t>
      </w:r>
      <w:r w:rsidR="00056498">
        <w:rPr>
          <w:rStyle w:val="Ttulo2Car"/>
          <w:b w:val="0"/>
          <w:color w:val="auto"/>
          <w:sz w:val="22"/>
          <w:szCs w:val="22"/>
          <w:lang w:bidi="es-ES"/>
        </w:rPr>
        <w:t>AENA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uenta con un acceso </w:t>
      </w:r>
      <w:r w:rsidR="00056498" w:rsidRPr="00056498">
        <w:rPr>
          <w:rStyle w:val="Ttulo2Car"/>
          <w:b w:val="0"/>
          <w:color w:val="auto"/>
          <w:sz w:val="22"/>
          <w:szCs w:val="22"/>
          <w:lang w:bidi="es-ES"/>
        </w:rPr>
        <w:t xml:space="preserve">“información pública” </w:t>
      </w:r>
      <w:r w:rsidR="00056498">
        <w:rPr>
          <w:rStyle w:val="Ttulo2Car"/>
          <w:b w:val="0"/>
          <w:color w:val="auto"/>
          <w:sz w:val="22"/>
          <w:szCs w:val="22"/>
          <w:lang w:bidi="es-ES"/>
        </w:rPr>
        <w:t>dentro de su Portal de Transparencia. En dicho espacio s</w:t>
      </w:r>
      <w:r w:rsidR="00056498" w:rsidRPr="00056498">
        <w:rPr>
          <w:rStyle w:val="Ttulo2Car"/>
          <w:b w:val="0"/>
          <w:color w:val="auto"/>
          <w:sz w:val="22"/>
          <w:szCs w:val="22"/>
          <w:lang w:bidi="es-ES"/>
        </w:rPr>
        <w:t>e hace expresa referencia a la posibilidad de solicitar información a AENA</w:t>
      </w:r>
      <w:r w:rsidR="00056498">
        <w:rPr>
          <w:rStyle w:val="Ttulo2Car"/>
          <w:b w:val="0"/>
          <w:color w:val="auto"/>
          <w:sz w:val="22"/>
          <w:szCs w:val="22"/>
          <w:lang w:bidi="es-ES"/>
        </w:rPr>
        <w:t>, s</w:t>
      </w:r>
      <w:r w:rsidR="00056498" w:rsidRPr="00056498">
        <w:rPr>
          <w:rStyle w:val="Ttulo2Car"/>
          <w:b w:val="0"/>
          <w:color w:val="auto"/>
          <w:sz w:val="22"/>
          <w:szCs w:val="22"/>
          <w:lang w:bidi="es-ES"/>
        </w:rPr>
        <w:t>e facilita un formulario y se indica la unidad responsable: Dirección de la Oficina de la Presidencia, Regulación y Políticas Públicas</w:t>
      </w:r>
      <w:r w:rsidR="00056498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056498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AENA ha habilitado tres canales para la presentación de las solicitudes de acceso: presencial, correo postal y a través del Portal de Servicios Telemáticos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de carácter general se exige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E7910">
        <w:rPr>
          <w:rStyle w:val="Ttulo2Car"/>
          <w:b w:val="0"/>
          <w:color w:val="auto"/>
          <w:sz w:val="22"/>
          <w:szCs w:val="22"/>
          <w:lang w:bidi="es-ES"/>
        </w:rPr>
        <w:t xml:space="preserve">como requisito acreditar la identidad aportando copia del documento de identidad.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E7910">
        <w:rPr>
          <w:rStyle w:val="Ttulo2Car"/>
          <w:b w:val="0"/>
          <w:color w:val="auto"/>
          <w:sz w:val="22"/>
          <w:szCs w:val="22"/>
          <w:lang w:bidi="es-ES"/>
        </w:rPr>
        <w:t>Se ofrece la posibilidad de notificación mediante correo electrónico o postal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CB770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2E7910">
        <w:rPr>
          <w:color w:val="auto"/>
          <w:lang w:bidi="es-ES"/>
        </w:rPr>
        <w:t>10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</w:t>
      </w:r>
      <w:r w:rsidR="00006995">
        <w:rPr>
          <w:color w:val="auto"/>
          <w:lang w:bidi="es-ES"/>
        </w:rPr>
        <w:t>Servicios Electrónicos</w:t>
      </w:r>
      <w:r w:rsidR="00EA202A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 </w:t>
      </w:r>
      <w:r w:rsidR="00056498">
        <w:rPr>
          <w:color w:val="auto"/>
          <w:lang w:bidi="es-ES"/>
        </w:rPr>
        <w:t>AENA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</w:t>
      </w:r>
      <w:r w:rsidR="006B57D9">
        <w:rPr>
          <w:color w:val="auto"/>
          <w:lang w:bidi="es-ES"/>
        </w:rPr>
        <w:t>Portal</w:t>
      </w:r>
      <w:r w:rsidR="000B2A81">
        <w:rPr>
          <w:color w:val="auto"/>
          <w:lang w:bidi="es-ES"/>
        </w:rPr>
        <w:t xml:space="preserve"> </w:t>
      </w:r>
      <w:r w:rsidR="000B2A81" w:rsidRPr="00A22370">
        <w:rPr>
          <w:color w:val="auto"/>
          <w:lang w:bidi="es-ES"/>
        </w:rPr>
        <w:t xml:space="preserve">que incluye </w:t>
      </w:r>
      <w:r w:rsidR="00AC715D" w:rsidRPr="00A22370">
        <w:rPr>
          <w:color w:val="auto"/>
          <w:lang w:bidi="es-ES"/>
        </w:rPr>
        <w:t>la transcripción de la solicitud de información efectuada</w:t>
      </w:r>
      <w:r w:rsidR="00D41FBA" w:rsidRPr="00A22370">
        <w:rPr>
          <w:color w:val="auto"/>
          <w:lang w:bidi="es-ES"/>
        </w:rPr>
        <w:t xml:space="preserve"> y el número </w:t>
      </w:r>
      <w:r w:rsidR="00882E38">
        <w:rPr>
          <w:color w:val="auto"/>
          <w:lang w:bidi="es-ES"/>
        </w:rPr>
        <w:t>de registro</w:t>
      </w:r>
      <w:r w:rsidR="00AC715D" w:rsidRPr="00A22370">
        <w:rPr>
          <w:color w:val="auto"/>
          <w:lang w:bidi="es-ES"/>
        </w:rPr>
        <w:t>.</w:t>
      </w:r>
      <w:r w:rsidR="00AC715D"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006995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>inicio de la tramitación de la solicitud.</w:t>
      </w:r>
      <w:r w:rsidR="00AC2468">
        <w:rPr>
          <w:color w:val="auto"/>
          <w:lang w:bidi="es-ES"/>
        </w:rPr>
        <w:t xml:space="preserve"> ´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A22370">
        <w:rPr>
          <w:color w:val="auto"/>
          <w:lang w:bidi="es-ES"/>
        </w:rPr>
        <w:t>, c</w:t>
      </w:r>
      <w:r w:rsidR="00AC715D">
        <w:rPr>
          <w:color w:val="auto"/>
          <w:lang w:bidi="es-ES"/>
        </w:rPr>
        <w:t xml:space="preserve">on fecha </w:t>
      </w:r>
      <w:r w:rsidR="00006995">
        <w:rPr>
          <w:color w:val="auto"/>
          <w:lang w:bidi="es-ES"/>
        </w:rPr>
        <w:t>24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</w:t>
      </w:r>
      <w:r w:rsidR="00006995">
        <w:rPr>
          <w:color w:val="auto"/>
          <w:lang w:bidi="es-ES"/>
        </w:rPr>
        <w:t>la Unidad de Transparencia de AENA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  <w:r w:rsidR="00006995">
        <w:rPr>
          <w:color w:val="auto"/>
          <w:lang w:bidi="es-ES"/>
        </w:rPr>
        <w:t xml:space="preserve"> Se resolución está incluida en el cuerpo del correo electrónico de notificación.</w:t>
      </w:r>
    </w:p>
    <w:p w:rsidR="00006995" w:rsidRDefault="00006995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Se proporciona la información en el momento de la notificación aunque no en el formato solicitado.</w:t>
      </w:r>
    </w:p>
    <w:p w:rsidR="006449BC" w:rsidRDefault="006449BC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42784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E03C01" w:rsidRPr="004A133A" w:rsidRDefault="00E03C01" w:rsidP="00E03C01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 un total de 19 reclamaciones contra resoluciones de AENA en materia de acceso a la información pública. De ellas, 8 fueron</w:t>
      </w:r>
      <w:r w:rsidRPr="004A133A">
        <w:t xml:space="preserve"> estimadas – en </w:t>
      </w:r>
      <w:r>
        <w:t>un caso</w:t>
      </w:r>
      <w:r w:rsidRPr="004A133A">
        <w:t xml:space="preserve"> </w:t>
      </w:r>
      <w:r>
        <w:t>parcialmente</w:t>
      </w:r>
      <w:r w:rsidR="00020BAB">
        <w:t>-</w:t>
      </w:r>
      <w:r>
        <w:t>, 8 reclamaciones fueron desestimadas, 1 inadmitida y 2 archivada</w:t>
      </w:r>
      <w:r w:rsidR="00020BAB">
        <w:t>s</w:t>
      </w:r>
      <w:r>
        <w:t xml:space="preserve">. </w:t>
      </w:r>
    </w:p>
    <w:p w:rsidR="00E03C01" w:rsidRPr="004A133A" w:rsidRDefault="00E03C01" w:rsidP="00E03C01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lastRenderedPageBreak/>
        <w:t xml:space="preserve">Por lo tanto, de las </w:t>
      </w:r>
      <w:r>
        <w:rPr>
          <w:szCs w:val="24"/>
        </w:rPr>
        <w:t>16</w:t>
      </w:r>
      <w:r w:rsidRPr="004A133A">
        <w:rPr>
          <w:szCs w:val="24"/>
        </w:rPr>
        <w:t xml:space="preserve"> reclamaciones admitidas a trámite, un </w:t>
      </w:r>
      <w:r>
        <w:rPr>
          <w:szCs w:val="24"/>
        </w:rPr>
        <w:t>50</w:t>
      </w:r>
      <w:r w:rsidRPr="004A133A">
        <w:rPr>
          <w:szCs w:val="24"/>
        </w:rPr>
        <w:t xml:space="preserve">% </w:t>
      </w:r>
      <w:r>
        <w:rPr>
          <w:szCs w:val="24"/>
        </w:rPr>
        <w:t>fue favorable a los reclamantes y un 50% al organismo.</w:t>
      </w:r>
    </w:p>
    <w:p w:rsidR="00E03C01" w:rsidRPr="004A133A" w:rsidRDefault="00020BAB" w:rsidP="00E03C01">
      <w:pPr>
        <w:spacing w:before="120" w:after="120"/>
        <w:ind w:left="425"/>
        <w:jc w:val="both"/>
        <w:rPr>
          <w:szCs w:val="24"/>
        </w:rPr>
      </w:pPr>
      <w:r>
        <w:rPr>
          <w:szCs w:val="24"/>
        </w:rPr>
        <w:t>No se han presentado recursos en vía contencioso-administrativa frente a</w:t>
      </w:r>
      <w:r w:rsidR="00E03C01">
        <w:rPr>
          <w:szCs w:val="24"/>
        </w:rPr>
        <w:t xml:space="preserve"> las resoluciones estimatorias del CTBG</w:t>
      </w:r>
      <w:r>
        <w:rPr>
          <w:szCs w:val="24"/>
        </w:rPr>
        <w:t>.</w:t>
      </w:r>
      <w:r w:rsidR="00E03C01">
        <w:rPr>
          <w:szCs w:val="24"/>
        </w:rPr>
        <w:t xml:space="preserve"> </w:t>
      </w:r>
    </w:p>
    <w:p w:rsidR="00E03C01" w:rsidRPr="00DA4FE5" w:rsidRDefault="00E03C01" w:rsidP="00E03C01">
      <w:pPr>
        <w:keepNext/>
        <w:spacing w:line="240" w:lineRule="auto"/>
        <w:ind w:left="426"/>
        <w:jc w:val="both"/>
        <w:rPr>
          <w:rFonts w:eastAsiaTheme="majorEastAsia" w:cstheme="majorBidi"/>
          <w:b/>
          <w:color w:val="00642D"/>
          <w:lang w:bidi="es-ES"/>
        </w:rPr>
      </w:pPr>
      <w:r w:rsidRPr="00DA4FE5">
        <w:rPr>
          <w:rFonts w:eastAsiaTheme="majorEastAsia" w:cstheme="majorBidi"/>
          <w:b/>
          <w:color w:val="00642D"/>
          <w:lang w:bidi="es-ES"/>
        </w:rPr>
        <w:t xml:space="preserve">Tabla 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begin"/>
      </w:r>
      <w:r w:rsidRPr="00DA4FE5">
        <w:rPr>
          <w:rFonts w:eastAsiaTheme="majorEastAsia" w:cstheme="majorBidi"/>
          <w:b/>
          <w:color w:val="00642D"/>
          <w:lang w:bidi="es-ES"/>
        </w:rPr>
        <w:instrText xml:space="preserve"> SEQ Tabla \* ARABIC </w:instrTex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separate"/>
      </w:r>
      <w:r w:rsidR="00020BAB">
        <w:rPr>
          <w:rFonts w:eastAsiaTheme="majorEastAsia" w:cstheme="majorBidi"/>
          <w:b/>
          <w:noProof/>
          <w:color w:val="00642D"/>
          <w:lang w:bidi="es-ES"/>
        </w:rPr>
        <w:t>1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end"/>
      </w:r>
      <w:r w:rsidRPr="00DA4FE5">
        <w:rPr>
          <w:rFonts w:eastAsiaTheme="majorEastAsia" w:cstheme="majorBidi"/>
          <w:b/>
          <w:color w:val="00642D"/>
          <w:lang w:bidi="es-ES"/>
        </w:rPr>
        <w:t>: Reclamaciones ante el Consejo de Transparencia y Buen Gobierno</w:t>
      </w:r>
    </w:p>
    <w:tbl>
      <w:tblPr>
        <w:tblStyle w:val="Tablaconcuadrcula2"/>
        <w:tblW w:w="0" w:type="auto"/>
        <w:tblInd w:w="959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E03C01" w:rsidRPr="004A133A" w:rsidTr="0066577D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E03C01" w:rsidRPr="004A133A" w:rsidRDefault="00E03C01" w:rsidP="0066577D">
            <w:pPr>
              <w:spacing w:after="200" w:line="276" w:lineRule="auto"/>
              <w:ind w:left="113" w:right="113"/>
              <w:jc w:val="both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03C01" w:rsidRPr="004A133A" w:rsidTr="0066577D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03C01" w:rsidRPr="004A133A" w:rsidRDefault="00E03C01" w:rsidP="0066577D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3C01" w:rsidRPr="004A133A" w:rsidTr="0066577D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03C01" w:rsidRPr="004A133A" w:rsidRDefault="00E03C01" w:rsidP="0066577D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03C01" w:rsidRPr="004A133A" w:rsidTr="0066577D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03C01" w:rsidRPr="004A133A" w:rsidRDefault="00E03C01" w:rsidP="0066577D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3C01" w:rsidRPr="004A133A" w:rsidTr="0066577D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03C01" w:rsidRPr="004A133A" w:rsidRDefault="00E03C01" w:rsidP="0066577D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03C01" w:rsidRPr="004A133A" w:rsidTr="0066577D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03C01" w:rsidRPr="004A133A" w:rsidRDefault="00E03C01" w:rsidP="0066577D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E03C01" w:rsidRPr="004A133A" w:rsidRDefault="00020BAB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3C01" w:rsidRPr="004A133A" w:rsidTr="0066577D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03C01" w:rsidRPr="004A133A" w:rsidRDefault="00E03C01" w:rsidP="0066577D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03C01" w:rsidRPr="004A133A" w:rsidTr="0066577D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03C01" w:rsidRPr="004A133A" w:rsidRDefault="00E03C01" w:rsidP="0066577D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03C01" w:rsidRPr="004A133A" w:rsidTr="0066577D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03C01" w:rsidRPr="004A133A" w:rsidRDefault="00E03C01" w:rsidP="0066577D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03C01" w:rsidRPr="004A133A" w:rsidTr="0066577D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03C01" w:rsidRPr="004A133A" w:rsidRDefault="00E03C01" w:rsidP="0066577D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03C01" w:rsidRPr="004A133A" w:rsidTr="0066577D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03C01" w:rsidRPr="004A133A" w:rsidRDefault="00E03C01" w:rsidP="0066577D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E03C01" w:rsidRPr="004A133A" w:rsidRDefault="00E03C01" w:rsidP="0066577D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E03C01" w:rsidRPr="004A133A" w:rsidRDefault="00E03C01" w:rsidP="00E03C01">
      <w:pPr>
        <w:spacing w:line="240" w:lineRule="auto"/>
        <w:jc w:val="both"/>
        <w:rPr>
          <w:color w:val="000000"/>
          <w:szCs w:val="24"/>
        </w:rPr>
      </w:pPr>
    </w:p>
    <w:p w:rsidR="00A97E83" w:rsidRPr="004A133A" w:rsidRDefault="00A97E83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CB770A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42784D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A97E83" w:rsidRDefault="00A97E83" w:rsidP="00DC0848">
      <w:pPr>
        <w:ind w:left="426"/>
        <w:jc w:val="both"/>
      </w:pPr>
    </w:p>
    <w:p w:rsidR="00B07CF7" w:rsidRDefault="00B07CF7" w:rsidP="00B07CF7">
      <w:pPr>
        <w:spacing w:before="120" w:after="120"/>
        <w:ind w:left="426"/>
        <w:jc w:val="both"/>
      </w:pPr>
      <w:r>
        <w:t>AENA presenta en la gestión de las solicitudes de acceso a información pública buenas prácticas que podrían ser aplicadas por otras instituciones y organizaciones públicas. Entre ellas cabe destacar:</w:t>
      </w:r>
    </w:p>
    <w:p w:rsidR="00B07CF7" w:rsidRPr="004A5655" w:rsidRDefault="00B07CF7" w:rsidP="00B07CF7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La disponibilidad de un espacio específico para el ejercicio del derecho de acceso</w:t>
      </w:r>
      <w:r w:rsidRPr="004A5655">
        <w:t>.</w:t>
      </w:r>
    </w:p>
    <w:p w:rsidR="00B07CF7" w:rsidRDefault="00B07CF7" w:rsidP="00B07CF7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 xml:space="preserve">La disponibilidad de un formulario para la presentación de las solicitudes. </w:t>
      </w:r>
    </w:p>
    <w:p w:rsidR="006449BC" w:rsidRDefault="006449BC" w:rsidP="006449BC">
      <w:pPr>
        <w:spacing w:before="120" w:after="120"/>
        <w:jc w:val="both"/>
      </w:pPr>
    </w:p>
    <w:p w:rsidR="006449BC" w:rsidRDefault="006449BC" w:rsidP="006449BC">
      <w:pPr>
        <w:spacing w:before="120" w:after="120"/>
        <w:jc w:val="both"/>
      </w:pPr>
    </w:p>
    <w:p w:rsidR="00256215" w:rsidRDefault="00CB770A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42784D">
            <w:rPr>
              <w:b/>
              <w:color w:val="00642D"/>
              <w:sz w:val="30"/>
              <w:szCs w:val="30"/>
            </w:rPr>
            <w:t>II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020BAB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AENA gestionó la totalidad de las solicitudes de información efectuadas por los ciudadanos en 2020. </w:t>
      </w:r>
      <w:r w:rsidR="006449BC">
        <w:rPr>
          <w:bCs/>
        </w:rPr>
        <w:t xml:space="preserve">En más del 87% de las ocasiones se concedió acceso a la información y en un 13% de los casos las resoluciones fueron desestimatorias. No se ha proporcionado </w:t>
      </w:r>
      <w:r w:rsidR="006449BC">
        <w:rPr>
          <w:bCs/>
        </w:rPr>
        <w:lastRenderedPageBreak/>
        <w:t>información sobre cuántas resoluciones concedieron acceso parcial y cuántas total a la información. Tampoco sobre si alguna o algunas de las resoluciones desestimatorias lo fueron en aplicación de los límites del artículo 14 de la LTAIBG.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adicional es que no se publican las resoluciones que deniegan el acceso a la información </w:t>
      </w:r>
      <w:r w:rsidR="00A97E83">
        <w:rPr>
          <w:bCs/>
        </w:rPr>
        <w:t>por apli</w:t>
      </w:r>
      <w:r w:rsidRPr="00D74E79">
        <w:rPr>
          <w:bCs/>
        </w:rPr>
        <w:t>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056498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AENA</w:t>
      </w:r>
      <w:r w:rsidR="007B1EF0">
        <w:rPr>
          <w:bCs/>
        </w:rPr>
        <w:t xml:space="preserve"> </w:t>
      </w:r>
      <w:r w:rsidR="00D74E79">
        <w:rPr>
          <w:bCs/>
        </w:rPr>
        <w:t xml:space="preserve">debería publicar en su Portal de Transparencia las resoluciones que deniegan el acceso a la información por </w:t>
      </w:r>
      <w:r w:rsidR="00A97E83">
        <w:rPr>
          <w:bCs/>
        </w:rPr>
        <w:t>ap</w:t>
      </w:r>
      <w:r w:rsidR="00D74E79">
        <w:rPr>
          <w:bCs/>
        </w:rPr>
        <w:t>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</w:t>
      </w:r>
      <w:r w:rsidR="00A97E83">
        <w:rPr>
          <w:bCs/>
        </w:rPr>
        <w:t>aplicación de estos 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B07CF7" w:rsidRDefault="00F34803" w:rsidP="00B07CF7">
      <w:pPr>
        <w:pStyle w:val="Prrafodelista"/>
        <w:ind w:left="426"/>
        <w:jc w:val="both"/>
      </w:pPr>
      <w:r>
        <w:t xml:space="preserve">Como se ha indicado, </w:t>
      </w:r>
      <w:r w:rsidR="00056498">
        <w:t>AENA</w:t>
      </w:r>
      <w:r w:rsidR="007B1EF0"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7B1EF0">
        <w:t>facilit</w:t>
      </w:r>
      <w:r w:rsidR="00B07CF7">
        <w:t>a</w:t>
      </w:r>
      <w:r w:rsidR="007B1EF0">
        <w:t xml:space="preserve"> el ejercicio del derecho de acceso a la información del organismo e inform</w:t>
      </w:r>
      <w:r w:rsidR="00B07CF7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  <w:r w:rsidR="00B07CF7">
        <w:t xml:space="preserve">Además, ofrece información sobre los medios habilitados y sobre los requisitos necesarios </w:t>
      </w:r>
      <w:r w:rsidR="00B07CF7" w:rsidRPr="00342775">
        <w:t>para la presentación de estas solicitudes</w:t>
      </w:r>
      <w:r w:rsidR="00B07CF7">
        <w:t>.</w:t>
      </w:r>
    </w:p>
    <w:p w:rsidR="00B07CF7" w:rsidRDefault="00B07CF7" w:rsidP="00B07CF7">
      <w:pPr>
        <w:pStyle w:val="Prrafodelista"/>
        <w:ind w:left="426"/>
        <w:jc w:val="both"/>
      </w:pPr>
    </w:p>
    <w:p w:rsidR="00B07CF7" w:rsidRDefault="00B07CF7" w:rsidP="00B07CF7">
      <w:pPr>
        <w:pStyle w:val="Prrafodelista"/>
        <w:ind w:left="426"/>
        <w:jc w:val="both"/>
      </w:pPr>
      <w:r>
        <w:t>En relación con estos últimos se contempla como requisito obligatorio, la aportación del documento de identidad por parte de los solicitantes.</w:t>
      </w:r>
    </w:p>
    <w:p w:rsidR="00B07CF7" w:rsidRDefault="00B07CF7" w:rsidP="00B07CF7">
      <w:pPr>
        <w:pStyle w:val="Prrafodelista"/>
        <w:ind w:left="426"/>
        <w:jc w:val="both"/>
      </w:pPr>
    </w:p>
    <w:p w:rsidR="002E0A33" w:rsidRDefault="002E0A33" w:rsidP="00B07CF7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>La resolución está motivada y correctamente estructurada, es clara y comprensible</w:t>
      </w:r>
      <w:r w:rsidR="00A87315">
        <w:t xml:space="preserve"> e</w:t>
      </w:r>
      <w:r w:rsidR="002E0A33" w:rsidRPr="002E0A33">
        <w:t xml:space="preserve"> incluye pie de recurso</w:t>
      </w:r>
      <w:r w:rsidR="002E0A33">
        <w:t>.</w:t>
      </w:r>
      <w:r w:rsidR="00B07CF7">
        <w:t xml:space="preserve"> No obstante cabe señalar que la resolución, que se integra en el cuerpo de un correo electrónico, no identifica </w:t>
      </w:r>
      <w:r w:rsidR="00296001">
        <w:t xml:space="preserve">la persona ni el cargo </w:t>
      </w:r>
      <w:r w:rsidR="00B07CF7">
        <w:t xml:space="preserve">de quien la firma y por otra parte la información no se proporciona en el formato solicitado.  </w:t>
      </w:r>
    </w:p>
    <w:p w:rsidR="00296001" w:rsidRDefault="00296001" w:rsidP="002E0A33">
      <w:pPr>
        <w:pStyle w:val="Prrafodelista"/>
        <w:ind w:left="426"/>
        <w:jc w:val="both"/>
      </w:pPr>
    </w:p>
    <w:p w:rsidR="00B21CA0" w:rsidRDefault="00B21CA0" w:rsidP="00B21CA0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Tal y como establece el artículo 20.1 de la LTAIBG las resoluciones deben notificarse por el órgano competente para resolver. Aunque la resolución se integre en el cuerpo de un correo electrónico y no se entregue en un documento diferenciado, debería estar identificada la persona que la firma y el cargo que ostenta</w:t>
      </w:r>
    </w:p>
    <w:p w:rsidR="00B21CA0" w:rsidRDefault="00B21CA0" w:rsidP="00B21CA0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</w:p>
    <w:p w:rsidR="00B21CA0" w:rsidRDefault="00B21CA0" w:rsidP="006449BC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Por otra parte, en la medida de lo posible la información debería entregarse en el formato establecido por la persona solicitante. </w:t>
      </w:r>
    </w:p>
    <w:p w:rsidR="00B40246" w:rsidRDefault="00B40246" w:rsidP="00D84B7B">
      <w:pPr>
        <w:pStyle w:val="Prrafodelista"/>
        <w:ind w:left="644"/>
        <w:jc w:val="both"/>
      </w:pPr>
      <w:bookmarkStart w:id="0" w:name="_GoBack"/>
      <w:bookmarkEnd w:id="0"/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AB" w:rsidRDefault="00020BAB" w:rsidP="00932008">
      <w:pPr>
        <w:spacing w:after="0" w:line="240" w:lineRule="auto"/>
      </w:pPr>
      <w:r>
        <w:separator/>
      </w:r>
    </w:p>
  </w:endnote>
  <w:endnote w:type="continuationSeparator" w:id="0">
    <w:p w:rsidR="00020BAB" w:rsidRDefault="00020BA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20BAB" w:rsidRPr="00C533E7" w:rsidRDefault="00020BAB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6449BC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020BAB" w:rsidRDefault="00020B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AB" w:rsidRDefault="00020BAB" w:rsidP="00932008">
      <w:pPr>
        <w:spacing w:after="0" w:line="240" w:lineRule="auto"/>
      </w:pPr>
      <w:r>
        <w:separator/>
      </w:r>
    </w:p>
  </w:footnote>
  <w:footnote w:type="continuationSeparator" w:id="0">
    <w:p w:rsidR="00020BAB" w:rsidRDefault="00020BAB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07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6995"/>
    <w:rsid w:val="00020BAB"/>
    <w:rsid w:val="000262A3"/>
    <w:rsid w:val="00046805"/>
    <w:rsid w:val="00055B15"/>
    <w:rsid w:val="00056498"/>
    <w:rsid w:val="000965B3"/>
    <w:rsid w:val="000A1C07"/>
    <w:rsid w:val="000B0A0D"/>
    <w:rsid w:val="000B2A81"/>
    <w:rsid w:val="000C2945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022FD"/>
    <w:rsid w:val="00241D7A"/>
    <w:rsid w:val="00256215"/>
    <w:rsid w:val="0026281C"/>
    <w:rsid w:val="00296001"/>
    <w:rsid w:val="002A154B"/>
    <w:rsid w:val="002E0A33"/>
    <w:rsid w:val="002E7910"/>
    <w:rsid w:val="003145AD"/>
    <w:rsid w:val="003327FC"/>
    <w:rsid w:val="00334115"/>
    <w:rsid w:val="00340559"/>
    <w:rsid w:val="003B5288"/>
    <w:rsid w:val="003F271E"/>
    <w:rsid w:val="003F572A"/>
    <w:rsid w:val="0042784D"/>
    <w:rsid w:val="004A123A"/>
    <w:rsid w:val="004A133A"/>
    <w:rsid w:val="004A706B"/>
    <w:rsid w:val="004B4DC3"/>
    <w:rsid w:val="004D6E73"/>
    <w:rsid w:val="004F2655"/>
    <w:rsid w:val="005266C9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449BC"/>
    <w:rsid w:val="00654162"/>
    <w:rsid w:val="0066577D"/>
    <w:rsid w:val="006A2766"/>
    <w:rsid w:val="006A2E9A"/>
    <w:rsid w:val="006B57D9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5659"/>
    <w:rsid w:val="008207D9"/>
    <w:rsid w:val="00833900"/>
    <w:rsid w:val="00844FA9"/>
    <w:rsid w:val="00882E38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22370"/>
    <w:rsid w:val="00A41DD5"/>
    <w:rsid w:val="00A544D3"/>
    <w:rsid w:val="00A8003E"/>
    <w:rsid w:val="00A87315"/>
    <w:rsid w:val="00A915A2"/>
    <w:rsid w:val="00A97E83"/>
    <w:rsid w:val="00AC2468"/>
    <w:rsid w:val="00AC715D"/>
    <w:rsid w:val="00AD1DBF"/>
    <w:rsid w:val="00AE1CBE"/>
    <w:rsid w:val="00AE788F"/>
    <w:rsid w:val="00B07CF7"/>
    <w:rsid w:val="00B21CA0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5EDE"/>
    <w:rsid w:val="00C16BC7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B770A"/>
    <w:rsid w:val="00CC2049"/>
    <w:rsid w:val="00CC587B"/>
    <w:rsid w:val="00CC610D"/>
    <w:rsid w:val="00CD0605"/>
    <w:rsid w:val="00D41FBA"/>
    <w:rsid w:val="00D445A7"/>
    <w:rsid w:val="00D447A6"/>
    <w:rsid w:val="00D52E43"/>
    <w:rsid w:val="00D74E79"/>
    <w:rsid w:val="00D84B7B"/>
    <w:rsid w:val="00D96F84"/>
    <w:rsid w:val="00DC0848"/>
    <w:rsid w:val="00DD3E02"/>
    <w:rsid w:val="00DE0EA7"/>
    <w:rsid w:val="00DE4AA9"/>
    <w:rsid w:val="00DF2ACE"/>
    <w:rsid w:val="00DF4D57"/>
    <w:rsid w:val="00DF63E7"/>
    <w:rsid w:val="00E03C01"/>
    <w:rsid w:val="00E3088D"/>
    <w:rsid w:val="00E34195"/>
    <w:rsid w:val="00E3633A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71D7D"/>
    <w:rsid w:val="00F7263F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915D9"/>
    <w:rsid w:val="000C3FF0"/>
    <w:rsid w:val="0013771E"/>
    <w:rsid w:val="002A5B0E"/>
    <w:rsid w:val="002C1748"/>
    <w:rsid w:val="002C7AFA"/>
    <w:rsid w:val="0035422E"/>
    <w:rsid w:val="003D088C"/>
    <w:rsid w:val="00543A52"/>
    <w:rsid w:val="00546DCA"/>
    <w:rsid w:val="0087096B"/>
    <w:rsid w:val="00A80EAD"/>
    <w:rsid w:val="00AB1850"/>
    <w:rsid w:val="00C26568"/>
    <w:rsid w:val="00C60DC9"/>
    <w:rsid w:val="00D34D88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89475-63DD-4119-8427-E2BF68CF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1173</TotalTime>
  <Pages>4</Pages>
  <Words>1145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2007-10-26T10:03:00Z</cp:lastPrinted>
  <dcterms:created xsi:type="dcterms:W3CDTF">2021-07-06T11:53:00Z</dcterms:created>
  <dcterms:modified xsi:type="dcterms:W3CDTF">2021-10-13T10:59:00Z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