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AF6C5C" w:rsidRDefault="00AF6C5C" w:rsidP="00B40246">
                                <w:pPr>
                                  <w:pStyle w:val="Ttulodelboletn"/>
                                  <w:jc w:val="center"/>
                                  <w:rPr>
                                    <w:rFonts w:ascii="Century Gothic" w:hAnsi="Century Gothic"/>
                                    <w:sz w:val="50"/>
                                    <w:szCs w:val="50"/>
                                  </w:rPr>
                                </w:pPr>
                              </w:p>
                              <w:p w:rsidR="00AF6C5C" w:rsidRPr="00006957" w:rsidRDefault="00AF6C5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AF6C5C" w:rsidRDefault="00AF6C5C" w:rsidP="00B40246">
                          <w:pPr>
                            <w:pStyle w:val="Ttulodelboletn"/>
                            <w:jc w:val="center"/>
                            <w:rPr>
                              <w:rFonts w:ascii="Century Gothic" w:hAnsi="Century Gothic"/>
                              <w:sz w:val="50"/>
                              <w:szCs w:val="50"/>
                            </w:rPr>
                          </w:pPr>
                        </w:p>
                        <w:p w:rsidR="00AF6C5C" w:rsidRPr="00006957" w:rsidRDefault="00AF6C5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F6C5C" w:rsidRDefault="00AF6C5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F6C5C" w:rsidRDefault="00AF6C5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7F4BBB" w:rsidP="002615D8">
            <w:pPr>
              <w:rPr>
                <w:sz w:val="24"/>
                <w:szCs w:val="24"/>
              </w:rPr>
            </w:pPr>
            <w:r>
              <w:rPr>
                <w:sz w:val="24"/>
                <w:szCs w:val="24"/>
              </w:rPr>
              <w:t>Sociedad Estatal Correos y Telégrafos</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411640" w:rsidP="007F4BBB">
            <w:pPr>
              <w:rPr>
                <w:sz w:val="24"/>
                <w:szCs w:val="24"/>
              </w:rPr>
            </w:pPr>
            <w:r>
              <w:rPr>
                <w:sz w:val="24"/>
                <w:szCs w:val="24"/>
              </w:rPr>
              <w:t>1</w:t>
            </w:r>
            <w:r w:rsidR="007F4BBB">
              <w:rPr>
                <w:sz w:val="24"/>
                <w:szCs w:val="24"/>
              </w:rPr>
              <w:t>0</w:t>
            </w:r>
            <w:r w:rsidR="002615D8">
              <w:rPr>
                <w:sz w:val="24"/>
                <w:szCs w:val="24"/>
              </w:rPr>
              <w:t>/05</w:t>
            </w:r>
            <w:r w:rsidR="00340559">
              <w:rPr>
                <w:sz w:val="24"/>
                <w:szCs w:val="24"/>
              </w:rPr>
              <w:t>/2021</w:t>
            </w:r>
          </w:p>
        </w:tc>
      </w:tr>
    </w:tbl>
    <w:p w:rsidR="00BA266E" w:rsidRDefault="00BA266E"/>
    <w:p w:rsidR="00561402" w:rsidRPr="0012783F" w:rsidRDefault="00BB63C9">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12783F" w:rsidRDefault="00BA266E" w:rsidP="0012783F">
      <w:pPr>
        <w:pStyle w:val="Cuerpodelboletn"/>
        <w:spacing w:before="120" w:after="120" w:line="312" w:lineRule="auto"/>
        <w:ind w:left="360"/>
        <w:rPr>
          <w:bCs/>
          <w:color w:val="auto"/>
          <w:szCs w:val="22"/>
        </w:rPr>
      </w:pPr>
      <w:r w:rsidRPr="00577A83">
        <w:rPr>
          <w:bCs/>
          <w:color w:val="auto"/>
          <w:szCs w:val="22"/>
        </w:rPr>
        <w:t xml:space="preserve">La gestión de las solicitudes de acceso se efectúa por la </w:t>
      </w:r>
      <w:r w:rsidR="00577A83">
        <w:rPr>
          <w:bCs/>
          <w:color w:val="auto"/>
          <w:szCs w:val="22"/>
        </w:rPr>
        <w:t>Secretaría General y del Consejo de Administración</w:t>
      </w:r>
      <w:r w:rsidRPr="00577A83">
        <w:rPr>
          <w:bCs/>
          <w:color w:val="auto"/>
          <w:szCs w:val="22"/>
        </w:rPr>
        <w:t xml:space="preserve">, que cuenta con </w:t>
      </w:r>
      <w:r w:rsidR="00577A83">
        <w:rPr>
          <w:bCs/>
          <w:color w:val="auto"/>
          <w:szCs w:val="22"/>
        </w:rPr>
        <w:t>tres</w:t>
      </w:r>
      <w:r w:rsidRPr="00577A83">
        <w:rPr>
          <w:bCs/>
          <w:color w:val="auto"/>
          <w:szCs w:val="22"/>
        </w:rPr>
        <w:t xml:space="preserve"> personas para abordar esta actividad. Ninguna </w:t>
      </w:r>
      <w:proofErr w:type="spellStart"/>
      <w:r w:rsidR="00DF6C30" w:rsidRPr="00577A83">
        <w:rPr>
          <w:bCs/>
          <w:color w:val="auto"/>
          <w:szCs w:val="22"/>
        </w:rPr>
        <w:t>del</w:t>
      </w:r>
      <w:r w:rsidRPr="00577A83">
        <w:rPr>
          <w:bCs/>
          <w:color w:val="auto"/>
          <w:szCs w:val="22"/>
        </w:rPr>
        <w:t>las</w:t>
      </w:r>
      <w:proofErr w:type="spellEnd"/>
      <w:r w:rsidRPr="00577A83">
        <w:rPr>
          <w:bCs/>
          <w:color w:val="auto"/>
          <w:szCs w:val="22"/>
        </w:rPr>
        <w:t xml:space="preserve"> se dedica exclusivamente</w:t>
      </w:r>
      <w:r w:rsidR="00531D64" w:rsidRPr="00577A83">
        <w:rPr>
          <w:bCs/>
          <w:color w:val="auto"/>
          <w:szCs w:val="22"/>
        </w:rPr>
        <w:t xml:space="preserve"> </w:t>
      </w:r>
      <w:r w:rsidRPr="00577A83">
        <w:rPr>
          <w:bCs/>
          <w:color w:val="auto"/>
          <w:szCs w:val="22"/>
        </w:rPr>
        <w:t>a la gestión de las solicitudes</w:t>
      </w:r>
      <w:r w:rsidR="00626819" w:rsidRPr="00577A83">
        <w:rPr>
          <w:bCs/>
          <w:color w:val="auto"/>
          <w:szCs w:val="22"/>
        </w:rPr>
        <w:t>.</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BB63C9"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BA266E" w:rsidRDefault="00BA266E" w:rsidP="0012783F">
      <w:pPr>
        <w:pStyle w:val="Cuerpodelboletn"/>
        <w:spacing w:before="120" w:after="120" w:line="312" w:lineRule="auto"/>
        <w:ind w:left="360"/>
        <w:rPr>
          <w:rStyle w:val="Ttulo2Car"/>
          <w:color w:val="00642D"/>
          <w:lang w:bidi="es-ES"/>
        </w:rPr>
      </w:pPr>
    </w:p>
    <w:p w:rsidR="00B812AB" w:rsidRDefault="00A41DD5" w:rsidP="0012783F">
      <w:pPr>
        <w:pStyle w:val="Cuerpodelboletn"/>
        <w:spacing w:before="120" w:after="120" w:line="312" w:lineRule="auto"/>
        <w:ind w:left="360"/>
        <w:rPr>
          <w:rStyle w:val="Ttulo2Car"/>
          <w:color w:val="00642D"/>
          <w:lang w:bidi="es-ES"/>
        </w:rPr>
      </w:pPr>
      <w:r w:rsidRPr="00A41DD5">
        <w:rPr>
          <w:rStyle w:val="Ttulo2Car"/>
          <w:color w:val="00642D"/>
          <w:lang w:bidi="es-ES"/>
        </w:rPr>
        <w:t>II.1</w:t>
      </w:r>
      <w:r w:rsidR="00B812AB" w:rsidRPr="00B812AB">
        <w:rPr>
          <w:rStyle w:val="Ttulo2Car"/>
          <w:color w:val="00642D"/>
          <w:lang w:bidi="es-ES"/>
        </w:rPr>
        <w:t>Solicitudes gestionadas en 2020</w:t>
      </w:r>
    </w:p>
    <w:p w:rsidR="00577A83" w:rsidRDefault="00577A83" w:rsidP="0012783F">
      <w:pPr>
        <w:pStyle w:val="Cuerpodelboletn"/>
        <w:spacing w:before="120" w:after="120" w:line="312" w:lineRule="auto"/>
        <w:ind w:left="360"/>
        <w:rPr>
          <w:rStyle w:val="Ttulo2Car"/>
          <w:color w:val="00642D"/>
          <w:lang w:bidi="es-ES"/>
        </w:rPr>
      </w:pPr>
    </w:p>
    <w:p w:rsidR="00F34803" w:rsidRDefault="00F34803" w:rsidP="00F34803">
      <w:pPr>
        <w:ind w:left="426"/>
        <w:jc w:val="both"/>
      </w:pPr>
      <w:r w:rsidRPr="00577A83">
        <w:t xml:space="preserve">En 2020 </w:t>
      </w:r>
      <w:r w:rsidR="00577A83">
        <w:t>Correos</w:t>
      </w:r>
      <w:r w:rsidRPr="00577A83">
        <w:t xml:space="preserve"> recibió </w:t>
      </w:r>
      <w:r w:rsidR="00577A83">
        <w:t>83</w:t>
      </w:r>
      <w:r w:rsidRPr="00577A83">
        <w:t xml:space="preserve"> solicitudes de información</w:t>
      </w:r>
      <w:r w:rsidR="00654162" w:rsidRPr="00577A83">
        <w:t xml:space="preserve">. </w:t>
      </w:r>
      <w:r w:rsidRPr="00577A83">
        <w:t>Al igual que en 2019 no quedaron solicitudes pendientes de tramitación a 31 de diciembre de 2020.</w:t>
      </w:r>
      <w:r>
        <w:t xml:space="preserve"> </w:t>
      </w:r>
    </w:p>
    <w:p w:rsidR="00BA266E" w:rsidRDefault="00BA266E" w:rsidP="00F7263F">
      <w:pPr>
        <w:pStyle w:val="Cuerpodelboletn"/>
        <w:spacing w:before="120" w:after="120" w:line="312" w:lineRule="auto"/>
        <w:ind w:left="360"/>
        <w:rPr>
          <w:rStyle w:val="Ttulo2Car"/>
          <w:color w:val="00642D"/>
          <w:lang w:bidi="es-ES"/>
        </w:rPr>
      </w:pPr>
    </w:p>
    <w:p w:rsidR="00F7263F" w:rsidRDefault="00F7263F" w:rsidP="00F7263F">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 xml:space="preserve">2 Indicadores de tramitación </w:t>
      </w:r>
      <w:r w:rsidRPr="00B812AB">
        <w:rPr>
          <w:rStyle w:val="Ttulo2Car"/>
          <w:color w:val="00642D"/>
          <w:lang w:bidi="es-ES"/>
        </w:rPr>
        <w:t>en 2020</w:t>
      </w:r>
    </w:p>
    <w:p w:rsidR="00F34803" w:rsidRDefault="00F34803" w:rsidP="00F34803">
      <w:pPr>
        <w:ind w:left="426"/>
        <w:jc w:val="both"/>
        <w:rPr>
          <w:rStyle w:val="Ttulo2Car"/>
          <w:b w:val="0"/>
          <w:color w:val="auto"/>
          <w:sz w:val="22"/>
          <w:szCs w:val="22"/>
          <w:lang w:bidi="es-ES"/>
        </w:rPr>
      </w:pPr>
      <w:r w:rsidRPr="00577A83">
        <w:rPr>
          <w:rStyle w:val="Ttulo2Car"/>
          <w:b w:val="0"/>
          <w:color w:val="auto"/>
          <w:sz w:val="22"/>
          <w:szCs w:val="22"/>
          <w:lang w:bidi="es-ES"/>
        </w:rPr>
        <w:t xml:space="preserve">En 2020, en promedio, cada una de las personas asignadas a la UIT de </w:t>
      </w:r>
      <w:r w:rsidR="00577A83">
        <w:rPr>
          <w:rStyle w:val="Ttulo2Car"/>
          <w:b w:val="0"/>
          <w:color w:val="auto"/>
          <w:sz w:val="22"/>
          <w:szCs w:val="22"/>
          <w:lang w:bidi="es-ES"/>
        </w:rPr>
        <w:t xml:space="preserve">Correos </w:t>
      </w:r>
      <w:r w:rsidRPr="00577A83">
        <w:rPr>
          <w:rStyle w:val="Ttulo2Car"/>
          <w:b w:val="0"/>
          <w:color w:val="auto"/>
          <w:sz w:val="22"/>
          <w:szCs w:val="22"/>
          <w:lang w:bidi="es-ES"/>
        </w:rPr>
        <w:t xml:space="preserve">asumió </w:t>
      </w:r>
      <w:r w:rsidR="00626819" w:rsidRPr="00577A83">
        <w:rPr>
          <w:rStyle w:val="Ttulo2Car"/>
          <w:b w:val="0"/>
          <w:color w:val="auto"/>
          <w:sz w:val="22"/>
          <w:szCs w:val="22"/>
          <w:lang w:bidi="es-ES"/>
        </w:rPr>
        <w:t>la tramitación de</w:t>
      </w:r>
      <w:r w:rsidRPr="00577A83">
        <w:rPr>
          <w:rStyle w:val="Ttulo2Car"/>
          <w:b w:val="0"/>
          <w:color w:val="auto"/>
          <w:sz w:val="22"/>
          <w:szCs w:val="22"/>
          <w:lang w:bidi="es-ES"/>
        </w:rPr>
        <w:t xml:space="preserve"> </w:t>
      </w:r>
      <w:r w:rsidR="00577A83">
        <w:rPr>
          <w:rStyle w:val="Ttulo2Car"/>
          <w:b w:val="0"/>
          <w:color w:val="auto"/>
          <w:sz w:val="22"/>
          <w:szCs w:val="22"/>
          <w:lang w:bidi="es-ES"/>
        </w:rPr>
        <w:t>casi 28</w:t>
      </w:r>
      <w:r w:rsidRPr="00577A83">
        <w:rPr>
          <w:rStyle w:val="Ttulo2Car"/>
          <w:b w:val="0"/>
          <w:color w:val="auto"/>
          <w:sz w:val="22"/>
          <w:szCs w:val="22"/>
          <w:lang w:bidi="es-ES"/>
        </w:rPr>
        <w:t xml:space="preserve"> solicitudes. </w:t>
      </w:r>
    </w:p>
    <w:p w:rsidR="00F34803" w:rsidRDefault="00654162" w:rsidP="00F34803">
      <w:pPr>
        <w:ind w:left="426"/>
        <w:jc w:val="both"/>
        <w:rPr>
          <w:rStyle w:val="Ttulo2Car"/>
          <w:b w:val="0"/>
          <w:color w:val="auto"/>
          <w:sz w:val="22"/>
          <w:szCs w:val="22"/>
          <w:lang w:bidi="es-ES"/>
        </w:rPr>
      </w:pPr>
      <w:r w:rsidRPr="00577A83">
        <w:rPr>
          <w:rStyle w:val="Ttulo2Car"/>
          <w:b w:val="0"/>
          <w:color w:val="auto"/>
          <w:sz w:val="22"/>
          <w:szCs w:val="22"/>
          <w:lang w:bidi="es-ES"/>
        </w:rPr>
        <w:t>La totalidad de las solicitudes se tramitó en el año</w:t>
      </w:r>
      <w:r w:rsidR="00577A83">
        <w:rPr>
          <w:rStyle w:val="Ttulo2Car"/>
          <w:b w:val="0"/>
          <w:color w:val="auto"/>
          <w:sz w:val="22"/>
          <w:szCs w:val="22"/>
          <w:lang w:bidi="es-ES"/>
        </w:rPr>
        <w:t>. De ellas fueron admitidas un 28% e inadmitidas el 72%. La principal causa de inadmisión fue considerar la solicitud abusiva o repetitiva, más del 91% de las solicitudes inadmitidas lo fueron por esta causa.</w:t>
      </w:r>
    </w:p>
    <w:p w:rsidR="00577A83" w:rsidRDefault="00577A83" w:rsidP="00F34803">
      <w:pPr>
        <w:ind w:left="426"/>
        <w:jc w:val="both"/>
        <w:rPr>
          <w:rStyle w:val="Ttulo2Car"/>
          <w:b w:val="0"/>
          <w:color w:val="auto"/>
          <w:sz w:val="22"/>
          <w:szCs w:val="22"/>
          <w:lang w:bidi="es-ES"/>
        </w:rPr>
      </w:pPr>
    </w:p>
    <w:p w:rsidR="00577A83" w:rsidRDefault="00577A83" w:rsidP="00F34803">
      <w:pPr>
        <w:ind w:left="426"/>
        <w:jc w:val="both"/>
        <w:rPr>
          <w:rStyle w:val="Ttulo2Car"/>
          <w:b w:val="0"/>
          <w:color w:val="auto"/>
          <w:sz w:val="22"/>
          <w:szCs w:val="22"/>
          <w:lang w:bidi="es-ES"/>
        </w:rPr>
      </w:pPr>
    </w:p>
    <w:p w:rsidR="00577A83" w:rsidRPr="00985C93" w:rsidRDefault="00577A83" w:rsidP="00577A83">
      <w:pPr>
        <w:pStyle w:val="Epgrafe"/>
        <w:keepNext/>
        <w:ind w:left="426"/>
        <w:rPr>
          <w:rStyle w:val="Ttulo2Car"/>
          <w:b/>
          <w:color w:val="00642D"/>
          <w:sz w:val="22"/>
          <w:szCs w:val="22"/>
          <w:lang w:bidi="es-ES"/>
        </w:rPr>
      </w:pPr>
      <w:r w:rsidRPr="00985C93">
        <w:rPr>
          <w:rStyle w:val="Ttulo2Car"/>
          <w:b/>
          <w:color w:val="00642D"/>
          <w:sz w:val="22"/>
          <w:szCs w:val="22"/>
          <w:lang w:bidi="es-ES"/>
        </w:rPr>
        <w:t xml:space="preserve">Gráfico </w:t>
      </w:r>
      <w:r w:rsidRPr="00985C93">
        <w:rPr>
          <w:rStyle w:val="Ttulo2Car"/>
          <w:b/>
          <w:color w:val="00642D"/>
          <w:sz w:val="22"/>
          <w:szCs w:val="22"/>
          <w:lang w:bidi="es-ES"/>
        </w:rPr>
        <w:fldChar w:fldCharType="begin"/>
      </w:r>
      <w:r w:rsidRPr="00985C93">
        <w:rPr>
          <w:rStyle w:val="Ttulo2Car"/>
          <w:b/>
          <w:color w:val="00642D"/>
          <w:sz w:val="22"/>
          <w:szCs w:val="22"/>
          <w:lang w:bidi="es-ES"/>
        </w:rPr>
        <w:instrText xml:space="preserve"> SEQ Gráfico \* ARABIC </w:instrText>
      </w:r>
      <w:r w:rsidRPr="00985C93">
        <w:rPr>
          <w:rStyle w:val="Ttulo2Car"/>
          <w:b/>
          <w:color w:val="00642D"/>
          <w:sz w:val="22"/>
          <w:szCs w:val="22"/>
          <w:lang w:bidi="es-ES"/>
        </w:rPr>
        <w:fldChar w:fldCharType="separate"/>
      </w:r>
      <w:r w:rsidRPr="00985C93">
        <w:rPr>
          <w:rStyle w:val="Ttulo2Car"/>
          <w:b/>
          <w:color w:val="00642D"/>
          <w:sz w:val="22"/>
          <w:szCs w:val="22"/>
          <w:lang w:bidi="es-ES"/>
        </w:rPr>
        <w:t>1</w:t>
      </w:r>
      <w:r w:rsidRPr="00985C93">
        <w:rPr>
          <w:rStyle w:val="Ttulo2Car"/>
          <w:b/>
          <w:color w:val="00642D"/>
          <w:sz w:val="22"/>
          <w:szCs w:val="22"/>
          <w:lang w:bidi="es-ES"/>
        </w:rPr>
        <w:fldChar w:fldCharType="end"/>
      </w:r>
      <w:r w:rsidRPr="00985C93">
        <w:rPr>
          <w:rStyle w:val="Ttulo2Car"/>
          <w:b/>
          <w:color w:val="00642D"/>
          <w:sz w:val="22"/>
          <w:szCs w:val="22"/>
          <w:lang w:bidi="es-ES"/>
        </w:rPr>
        <w:t>: Distribución de las solicitudes inadmitidas según causa de inadmisión</w:t>
      </w:r>
    </w:p>
    <w:p w:rsidR="00577A83" w:rsidRDefault="00577A83" w:rsidP="00F34803">
      <w:pPr>
        <w:ind w:left="426"/>
        <w:jc w:val="both"/>
        <w:rPr>
          <w:rStyle w:val="Ttulo2Car"/>
          <w:b w:val="0"/>
          <w:color w:val="auto"/>
          <w:sz w:val="22"/>
          <w:szCs w:val="22"/>
          <w:lang w:bidi="es-ES"/>
        </w:rPr>
      </w:pPr>
      <w:r>
        <w:rPr>
          <w:noProof/>
        </w:rPr>
        <w:drawing>
          <wp:inline distT="0" distB="0" distL="0" distR="0" wp14:anchorId="1B40B061" wp14:editId="79473C46">
            <wp:extent cx="6134100" cy="27432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E1C29" w:rsidRDefault="001E1C29" w:rsidP="00F34803">
      <w:pPr>
        <w:ind w:left="426"/>
        <w:jc w:val="both"/>
        <w:rPr>
          <w:rStyle w:val="Ttulo2Car"/>
          <w:b w:val="0"/>
          <w:color w:val="auto"/>
          <w:sz w:val="22"/>
          <w:szCs w:val="22"/>
          <w:lang w:bidi="es-ES"/>
        </w:rPr>
      </w:pPr>
    </w:p>
    <w:p w:rsidR="001E1C29" w:rsidRPr="00647481" w:rsidRDefault="001E1C29" w:rsidP="001E1C29">
      <w:pPr>
        <w:pStyle w:val="Epgrafe"/>
        <w:keepNext/>
        <w:ind w:left="426"/>
        <w:rPr>
          <w:rStyle w:val="Ttulo2Car"/>
          <w:b/>
          <w:color w:val="00642D"/>
          <w:sz w:val="22"/>
          <w:szCs w:val="22"/>
          <w:lang w:bidi="es-ES"/>
        </w:rPr>
      </w:pPr>
      <w:r w:rsidRPr="00647481">
        <w:rPr>
          <w:rStyle w:val="Ttulo2Car"/>
          <w:b/>
          <w:color w:val="00642D"/>
          <w:sz w:val="22"/>
          <w:szCs w:val="22"/>
          <w:lang w:bidi="es-ES"/>
        </w:rPr>
        <w:t xml:space="preserve">Tabla </w:t>
      </w:r>
      <w:r w:rsidRPr="00647481">
        <w:rPr>
          <w:rStyle w:val="Ttulo2Car"/>
          <w:b/>
          <w:color w:val="00642D"/>
          <w:sz w:val="22"/>
          <w:szCs w:val="22"/>
          <w:lang w:bidi="es-ES"/>
        </w:rPr>
        <w:fldChar w:fldCharType="begin"/>
      </w:r>
      <w:r w:rsidRPr="00647481">
        <w:rPr>
          <w:rStyle w:val="Ttulo2Car"/>
          <w:b/>
          <w:color w:val="00642D"/>
          <w:sz w:val="22"/>
          <w:szCs w:val="22"/>
          <w:lang w:bidi="es-ES"/>
        </w:rPr>
        <w:instrText xml:space="preserve"> SEQ Tabla \* ARABIC </w:instrText>
      </w:r>
      <w:r w:rsidRPr="00647481">
        <w:rPr>
          <w:rStyle w:val="Ttulo2Car"/>
          <w:b/>
          <w:color w:val="00642D"/>
          <w:sz w:val="22"/>
          <w:szCs w:val="22"/>
          <w:lang w:bidi="es-ES"/>
        </w:rPr>
        <w:fldChar w:fldCharType="separate"/>
      </w:r>
      <w:r>
        <w:rPr>
          <w:rStyle w:val="Ttulo2Car"/>
          <w:b/>
          <w:noProof/>
          <w:color w:val="00642D"/>
          <w:sz w:val="22"/>
          <w:szCs w:val="22"/>
          <w:lang w:bidi="es-ES"/>
        </w:rPr>
        <w:t>1</w:t>
      </w:r>
      <w:r w:rsidRPr="00647481">
        <w:rPr>
          <w:rStyle w:val="Ttulo2Car"/>
          <w:b/>
          <w:color w:val="00642D"/>
          <w:sz w:val="22"/>
          <w:szCs w:val="22"/>
          <w:lang w:bidi="es-ES"/>
        </w:rPr>
        <w:fldChar w:fldCharType="end"/>
      </w:r>
      <w:r w:rsidRPr="00647481">
        <w:rPr>
          <w:rStyle w:val="Ttulo2Car"/>
          <w:b/>
          <w:color w:val="00642D"/>
          <w:sz w:val="22"/>
          <w:szCs w:val="22"/>
          <w:lang w:bidi="es-ES"/>
        </w:rPr>
        <w:t>: Indicadores de tramitación 2020</w:t>
      </w:r>
    </w:p>
    <w:tbl>
      <w:tblPr>
        <w:tblStyle w:val="Tablaconcuadrcula"/>
        <w:tblW w:w="0" w:type="auto"/>
        <w:tblInd w:w="534" w:type="dxa"/>
        <w:tblLook w:val="04A0" w:firstRow="1" w:lastRow="0" w:firstColumn="1" w:lastColumn="0" w:noHBand="0" w:noVBand="1"/>
      </w:tblPr>
      <w:tblGrid>
        <w:gridCol w:w="1299"/>
        <w:gridCol w:w="6322"/>
        <w:gridCol w:w="1559"/>
      </w:tblGrid>
      <w:tr w:rsidR="00577A83" w:rsidRPr="00706E04" w:rsidTr="00577A83">
        <w:tc>
          <w:tcPr>
            <w:tcW w:w="1299" w:type="dxa"/>
            <w:vMerge w:val="restart"/>
            <w:tcBorders>
              <w:top w:val="nil"/>
              <w:right w:val="nil"/>
            </w:tcBorders>
            <w:shd w:val="clear" w:color="auto" w:fill="4D7F52"/>
            <w:textDirection w:val="btLr"/>
          </w:tcPr>
          <w:p w:rsidR="00577A83" w:rsidRPr="005B3C15" w:rsidRDefault="00577A83" w:rsidP="00983919">
            <w:pPr>
              <w:ind w:left="113" w:right="113"/>
              <w:jc w:val="center"/>
              <w:rPr>
                <w:b/>
                <w:color w:val="FFFFFF" w:themeColor="background1"/>
              </w:rPr>
            </w:pPr>
            <w:r w:rsidRPr="005B3C15">
              <w:rPr>
                <w:b/>
                <w:color w:val="FFFFFF" w:themeColor="background1"/>
              </w:rPr>
              <w:t>Indicadores de tramitación</w:t>
            </w:r>
          </w:p>
        </w:tc>
        <w:tc>
          <w:tcPr>
            <w:tcW w:w="6322" w:type="dxa"/>
            <w:tcBorders>
              <w:left w:val="nil"/>
            </w:tcBorders>
          </w:tcPr>
          <w:p w:rsidR="00577A83" w:rsidRPr="006A2E9A" w:rsidRDefault="00577A83" w:rsidP="00055B15">
            <w:pPr>
              <w:rPr>
                <w:sz w:val="20"/>
                <w:szCs w:val="20"/>
              </w:rPr>
            </w:pPr>
            <w:r w:rsidRPr="006A2E9A">
              <w:rPr>
                <w:sz w:val="20"/>
                <w:szCs w:val="20"/>
              </w:rPr>
              <w:t>Solicitudes/persona UIT</w:t>
            </w:r>
          </w:p>
        </w:tc>
        <w:tc>
          <w:tcPr>
            <w:tcW w:w="1559" w:type="dxa"/>
            <w:vAlign w:val="center"/>
          </w:tcPr>
          <w:p w:rsidR="00577A83" w:rsidRPr="00577A83" w:rsidRDefault="00577A83" w:rsidP="00577A83">
            <w:pPr>
              <w:jc w:val="center"/>
              <w:rPr>
                <w:sz w:val="20"/>
                <w:szCs w:val="20"/>
              </w:rPr>
            </w:pPr>
            <w:r w:rsidRPr="00577A83">
              <w:rPr>
                <w:sz w:val="20"/>
                <w:szCs w:val="20"/>
              </w:rPr>
              <w:t>27,67</w:t>
            </w:r>
          </w:p>
        </w:tc>
      </w:tr>
      <w:tr w:rsidR="00577A83" w:rsidRPr="00706E04" w:rsidTr="00577A83">
        <w:tc>
          <w:tcPr>
            <w:tcW w:w="1299" w:type="dxa"/>
            <w:vMerge/>
            <w:tcBorders>
              <w:top w:val="nil"/>
              <w:right w:val="nil"/>
            </w:tcBorders>
            <w:shd w:val="clear" w:color="auto" w:fill="4D7F52"/>
            <w:textDirection w:val="btLr"/>
          </w:tcPr>
          <w:p w:rsidR="00577A83" w:rsidRPr="005B3C15" w:rsidRDefault="00577A83" w:rsidP="00983919">
            <w:pPr>
              <w:ind w:left="113" w:right="113"/>
              <w:jc w:val="center"/>
              <w:rPr>
                <w:b/>
                <w:color w:val="FFFFFF" w:themeColor="background1"/>
              </w:rPr>
            </w:pPr>
          </w:p>
        </w:tc>
        <w:tc>
          <w:tcPr>
            <w:tcW w:w="6322" w:type="dxa"/>
            <w:tcBorders>
              <w:left w:val="nil"/>
            </w:tcBorders>
          </w:tcPr>
          <w:p w:rsidR="00577A83" w:rsidRPr="006A2E9A" w:rsidRDefault="00577A83" w:rsidP="00055B15">
            <w:pPr>
              <w:rPr>
                <w:sz w:val="20"/>
                <w:szCs w:val="20"/>
              </w:rPr>
            </w:pPr>
            <w:r w:rsidRPr="006A2E9A">
              <w:rPr>
                <w:sz w:val="20"/>
                <w:szCs w:val="20"/>
              </w:rPr>
              <w:t>Solicitudes tramitadas/persona UIT</w:t>
            </w:r>
          </w:p>
        </w:tc>
        <w:tc>
          <w:tcPr>
            <w:tcW w:w="1559" w:type="dxa"/>
            <w:vAlign w:val="center"/>
          </w:tcPr>
          <w:p w:rsidR="00577A83" w:rsidRPr="00577A83" w:rsidRDefault="00577A83" w:rsidP="00577A83">
            <w:pPr>
              <w:jc w:val="center"/>
              <w:rPr>
                <w:sz w:val="20"/>
                <w:szCs w:val="20"/>
              </w:rPr>
            </w:pPr>
            <w:r w:rsidRPr="00577A83">
              <w:rPr>
                <w:sz w:val="20"/>
                <w:szCs w:val="20"/>
              </w:rPr>
              <w:t>27,67</w:t>
            </w:r>
          </w:p>
        </w:tc>
      </w:tr>
      <w:tr w:rsidR="00577A83" w:rsidRPr="00706E04" w:rsidTr="00577A83">
        <w:tc>
          <w:tcPr>
            <w:tcW w:w="1299" w:type="dxa"/>
            <w:vMerge/>
            <w:tcBorders>
              <w:right w:val="nil"/>
            </w:tcBorders>
            <w:shd w:val="clear" w:color="auto" w:fill="4D7F52"/>
            <w:textDirection w:val="btLr"/>
          </w:tcPr>
          <w:p w:rsidR="00577A83" w:rsidRPr="005B3C15" w:rsidRDefault="00577A83" w:rsidP="00983919">
            <w:pPr>
              <w:ind w:left="113" w:right="113"/>
              <w:jc w:val="center"/>
              <w:rPr>
                <w:b/>
                <w:color w:val="FFFFFF" w:themeColor="background1"/>
              </w:rPr>
            </w:pPr>
          </w:p>
        </w:tc>
        <w:tc>
          <w:tcPr>
            <w:tcW w:w="6322" w:type="dxa"/>
            <w:tcBorders>
              <w:left w:val="nil"/>
            </w:tcBorders>
          </w:tcPr>
          <w:p w:rsidR="00577A83" w:rsidRPr="006A2E9A" w:rsidRDefault="00577A83" w:rsidP="00983919">
            <w:pPr>
              <w:rPr>
                <w:sz w:val="20"/>
                <w:szCs w:val="20"/>
              </w:rPr>
            </w:pPr>
            <w:r w:rsidRPr="006A2E9A">
              <w:rPr>
                <w:sz w:val="20"/>
                <w:szCs w:val="20"/>
              </w:rPr>
              <w:t>Tasa de Tramitación (tramitadas/(pendientes a 31/12/2019 + recibidas 2020))</w:t>
            </w:r>
          </w:p>
        </w:tc>
        <w:tc>
          <w:tcPr>
            <w:tcW w:w="1559" w:type="dxa"/>
            <w:vAlign w:val="center"/>
          </w:tcPr>
          <w:p w:rsidR="00577A83" w:rsidRPr="00577A83" w:rsidRDefault="00577A83" w:rsidP="00577A83">
            <w:pPr>
              <w:jc w:val="center"/>
              <w:rPr>
                <w:sz w:val="20"/>
                <w:szCs w:val="20"/>
              </w:rPr>
            </w:pPr>
            <w:r w:rsidRPr="00577A83">
              <w:rPr>
                <w:sz w:val="20"/>
                <w:szCs w:val="20"/>
              </w:rPr>
              <w:t>100,00</w:t>
            </w:r>
          </w:p>
        </w:tc>
      </w:tr>
      <w:tr w:rsidR="00577A83" w:rsidRPr="00706E04" w:rsidTr="00577A83">
        <w:tc>
          <w:tcPr>
            <w:tcW w:w="1299" w:type="dxa"/>
            <w:vMerge/>
            <w:tcBorders>
              <w:right w:val="nil"/>
            </w:tcBorders>
            <w:shd w:val="clear" w:color="auto" w:fill="4D7F52"/>
            <w:textDirection w:val="btLr"/>
          </w:tcPr>
          <w:p w:rsidR="00577A83" w:rsidRPr="005B3C15" w:rsidRDefault="00577A83" w:rsidP="00983919">
            <w:pPr>
              <w:ind w:left="113" w:right="113"/>
              <w:jc w:val="center"/>
              <w:rPr>
                <w:b/>
                <w:color w:val="FFFFFF" w:themeColor="background1"/>
              </w:rPr>
            </w:pPr>
          </w:p>
        </w:tc>
        <w:tc>
          <w:tcPr>
            <w:tcW w:w="6322" w:type="dxa"/>
            <w:tcBorders>
              <w:left w:val="nil"/>
            </w:tcBorders>
          </w:tcPr>
          <w:p w:rsidR="00577A83" w:rsidRPr="006A2E9A" w:rsidRDefault="00577A83" w:rsidP="00983919">
            <w:pPr>
              <w:rPr>
                <w:sz w:val="20"/>
                <w:szCs w:val="20"/>
              </w:rPr>
            </w:pPr>
            <w:r w:rsidRPr="006A2E9A">
              <w:rPr>
                <w:sz w:val="20"/>
                <w:szCs w:val="20"/>
              </w:rPr>
              <w:t>Tasa de pendencia (pendientes a 31/12/2020 / tramitadas)</w:t>
            </w:r>
          </w:p>
        </w:tc>
        <w:tc>
          <w:tcPr>
            <w:tcW w:w="1559" w:type="dxa"/>
            <w:vAlign w:val="center"/>
          </w:tcPr>
          <w:p w:rsidR="00577A83" w:rsidRPr="00577A83" w:rsidRDefault="00577A83" w:rsidP="00577A83">
            <w:pPr>
              <w:jc w:val="center"/>
              <w:rPr>
                <w:sz w:val="20"/>
                <w:szCs w:val="20"/>
              </w:rPr>
            </w:pPr>
            <w:r w:rsidRPr="00577A83">
              <w:rPr>
                <w:sz w:val="20"/>
                <w:szCs w:val="20"/>
              </w:rPr>
              <w:t>,00</w:t>
            </w:r>
          </w:p>
        </w:tc>
      </w:tr>
      <w:tr w:rsidR="00577A83" w:rsidRPr="00706E04" w:rsidTr="00577A83">
        <w:tc>
          <w:tcPr>
            <w:tcW w:w="1299" w:type="dxa"/>
            <w:vMerge/>
            <w:tcBorders>
              <w:right w:val="nil"/>
            </w:tcBorders>
            <w:shd w:val="clear" w:color="auto" w:fill="4D7F52"/>
            <w:textDirection w:val="btLr"/>
          </w:tcPr>
          <w:p w:rsidR="00577A83" w:rsidRPr="005B3C15" w:rsidRDefault="00577A83" w:rsidP="00983919">
            <w:pPr>
              <w:ind w:left="113" w:right="113"/>
              <w:jc w:val="center"/>
              <w:rPr>
                <w:b/>
                <w:color w:val="FFFFFF" w:themeColor="background1"/>
              </w:rPr>
            </w:pPr>
          </w:p>
        </w:tc>
        <w:tc>
          <w:tcPr>
            <w:tcW w:w="6322" w:type="dxa"/>
            <w:tcBorders>
              <w:left w:val="nil"/>
            </w:tcBorders>
          </w:tcPr>
          <w:p w:rsidR="00577A83" w:rsidRPr="006A2E9A" w:rsidRDefault="00577A83" w:rsidP="001F251B">
            <w:pPr>
              <w:rPr>
                <w:sz w:val="20"/>
                <w:szCs w:val="20"/>
              </w:rPr>
            </w:pPr>
            <w:r w:rsidRPr="006A2E9A">
              <w:rPr>
                <w:sz w:val="20"/>
                <w:szCs w:val="20"/>
              </w:rPr>
              <w:t>Tasa de resolución en la tramitación (tramitadas/entradas en 2020)</w:t>
            </w:r>
          </w:p>
        </w:tc>
        <w:tc>
          <w:tcPr>
            <w:tcW w:w="1559" w:type="dxa"/>
            <w:vAlign w:val="center"/>
          </w:tcPr>
          <w:p w:rsidR="00577A83" w:rsidRPr="00577A83" w:rsidRDefault="00577A83" w:rsidP="00577A83">
            <w:pPr>
              <w:jc w:val="center"/>
              <w:rPr>
                <w:sz w:val="20"/>
                <w:szCs w:val="20"/>
              </w:rPr>
            </w:pPr>
            <w:r w:rsidRPr="00577A83">
              <w:rPr>
                <w:sz w:val="20"/>
                <w:szCs w:val="20"/>
              </w:rPr>
              <w:t>100,00</w:t>
            </w:r>
          </w:p>
        </w:tc>
      </w:tr>
      <w:tr w:rsidR="00577A83" w:rsidRPr="00706E04" w:rsidTr="00577A83">
        <w:tc>
          <w:tcPr>
            <w:tcW w:w="1299" w:type="dxa"/>
            <w:vMerge/>
            <w:tcBorders>
              <w:right w:val="nil"/>
            </w:tcBorders>
            <w:shd w:val="clear" w:color="auto" w:fill="4D7F52"/>
            <w:textDirection w:val="btLr"/>
          </w:tcPr>
          <w:p w:rsidR="00577A83" w:rsidRPr="005B3C15" w:rsidRDefault="00577A83" w:rsidP="00983919">
            <w:pPr>
              <w:ind w:left="113" w:right="113"/>
              <w:jc w:val="center"/>
              <w:rPr>
                <w:b/>
                <w:color w:val="FFFFFF" w:themeColor="background1"/>
              </w:rPr>
            </w:pPr>
          </w:p>
        </w:tc>
        <w:tc>
          <w:tcPr>
            <w:tcW w:w="6322" w:type="dxa"/>
            <w:tcBorders>
              <w:left w:val="nil"/>
            </w:tcBorders>
          </w:tcPr>
          <w:p w:rsidR="00577A83" w:rsidRPr="006A2E9A" w:rsidRDefault="00577A83" w:rsidP="00983919">
            <w:pPr>
              <w:rPr>
                <w:sz w:val="20"/>
                <w:szCs w:val="20"/>
              </w:rPr>
            </w:pPr>
            <w:r w:rsidRPr="006A2E9A">
              <w:rPr>
                <w:sz w:val="20"/>
                <w:szCs w:val="20"/>
              </w:rPr>
              <w:t>Tasa de congestión ((pendientes a 31/12/2019 + entradas 2020) / tramitadas</w:t>
            </w:r>
          </w:p>
        </w:tc>
        <w:tc>
          <w:tcPr>
            <w:tcW w:w="1559" w:type="dxa"/>
            <w:vAlign w:val="center"/>
          </w:tcPr>
          <w:p w:rsidR="00577A83" w:rsidRPr="00577A83" w:rsidRDefault="00577A83" w:rsidP="00577A83">
            <w:pPr>
              <w:jc w:val="center"/>
              <w:rPr>
                <w:sz w:val="20"/>
                <w:szCs w:val="20"/>
              </w:rPr>
            </w:pPr>
            <w:r w:rsidRPr="00577A83">
              <w:rPr>
                <w:sz w:val="20"/>
                <w:szCs w:val="20"/>
              </w:rPr>
              <w:t>100,00</w:t>
            </w:r>
          </w:p>
        </w:tc>
      </w:tr>
      <w:tr w:rsidR="00577A83" w:rsidRPr="00706E04" w:rsidTr="00577A83">
        <w:tc>
          <w:tcPr>
            <w:tcW w:w="1299" w:type="dxa"/>
            <w:vMerge/>
            <w:tcBorders>
              <w:right w:val="nil"/>
            </w:tcBorders>
            <w:shd w:val="clear" w:color="auto" w:fill="4D7F52"/>
            <w:textDirection w:val="btLr"/>
          </w:tcPr>
          <w:p w:rsidR="00577A83" w:rsidRPr="005B3C15" w:rsidRDefault="00577A83" w:rsidP="00983919">
            <w:pPr>
              <w:ind w:left="113" w:right="113"/>
              <w:jc w:val="center"/>
              <w:rPr>
                <w:b/>
                <w:color w:val="FFFFFF" w:themeColor="background1"/>
              </w:rPr>
            </w:pPr>
          </w:p>
        </w:tc>
        <w:tc>
          <w:tcPr>
            <w:tcW w:w="6322" w:type="dxa"/>
            <w:tcBorders>
              <w:left w:val="nil"/>
            </w:tcBorders>
          </w:tcPr>
          <w:p w:rsidR="00577A83" w:rsidRPr="006A2E9A" w:rsidRDefault="00577A83" w:rsidP="005B3C15">
            <w:pPr>
              <w:rPr>
                <w:sz w:val="20"/>
                <w:szCs w:val="20"/>
              </w:rPr>
            </w:pPr>
            <w:r w:rsidRPr="006A2E9A">
              <w:rPr>
                <w:sz w:val="20"/>
                <w:szCs w:val="20"/>
              </w:rPr>
              <w:t xml:space="preserve">Tiempo medio estimado para la tramitación de las solicitudes pendientes ((pendientes a 31/12/2020 / tramitadas)*365 </w:t>
            </w:r>
          </w:p>
        </w:tc>
        <w:tc>
          <w:tcPr>
            <w:tcW w:w="1559" w:type="dxa"/>
            <w:vAlign w:val="center"/>
          </w:tcPr>
          <w:p w:rsidR="00577A83" w:rsidRPr="00577A83" w:rsidRDefault="00577A83" w:rsidP="00577A83">
            <w:pPr>
              <w:jc w:val="center"/>
              <w:rPr>
                <w:sz w:val="20"/>
                <w:szCs w:val="20"/>
              </w:rPr>
            </w:pPr>
            <w:r w:rsidRPr="00577A83">
              <w:rPr>
                <w:sz w:val="20"/>
                <w:szCs w:val="20"/>
              </w:rPr>
              <w:t>,00</w:t>
            </w:r>
          </w:p>
        </w:tc>
      </w:tr>
      <w:tr w:rsidR="00577A83" w:rsidRPr="00706E04" w:rsidTr="00577A83">
        <w:tc>
          <w:tcPr>
            <w:tcW w:w="1299" w:type="dxa"/>
            <w:vMerge/>
            <w:tcBorders>
              <w:right w:val="nil"/>
            </w:tcBorders>
            <w:shd w:val="clear" w:color="auto" w:fill="4D7F52"/>
            <w:textDirection w:val="btLr"/>
          </w:tcPr>
          <w:p w:rsidR="00577A83" w:rsidRPr="005B3C15" w:rsidRDefault="00577A83" w:rsidP="00983919">
            <w:pPr>
              <w:ind w:left="113" w:right="113"/>
              <w:jc w:val="center"/>
              <w:rPr>
                <w:b/>
                <w:color w:val="FFFFFF" w:themeColor="background1"/>
              </w:rPr>
            </w:pPr>
          </w:p>
        </w:tc>
        <w:tc>
          <w:tcPr>
            <w:tcW w:w="6322" w:type="dxa"/>
            <w:tcBorders>
              <w:left w:val="nil"/>
            </w:tcBorders>
          </w:tcPr>
          <w:p w:rsidR="00577A83" w:rsidRPr="006A2E9A" w:rsidRDefault="00577A83" w:rsidP="00983919">
            <w:pPr>
              <w:rPr>
                <w:sz w:val="20"/>
                <w:szCs w:val="20"/>
              </w:rPr>
            </w:pPr>
            <w:r w:rsidRPr="006A2E9A">
              <w:rPr>
                <w:sz w:val="20"/>
                <w:szCs w:val="20"/>
              </w:rPr>
              <w:t>Tasa de admisión (admitidas/tramitadas)</w:t>
            </w:r>
          </w:p>
        </w:tc>
        <w:tc>
          <w:tcPr>
            <w:tcW w:w="1559" w:type="dxa"/>
            <w:vAlign w:val="center"/>
          </w:tcPr>
          <w:p w:rsidR="00577A83" w:rsidRPr="00577A83" w:rsidRDefault="00577A83" w:rsidP="00577A83">
            <w:pPr>
              <w:jc w:val="center"/>
              <w:rPr>
                <w:sz w:val="20"/>
                <w:szCs w:val="20"/>
              </w:rPr>
            </w:pPr>
            <w:r w:rsidRPr="00577A83">
              <w:rPr>
                <w:sz w:val="20"/>
                <w:szCs w:val="20"/>
              </w:rPr>
              <w:t>27,71</w:t>
            </w:r>
          </w:p>
        </w:tc>
      </w:tr>
      <w:tr w:rsidR="00577A83" w:rsidRPr="00706E04" w:rsidTr="00577A83">
        <w:tc>
          <w:tcPr>
            <w:tcW w:w="1299" w:type="dxa"/>
            <w:vMerge/>
            <w:tcBorders>
              <w:right w:val="nil"/>
            </w:tcBorders>
            <w:shd w:val="clear" w:color="auto" w:fill="4D7F52"/>
            <w:textDirection w:val="btLr"/>
          </w:tcPr>
          <w:p w:rsidR="00577A83" w:rsidRPr="005B3C15" w:rsidRDefault="00577A83" w:rsidP="00983919">
            <w:pPr>
              <w:ind w:left="113" w:right="113"/>
              <w:jc w:val="center"/>
              <w:rPr>
                <w:b/>
                <w:color w:val="FFFFFF" w:themeColor="background1"/>
              </w:rPr>
            </w:pPr>
          </w:p>
        </w:tc>
        <w:tc>
          <w:tcPr>
            <w:tcW w:w="6322" w:type="dxa"/>
            <w:tcBorders>
              <w:left w:val="nil"/>
            </w:tcBorders>
          </w:tcPr>
          <w:p w:rsidR="00577A83" w:rsidRPr="006A2E9A" w:rsidRDefault="00577A83" w:rsidP="00983919">
            <w:pPr>
              <w:rPr>
                <w:sz w:val="20"/>
                <w:szCs w:val="20"/>
              </w:rPr>
            </w:pPr>
            <w:r w:rsidRPr="006A2E9A">
              <w:rPr>
                <w:sz w:val="20"/>
                <w:szCs w:val="20"/>
              </w:rPr>
              <w:t>Tasa de inadmisión (inadmitidas/ tramitadas)</w:t>
            </w:r>
          </w:p>
        </w:tc>
        <w:tc>
          <w:tcPr>
            <w:tcW w:w="1559" w:type="dxa"/>
            <w:vAlign w:val="center"/>
          </w:tcPr>
          <w:p w:rsidR="00577A83" w:rsidRPr="00577A83" w:rsidRDefault="00577A83" w:rsidP="00577A83">
            <w:pPr>
              <w:jc w:val="center"/>
              <w:rPr>
                <w:sz w:val="20"/>
                <w:szCs w:val="20"/>
              </w:rPr>
            </w:pPr>
            <w:r w:rsidRPr="00577A83">
              <w:rPr>
                <w:sz w:val="20"/>
                <w:szCs w:val="20"/>
              </w:rPr>
              <w:t>72,29</w:t>
            </w:r>
          </w:p>
        </w:tc>
      </w:tr>
      <w:tr w:rsidR="00577A83" w:rsidRPr="00706E04" w:rsidTr="00577A83">
        <w:tc>
          <w:tcPr>
            <w:tcW w:w="1299" w:type="dxa"/>
            <w:vMerge/>
            <w:tcBorders>
              <w:right w:val="nil"/>
            </w:tcBorders>
            <w:shd w:val="clear" w:color="auto" w:fill="4D7F52"/>
            <w:textDirection w:val="btLr"/>
          </w:tcPr>
          <w:p w:rsidR="00577A83" w:rsidRPr="005B3C15" w:rsidRDefault="00577A83" w:rsidP="00983919">
            <w:pPr>
              <w:ind w:left="113" w:right="113"/>
              <w:jc w:val="center"/>
              <w:rPr>
                <w:b/>
                <w:color w:val="FFFFFF" w:themeColor="background1"/>
              </w:rPr>
            </w:pPr>
          </w:p>
        </w:tc>
        <w:tc>
          <w:tcPr>
            <w:tcW w:w="6322" w:type="dxa"/>
            <w:tcBorders>
              <w:left w:val="nil"/>
            </w:tcBorders>
          </w:tcPr>
          <w:p w:rsidR="00577A83" w:rsidRPr="006A2E9A" w:rsidRDefault="00577A83" w:rsidP="00983919">
            <w:pPr>
              <w:rPr>
                <w:sz w:val="20"/>
                <w:szCs w:val="20"/>
              </w:rPr>
            </w:pPr>
            <w:r w:rsidRPr="006A2E9A">
              <w:rPr>
                <w:sz w:val="20"/>
                <w:szCs w:val="20"/>
              </w:rPr>
              <w:t>Tasa de archivo (archivadas/tramitadas)</w:t>
            </w:r>
          </w:p>
        </w:tc>
        <w:tc>
          <w:tcPr>
            <w:tcW w:w="1559" w:type="dxa"/>
            <w:vAlign w:val="center"/>
          </w:tcPr>
          <w:p w:rsidR="00577A83" w:rsidRPr="00577A83" w:rsidRDefault="00577A83" w:rsidP="00577A83">
            <w:pPr>
              <w:jc w:val="center"/>
              <w:rPr>
                <w:sz w:val="20"/>
                <w:szCs w:val="20"/>
              </w:rPr>
            </w:pPr>
            <w:r w:rsidRPr="00577A83">
              <w:rPr>
                <w:sz w:val="20"/>
                <w:szCs w:val="20"/>
              </w:rPr>
              <w:t>,00</w:t>
            </w:r>
          </w:p>
        </w:tc>
      </w:tr>
    </w:tbl>
    <w:p w:rsidR="00B812AB" w:rsidRDefault="00B812AB" w:rsidP="00B812AB"/>
    <w:p w:rsidR="00055B15" w:rsidRDefault="00055B15" w:rsidP="00055B15">
      <w:pPr>
        <w:pStyle w:val="Cuerpodelboletn"/>
        <w:spacing w:before="120" w:after="120" w:line="312" w:lineRule="auto"/>
        <w:ind w:left="360"/>
        <w:rPr>
          <w:rStyle w:val="Ttulo2Car"/>
          <w:color w:val="00642D"/>
          <w:lang w:bidi="es-ES"/>
        </w:rPr>
      </w:pPr>
      <w:r w:rsidRPr="00A41DD5">
        <w:rPr>
          <w:rStyle w:val="Ttulo2Car"/>
          <w:color w:val="00642D"/>
          <w:lang w:bidi="es-ES"/>
        </w:rPr>
        <w:t>II.</w:t>
      </w:r>
      <w:r w:rsidR="00C34BB5">
        <w:rPr>
          <w:rStyle w:val="Ttulo2Car"/>
          <w:color w:val="00642D"/>
          <w:lang w:bidi="es-ES"/>
        </w:rPr>
        <w:t>3</w:t>
      </w:r>
      <w:r>
        <w:rPr>
          <w:rStyle w:val="Ttulo2Car"/>
          <w:color w:val="00642D"/>
          <w:lang w:bidi="es-ES"/>
        </w:rPr>
        <w:t xml:space="preserve"> </w:t>
      </w:r>
      <w:r w:rsidRPr="00055B15">
        <w:rPr>
          <w:rStyle w:val="Ttulo2Car"/>
          <w:color w:val="00642D"/>
          <w:lang w:bidi="es-ES"/>
        </w:rPr>
        <w:t>Resoluciones emitidas en 2020</w:t>
      </w:r>
    </w:p>
    <w:p w:rsidR="00DF4D57" w:rsidRDefault="00DF4D57" w:rsidP="00F34803">
      <w:pPr>
        <w:ind w:left="426"/>
        <w:jc w:val="both"/>
        <w:rPr>
          <w:rStyle w:val="Ttulo2Car"/>
          <w:b w:val="0"/>
          <w:color w:val="auto"/>
          <w:sz w:val="22"/>
          <w:szCs w:val="22"/>
          <w:lang w:bidi="es-ES"/>
        </w:rPr>
      </w:pPr>
    </w:p>
    <w:p w:rsidR="00F34803" w:rsidRPr="00577A83" w:rsidRDefault="00F34803" w:rsidP="00F34803">
      <w:pPr>
        <w:ind w:left="426"/>
        <w:jc w:val="both"/>
        <w:rPr>
          <w:rStyle w:val="Ttulo2Car"/>
          <w:color w:val="00642D"/>
          <w:lang w:bidi="es-ES"/>
        </w:rPr>
      </w:pPr>
      <w:r w:rsidRPr="00577A83">
        <w:rPr>
          <w:rStyle w:val="Ttulo2Car"/>
          <w:b w:val="0"/>
          <w:color w:val="auto"/>
          <w:sz w:val="22"/>
          <w:szCs w:val="22"/>
          <w:lang w:bidi="es-ES"/>
        </w:rPr>
        <w:t>Respecto de la</w:t>
      </w:r>
      <w:r w:rsidR="00BA266E" w:rsidRPr="00577A83">
        <w:rPr>
          <w:rStyle w:val="Ttulo2Car"/>
          <w:b w:val="0"/>
          <w:color w:val="auto"/>
          <w:sz w:val="22"/>
          <w:szCs w:val="22"/>
          <w:lang w:bidi="es-ES"/>
        </w:rPr>
        <w:t xml:space="preserve">s resoluciones emitidas en 2020, </w:t>
      </w:r>
      <w:r w:rsidR="00577A83">
        <w:rPr>
          <w:rStyle w:val="Ttulo2Car"/>
          <w:b w:val="0"/>
          <w:color w:val="auto"/>
          <w:sz w:val="22"/>
          <w:szCs w:val="22"/>
          <w:lang w:bidi="es-ES"/>
        </w:rPr>
        <w:t>16</w:t>
      </w:r>
      <w:r w:rsidR="00654162" w:rsidRPr="00577A83">
        <w:rPr>
          <w:rStyle w:val="Ttulo2Car"/>
          <w:b w:val="0"/>
          <w:color w:val="auto"/>
          <w:sz w:val="22"/>
          <w:szCs w:val="22"/>
          <w:lang w:bidi="es-ES"/>
        </w:rPr>
        <w:t xml:space="preserve"> concedieron acceso a la información. </w:t>
      </w:r>
      <w:r w:rsidR="00577A83">
        <w:rPr>
          <w:rStyle w:val="Ttulo2Car"/>
          <w:b w:val="0"/>
          <w:color w:val="auto"/>
          <w:sz w:val="22"/>
          <w:szCs w:val="22"/>
          <w:lang w:bidi="es-ES"/>
        </w:rPr>
        <w:t xml:space="preserve">Una resolución denegó </w:t>
      </w:r>
      <w:r w:rsidR="00AC109E">
        <w:rPr>
          <w:rStyle w:val="Ttulo2Car"/>
          <w:b w:val="0"/>
          <w:color w:val="auto"/>
          <w:sz w:val="22"/>
          <w:szCs w:val="22"/>
          <w:lang w:bidi="es-ES"/>
        </w:rPr>
        <w:t>la información solicitada</w:t>
      </w:r>
      <w:r w:rsidR="00577A83">
        <w:rPr>
          <w:rStyle w:val="Ttulo2Car"/>
          <w:b w:val="0"/>
          <w:color w:val="auto"/>
          <w:sz w:val="22"/>
          <w:szCs w:val="22"/>
          <w:lang w:bidi="es-ES"/>
        </w:rPr>
        <w:t xml:space="preserve"> </w:t>
      </w:r>
      <w:r w:rsidR="00AC109E">
        <w:rPr>
          <w:rStyle w:val="Ttulo2Car"/>
          <w:b w:val="0"/>
          <w:color w:val="auto"/>
          <w:sz w:val="22"/>
          <w:szCs w:val="22"/>
          <w:lang w:bidi="es-ES"/>
        </w:rPr>
        <w:t>invocando la protección de intereses económicos y comerciales</w:t>
      </w:r>
      <w:r w:rsidR="00654162" w:rsidRPr="00577A83">
        <w:rPr>
          <w:rStyle w:val="Ttulo2Car"/>
          <w:b w:val="0"/>
          <w:color w:val="auto"/>
          <w:sz w:val="22"/>
          <w:szCs w:val="22"/>
          <w:lang w:bidi="es-ES"/>
        </w:rPr>
        <w:t xml:space="preserve">. </w:t>
      </w:r>
      <w:r w:rsidR="00AC109E">
        <w:rPr>
          <w:rStyle w:val="Ttulo2Car"/>
          <w:b w:val="0"/>
          <w:color w:val="auto"/>
          <w:sz w:val="22"/>
          <w:szCs w:val="22"/>
          <w:lang w:bidi="es-ES"/>
        </w:rPr>
        <w:t>Seis solicitudes finalizaron por desistimiento u otras causas.</w:t>
      </w:r>
    </w:p>
    <w:p w:rsidR="00F34803" w:rsidRPr="009079EA" w:rsidRDefault="007F4BBB" w:rsidP="00F34803">
      <w:pPr>
        <w:pStyle w:val="Cuerpodelboletn"/>
        <w:spacing w:before="120" w:after="120" w:line="276" w:lineRule="auto"/>
        <w:ind w:left="426"/>
        <w:rPr>
          <w:rStyle w:val="Ttulo2Car"/>
          <w:b w:val="0"/>
          <w:color w:val="auto"/>
          <w:sz w:val="22"/>
          <w:szCs w:val="22"/>
          <w:lang w:bidi="es-ES"/>
        </w:rPr>
      </w:pPr>
      <w:r>
        <w:rPr>
          <w:rStyle w:val="Ttulo2Car"/>
          <w:b w:val="0"/>
          <w:color w:val="auto"/>
          <w:sz w:val="22"/>
          <w:szCs w:val="22"/>
          <w:lang w:bidi="es-ES"/>
        </w:rPr>
        <w:t>Correos</w:t>
      </w:r>
      <w:r w:rsidR="00F34803" w:rsidRPr="00C25AF5">
        <w:rPr>
          <w:rStyle w:val="Ttulo2Car"/>
          <w:b w:val="0"/>
          <w:color w:val="auto"/>
          <w:sz w:val="22"/>
          <w:szCs w:val="22"/>
          <w:lang w:bidi="es-ES"/>
        </w:rPr>
        <w:t xml:space="preserve">, </w:t>
      </w:r>
      <w:r>
        <w:rPr>
          <w:rStyle w:val="Ttulo2Car"/>
          <w:b w:val="0"/>
          <w:color w:val="auto"/>
          <w:sz w:val="22"/>
          <w:szCs w:val="22"/>
          <w:lang w:bidi="es-ES"/>
        </w:rPr>
        <w:t xml:space="preserve">publica en su Portal de Transparencia </w:t>
      </w:r>
      <w:r w:rsidR="00F34803" w:rsidRPr="00C25AF5">
        <w:rPr>
          <w:rStyle w:val="Ttulo2Car"/>
          <w:b w:val="0"/>
          <w:color w:val="auto"/>
          <w:sz w:val="22"/>
          <w:szCs w:val="22"/>
          <w:lang w:bidi="es-ES"/>
        </w:rPr>
        <w:t>información sobre</w:t>
      </w:r>
      <w:r>
        <w:rPr>
          <w:rStyle w:val="Ttulo2Car"/>
          <w:b w:val="0"/>
          <w:color w:val="auto"/>
          <w:sz w:val="22"/>
          <w:szCs w:val="22"/>
          <w:lang w:bidi="es-ES"/>
        </w:rPr>
        <w:t xml:space="preserve"> todas</w:t>
      </w:r>
      <w:r w:rsidR="00F34803" w:rsidRPr="00C25AF5">
        <w:rPr>
          <w:rStyle w:val="Ttulo2Car"/>
          <w:b w:val="0"/>
          <w:color w:val="auto"/>
          <w:sz w:val="22"/>
          <w:szCs w:val="22"/>
          <w:lang w:bidi="es-ES"/>
        </w:rPr>
        <w:t xml:space="preserve"> </w:t>
      </w:r>
      <w:r>
        <w:rPr>
          <w:rStyle w:val="Ttulo2Car"/>
          <w:b w:val="0"/>
          <w:color w:val="auto"/>
          <w:sz w:val="22"/>
          <w:szCs w:val="22"/>
          <w:lang w:bidi="es-ES"/>
        </w:rPr>
        <w:t>sus resoluciones en materia de derecho de acceso incluyendo las</w:t>
      </w:r>
      <w:r w:rsidR="00F34803" w:rsidRPr="00C25AF5">
        <w:rPr>
          <w:rStyle w:val="Ttulo2Car"/>
          <w:b w:val="0"/>
          <w:color w:val="auto"/>
          <w:sz w:val="22"/>
          <w:szCs w:val="22"/>
          <w:lang w:bidi="es-ES"/>
        </w:rPr>
        <w:t xml:space="preserve"> denega</w:t>
      </w:r>
      <w:r>
        <w:rPr>
          <w:rStyle w:val="Ttulo2Car"/>
          <w:b w:val="0"/>
          <w:color w:val="auto"/>
          <w:sz w:val="22"/>
          <w:szCs w:val="22"/>
          <w:lang w:bidi="es-ES"/>
        </w:rPr>
        <w:t>torias</w:t>
      </w:r>
      <w:r w:rsidR="00F34803" w:rsidRPr="00C25AF5">
        <w:rPr>
          <w:rStyle w:val="Ttulo2Car"/>
          <w:b w:val="0"/>
          <w:color w:val="auto"/>
          <w:sz w:val="22"/>
          <w:szCs w:val="22"/>
          <w:lang w:bidi="es-ES"/>
        </w:rPr>
        <w:t xml:space="preserve"> por aplicación de los límites del artículo 14 de</w:t>
      </w:r>
      <w:r w:rsidR="00F95C49" w:rsidRPr="00C25AF5">
        <w:rPr>
          <w:rStyle w:val="Ttulo2Car"/>
          <w:b w:val="0"/>
          <w:color w:val="auto"/>
          <w:sz w:val="22"/>
          <w:szCs w:val="22"/>
          <w:lang w:bidi="es-ES"/>
        </w:rPr>
        <w:t xml:space="preserve"> </w:t>
      </w:r>
      <w:r w:rsidR="00F34803" w:rsidRPr="00C25AF5">
        <w:rPr>
          <w:rStyle w:val="Ttulo2Car"/>
          <w:b w:val="0"/>
          <w:color w:val="auto"/>
          <w:sz w:val="22"/>
          <w:szCs w:val="22"/>
          <w:lang w:bidi="es-ES"/>
        </w:rPr>
        <w:t xml:space="preserve">la LTAIBG, tal y como establece el artículo 14.3 de la norma, que obliga a la publicación de estas resoluciones previa disociación de los datos de carácter personal. </w:t>
      </w:r>
    </w:p>
    <w:p w:rsidR="00AD1DBF" w:rsidRDefault="00AD1DBF" w:rsidP="00B812AB"/>
    <w:p w:rsidR="00F7263F" w:rsidRDefault="00F7263F" w:rsidP="00F7263F">
      <w:pPr>
        <w:pStyle w:val="Cuerpodelboletn"/>
        <w:spacing w:before="120" w:after="120" w:line="312" w:lineRule="auto"/>
        <w:ind w:left="360"/>
        <w:rPr>
          <w:rStyle w:val="Ttulo2Car"/>
          <w:color w:val="00642D"/>
          <w:lang w:bidi="es-ES"/>
        </w:rPr>
      </w:pPr>
      <w:r w:rsidRPr="00A41DD5">
        <w:rPr>
          <w:rStyle w:val="Ttulo2Car"/>
          <w:color w:val="00642D"/>
          <w:lang w:bidi="es-ES"/>
        </w:rPr>
        <w:lastRenderedPageBreak/>
        <w:t>II.</w:t>
      </w:r>
      <w:r w:rsidR="00C34BB5">
        <w:rPr>
          <w:rStyle w:val="Ttulo2Car"/>
          <w:color w:val="00642D"/>
          <w:lang w:bidi="es-ES"/>
        </w:rPr>
        <w:t>4</w:t>
      </w:r>
      <w:r>
        <w:rPr>
          <w:rStyle w:val="Ttulo2Car"/>
          <w:color w:val="00642D"/>
          <w:lang w:bidi="es-ES"/>
        </w:rPr>
        <w:t xml:space="preserve"> Indicadores de resolución en 2020 </w:t>
      </w:r>
    </w:p>
    <w:p w:rsidR="001252EE" w:rsidRDefault="001252EE" w:rsidP="00F34803">
      <w:pPr>
        <w:ind w:left="426"/>
        <w:jc w:val="both"/>
      </w:pPr>
    </w:p>
    <w:p w:rsidR="00F34803" w:rsidRDefault="00AC109E" w:rsidP="00F34803">
      <w:pPr>
        <w:ind w:left="426"/>
        <w:jc w:val="both"/>
      </w:pPr>
      <w:r>
        <w:t xml:space="preserve">Correos </w:t>
      </w:r>
      <w:r w:rsidR="00F34803" w:rsidRPr="00AC109E">
        <w:t xml:space="preserve">emite resoluciones expresas para la totalidad de las solicitudes admitidas. </w:t>
      </w:r>
      <w:r>
        <w:t xml:space="preserve">Casi el 70% de las resoluciones emitidas concede el acceso a la información, de estas el 69% concede acceso total. Un 4,35% de las resoluciones deniega la información solicitada aplicando los límites del artículo 14 de la LTAIBG. Poco más del 26% de las solicitudes finalizan por desistimiento u otras causas. </w:t>
      </w:r>
      <w:r w:rsidR="00F34803" w:rsidRPr="00AC109E">
        <w:t>Ninguna solicitud ha sido desestimada por silencio administrativo.</w:t>
      </w:r>
    </w:p>
    <w:p w:rsidR="001E1C29" w:rsidRPr="009079EA" w:rsidRDefault="001E1C29" w:rsidP="001E1C29">
      <w:pPr>
        <w:pStyle w:val="Epgrafe"/>
        <w:keepNext/>
        <w:ind w:left="426"/>
        <w:rPr>
          <w:rStyle w:val="Ttulo2Car"/>
          <w:b/>
          <w:color w:val="00642D"/>
          <w:sz w:val="22"/>
          <w:szCs w:val="22"/>
          <w:lang w:bidi="es-ES"/>
        </w:rPr>
      </w:pPr>
      <w:r w:rsidRPr="009079EA">
        <w:rPr>
          <w:rStyle w:val="Ttulo2Car"/>
          <w:b/>
          <w:color w:val="00642D"/>
          <w:sz w:val="22"/>
          <w:szCs w:val="22"/>
          <w:lang w:bidi="es-ES"/>
        </w:rPr>
        <w:t xml:space="preserve">Tabla </w:t>
      </w:r>
      <w:r w:rsidRPr="009079EA">
        <w:rPr>
          <w:rStyle w:val="Ttulo2Car"/>
          <w:b/>
          <w:color w:val="00642D"/>
          <w:sz w:val="22"/>
          <w:szCs w:val="22"/>
          <w:lang w:bidi="es-ES"/>
        </w:rPr>
        <w:fldChar w:fldCharType="begin"/>
      </w:r>
      <w:r w:rsidRPr="009079EA">
        <w:rPr>
          <w:rStyle w:val="Ttulo2Car"/>
          <w:b/>
          <w:color w:val="00642D"/>
          <w:sz w:val="22"/>
          <w:szCs w:val="22"/>
          <w:lang w:bidi="es-ES"/>
        </w:rPr>
        <w:instrText xml:space="preserve"> SEQ Tabla \* ARABIC </w:instrText>
      </w:r>
      <w:r w:rsidRPr="009079EA">
        <w:rPr>
          <w:rStyle w:val="Ttulo2Car"/>
          <w:b/>
          <w:color w:val="00642D"/>
          <w:sz w:val="22"/>
          <w:szCs w:val="22"/>
          <w:lang w:bidi="es-ES"/>
        </w:rPr>
        <w:fldChar w:fldCharType="separate"/>
      </w:r>
      <w:r>
        <w:rPr>
          <w:rStyle w:val="Ttulo2Car"/>
          <w:b/>
          <w:color w:val="00642D"/>
          <w:sz w:val="22"/>
          <w:szCs w:val="22"/>
          <w:lang w:bidi="es-ES"/>
        </w:rPr>
        <w:t>2</w:t>
      </w:r>
      <w:r w:rsidRPr="009079EA">
        <w:rPr>
          <w:rStyle w:val="Ttulo2Car"/>
          <w:b/>
          <w:color w:val="00642D"/>
          <w:sz w:val="22"/>
          <w:szCs w:val="22"/>
          <w:lang w:bidi="es-ES"/>
        </w:rPr>
        <w:fldChar w:fldCharType="end"/>
      </w:r>
      <w:r w:rsidRPr="009079EA">
        <w:rPr>
          <w:rStyle w:val="Ttulo2Car"/>
          <w:b/>
          <w:color w:val="00642D"/>
          <w:sz w:val="22"/>
          <w:szCs w:val="22"/>
          <w:lang w:bidi="es-ES"/>
        </w:rPr>
        <w:t>: Indicadores de Resolución</w:t>
      </w:r>
      <w:r w:rsidR="00531D64">
        <w:rPr>
          <w:rStyle w:val="Ttulo2Car"/>
          <w:b/>
          <w:color w:val="00642D"/>
          <w:sz w:val="22"/>
          <w:szCs w:val="22"/>
          <w:lang w:bidi="es-ES"/>
        </w:rPr>
        <w:t xml:space="preserve"> </w:t>
      </w:r>
      <w:r w:rsidRPr="009079EA">
        <w:rPr>
          <w:rStyle w:val="Ttulo2Car"/>
          <w:b/>
          <w:color w:val="00642D"/>
          <w:sz w:val="22"/>
          <w:szCs w:val="22"/>
          <w:lang w:bidi="es-ES"/>
        </w:rPr>
        <w:t>2020</w:t>
      </w:r>
    </w:p>
    <w:tbl>
      <w:tblPr>
        <w:tblStyle w:val="Tablaconcuadrcula"/>
        <w:tblW w:w="0" w:type="auto"/>
        <w:tblInd w:w="534" w:type="dxa"/>
        <w:tblLook w:val="04A0" w:firstRow="1" w:lastRow="0" w:firstColumn="1" w:lastColumn="0" w:noHBand="0" w:noVBand="1"/>
      </w:tblPr>
      <w:tblGrid>
        <w:gridCol w:w="1299"/>
        <w:gridCol w:w="6322"/>
        <w:gridCol w:w="1559"/>
      </w:tblGrid>
      <w:tr w:rsidR="00AC109E" w:rsidRPr="00706E04" w:rsidTr="00AC109E">
        <w:tc>
          <w:tcPr>
            <w:tcW w:w="1299" w:type="dxa"/>
            <w:vMerge w:val="restart"/>
            <w:tcBorders>
              <w:top w:val="nil"/>
              <w:right w:val="nil"/>
            </w:tcBorders>
            <w:shd w:val="clear" w:color="auto" w:fill="4D7F52"/>
            <w:textDirection w:val="btLr"/>
          </w:tcPr>
          <w:p w:rsidR="00AC109E" w:rsidRPr="005B3C15" w:rsidRDefault="00AC109E" w:rsidP="00055B15">
            <w:pPr>
              <w:ind w:left="113" w:right="113"/>
              <w:jc w:val="center"/>
              <w:rPr>
                <w:b/>
                <w:color w:val="FFFFFF" w:themeColor="background1"/>
              </w:rPr>
            </w:pPr>
            <w:r w:rsidRPr="005B3C15">
              <w:rPr>
                <w:b/>
                <w:color w:val="FFFFFF" w:themeColor="background1"/>
              </w:rPr>
              <w:t>Indicadores de resolución</w:t>
            </w:r>
          </w:p>
        </w:tc>
        <w:tc>
          <w:tcPr>
            <w:tcW w:w="6322" w:type="dxa"/>
            <w:tcBorders>
              <w:left w:val="nil"/>
            </w:tcBorders>
          </w:tcPr>
          <w:p w:rsidR="00AC109E" w:rsidRPr="006A2E9A" w:rsidRDefault="00AC109E" w:rsidP="00AD1DBF">
            <w:pPr>
              <w:rPr>
                <w:sz w:val="20"/>
                <w:szCs w:val="20"/>
              </w:rPr>
            </w:pPr>
            <w:r w:rsidRPr="006A2E9A">
              <w:rPr>
                <w:sz w:val="20"/>
                <w:szCs w:val="20"/>
              </w:rPr>
              <w:t>Tasa de resolución (resoluciones expresas /solicitudes admitidas)</w:t>
            </w:r>
          </w:p>
        </w:tc>
        <w:tc>
          <w:tcPr>
            <w:tcW w:w="1559" w:type="dxa"/>
            <w:vAlign w:val="center"/>
          </w:tcPr>
          <w:p w:rsidR="00AC109E" w:rsidRPr="00AC109E" w:rsidRDefault="00AC109E" w:rsidP="00AC109E">
            <w:pPr>
              <w:jc w:val="center"/>
              <w:rPr>
                <w:sz w:val="20"/>
                <w:szCs w:val="20"/>
              </w:rPr>
            </w:pPr>
            <w:r w:rsidRPr="00AC109E">
              <w:rPr>
                <w:sz w:val="20"/>
                <w:szCs w:val="20"/>
              </w:rPr>
              <w:t>100,00</w:t>
            </w:r>
          </w:p>
        </w:tc>
      </w:tr>
      <w:tr w:rsidR="00AC109E" w:rsidRPr="00706E04" w:rsidTr="00AC109E">
        <w:tc>
          <w:tcPr>
            <w:tcW w:w="1299" w:type="dxa"/>
            <w:vMerge/>
            <w:tcBorders>
              <w:right w:val="nil"/>
            </w:tcBorders>
            <w:shd w:val="clear" w:color="auto" w:fill="4D7F52"/>
            <w:textDirection w:val="btLr"/>
          </w:tcPr>
          <w:p w:rsidR="00AC109E" w:rsidRPr="005B3C15" w:rsidRDefault="00AC109E" w:rsidP="00055B15">
            <w:pPr>
              <w:ind w:left="113" w:right="113"/>
              <w:jc w:val="center"/>
              <w:rPr>
                <w:b/>
                <w:color w:val="FFFFFF" w:themeColor="background1"/>
              </w:rPr>
            </w:pPr>
          </w:p>
        </w:tc>
        <w:tc>
          <w:tcPr>
            <w:tcW w:w="6322" w:type="dxa"/>
            <w:tcBorders>
              <w:left w:val="nil"/>
            </w:tcBorders>
          </w:tcPr>
          <w:p w:rsidR="00AC109E" w:rsidRPr="006A2E9A" w:rsidRDefault="00AC109E" w:rsidP="00FD5B21">
            <w:pPr>
              <w:rPr>
                <w:sz w:val="20"/>
                <w:szCs w:val="20"/>
              </w:rPr>
            </w:pPr>
            <w:r w:rsidRPr="006A2E9A">
              <w:rPr>
                <w:sz w:val="20"/>
                <w:szCs w:val="20"/>
              </w:rPr>
              <w:t>Porcentaje de resoluciones que conceden el acceso</w:t>
            </w:r>
          </w:p>
        </w:tc>
        <w:tc>
          <w:tcPr>
            <w:tcW w:w="1559" w:type="dxa"/>
            <w:vAlign w:val="center"/>
          </w:tcPr>
          <w:p w:rsidR="00AC109E" w:rsidRPr="00AC109E" w:rsidRDefault="00AC109E" w:rsidP="00AC109E">
            <w:pPr>
              <w:jc w:val="center"/>
              <w:rPr>
                <w:sz w:val="20"/>
                <w:szCs w:val="20"/>
              </w:rPr>
            </w:pPr>
            <w:r w:rsidRPr="00AC109E">
              <w:rPr>
                <w:sz w:val="20"/>
                <w:szCs w:val="20"/>
              </w:rPr>
              <w:t>69,57</w:t>
            </w:r>
          </w:p>
        </w:tc>
      </w:tr>
      <w:tr w:rsidR="00AC109E" w:rsidRPr="00706E04" w:rsidTr="00AC109E">
        <w:tc>
          <w:tcPr>
            <w:tcW w:w="1299" w:type="dxa"/>
            <w:vMerge/>
            <w:tcBorders>
              <w:right w:val="nil"/>
            </w:tcBorders>
            <w:shd w:val="clear" w:color="auto" w:fill="4D7F52"/>
            <w:textDirection w:val="btLr"/>
          </w:tcPr>
          <w:p w:rsidR="00AC109E" w:rsidRPr="005B3C15" w:rsidRDefault="00AC109E" w:rsidP="00055B15">
            <w:pPr>
              <w:ind w:left="113" w:right="113"/>
              <w:jc w:val="center"/>
              <w:rPr>
                <w:b/>
                <w:color w:val="FFFFFF" w:themeColor="background1"/>
              </w:rPr>
            </w:pPr>
          </w:p>
        </w:tc>
        <w:tc>
          <w:tcPr>
            <w:tcW w:w="6322" w:type="dxa"/>
            <w:tcBorders>
              <w:left w:val="nil"/>
            </w:tcBorders>
          </w:tcPr>
          <w:p w:rsidR="00AC109E" w:rsidRPr="006A2E9A" w:rsidRDefault="00AC109E" w:rsidP="00055B15">
            <w:pPr>
              <w:rPr>
                <w:sz w:val="20"/>
                <w:szCs w:val="20"/>
              </w:rPr>
            </w:pPr>
            <w:r w:rsidRPr="006A2E9A">
              <w:rPr>
                <w:sz w:val="20"/>
                <w:szCs w:val="20"/>
              </w:rPr>
              <w:t>Porcentaje de resoluciones que conceden acceso parcial</w:t>
            </w:r>
          </w:p>
        </w:tc>
        <w:tc>
          <w:tcPr>
            <w:tcW w:w="1559" w:type="dxa"/>
            <w:vAlign w:val="center"/>
          </w:tcPr>
          <w:p w:rsidR="00AC109E" w:rsidRPr="00AC109E" w:rsidRDefault="00AC109E" w:rsidP="00AC109E">
            <w:pPr>
              <w:jc w:val="center"/>
              <w:rPr>
                <w:sz w:val="20"/>
                <w:szCs w:val="20"/>
              </w:rPr>
            </w:pPr>
            <w:r w:rsidRPr="00AC109E">
              <w:rPr>
                <w:sz w:val="20"/>
                <w:szCs w:val="20"/>
              </w:rPr>
              <w:t>31,25</w:t>
            </w:r>
          </w:p>
        </w:tc>
      </w:tr>
      <w:tr w:rsidR="00AC109E" w:rsidRPr="00706E04" w:rsidTr="00AC109E">
        <w:tc>
          <w:tcPr>
            <w:tcW w:w="1299" w:type="dxa"/>
            <w:vMerge/>
            <w:tcBorders>
              <w:right w:val="nil"/>
            </w:tcBorders>
            <w:shd w:val="clear" w:color="auto" w:fill="4D7F52"/>
            <w:textDirection w:val="btLr"/>
          </w:tcPr>
          <w:p w:rsidR="00AC109E" w:rsidRPr="005B3C15" w:rsidRDefault="00AC109E" w:rsidP="00055B15">
            <w:pPr>
              <w:ind w:left="113" w:right="113"/>
              <w:jc w:val="center"/>
              <w:rPr>
                <w:b/>
                <w:color w:val="FFFFFF" w:themeColor="background1"/>
              </w:rPr>
            </w:pPr>
          </w:p>
        </w:tc>
        <w:tc>
          <w:tcPr>
            <w:tcW w:w="6322" w:type="dxa"/>
            <w:tcBorders>
              <w:left w:val="nil"/>
            </w:tcBorders>
          </w:tcPr>
          <w:p w:rsidR="00AC109E" w:rsidRPr="006A2E9A" w:rsidRDefault="00AC109E" w:rsidP="00055B15">
            <w:pPr>
              <w:rPr>
                <w:sz w:val="20"/>
                <w:szCs w:val="20"/>
              </w:rPr>
            </w:pPr>
            <w:r w:rsidRPr="006A2E9A">
              <w:rPr>
                <w:sz w:val="20"/>
                <w:szCs w:val="20"/>
              </w:rPr>
              <w:t>Porcentaje de resoluciones que conceden acceso total</w:t>
            </w:r>
          </w:p>
        </w:tc>
        <w:tc>
          <w:tcPr>
            <w:tcW w:w="1559" w:type="dxa"/>
            <w:vAlign w:val="center"/>
          </w:tcPr>
          <w:p w:rsidR="00AC109E" w:rsidRPr="00AC109E" w:rsidRDefault="00AC109E" w:rsidP="00AC109E">
            <w:pPr>
              <w:jc w:val="center"/>
              <w:rPr>
                <w:sz w:val="20"/>
                <w:szCs w:val="20"/>
              </w:rPr>
            </w:pPr>
            <w:r w:rsidRPr="00AC109E">
              <w:rPr>
                <w:sz w:val="20"/>
                <w:szCs w:val="20"/>
              </w:rPr>
              <w:t>68,75</w:t>
            </w:r>
          </w:p>
        </w:tc>
      </w:tr>
      <w:tr w:rsidR="00AC109E" w:rsidRPr="00706E04" w:rsidTr="00AC109E">
        <w:tc>
          <w:tcPr>
            <w:tcW w:w="1299" w:type="dxa"/>
            <w:vMerge/>
            <w:tcBorders>
              <w:right w:val="nil"/>
            </w:tcBorders>
            <w:shd w:val="clear" w:color="auto" w:fill="4D7F52"/>
            <w:textDirection w:val="btLr"/>
          </w:tcPr>
          <w:p w:rsidR="00AC109E" w:rsidRPr="005B3C15" w:rsidRDefault="00AC109E" w:rsidP="00055B15">
            <w:pPr>
              <w:ind w:left="113" w:right="113"/>
              <w:jc w:val="center"/>
              <w:rPr>
                <w:b/>
                <w:color w:val="FFFFFF" w:themeColor="background1"/>
              </w:rPr>
            </w:pPr>
          </w:p>
        </w:tc>
        <w:tc>
          <w:tcPr>
            <w:tcW w:w="6322" w:type="dxa"/>
            <w:tcBorders>
              <w:left w:val="nil"/>
            </w:tcBorders>
          </w:tcPr>
          <w:p w:rsidR="00AC109E" w:rsidRPr="006A2E9A" w:rsidRDefault="00AC109E" w:rsidP="00055B15">
            <w:pPr>
              <w:rPr>
                <w:sz w:val="20"/>
                <w:szCs w:val="20"/>
              </w:rPr>
            </w:pPr>
            <w:r w:rsidRPr="006A2E9A">
              <w:rPr>
                <w:sz w:val="20"/>
                <w:szCs w:val="20"/>
              </w:rPr>
              <w:t>Porcentaje de resoluciones que deniegan el acceso</w:t>
            </w:r>
          </w:p>
        </w:tc>
        <w:tc>
          <w:tcPr>
            <w:tcW w:w="1559" w:type="dxa"/>
            <w:vAlign w:val="center"/>
          </w:tcPr>
          <w:p w:rsidR="00AC109E" w:rsidRPr="00AC109E" w:rsidRDefault="00AC109E" w:rsidP="00AC109E">
            <w:pPr>
              <w:jc w:val="center"/>
              <w:rPr>
                <w:sz w:val="20"/>
                <w:szCs w:val="20"/>
              </w:rPr>
            </w:pPr>
            <w:r w:rsidRPr="00AC109E">
              <w:rPr>
                <w:sz w:val="20"/>
                <w:szCs w:val="20"/>
              </w:rPr>
              <w:t>4,35</w:t>
            </w:r>
          </w:p>
        </w:tc>
      </w:tr>
      <w:tr w:rsidR="00AC109E" w:rsidRPr="00706E04" w:rsidTr="00AC109E">
        <w:tc>
          <w:tcPr>
            <w:tcW w:w="1299" w:type="dxa"/>
            <w:vMerge/>
            <w:tcBorders>
              <w:right w:val="nil"/>
            </w:tcBorders>
            <w:shd w:val="clear" w:color="auto" w:fill="4D7F52"/>
            <w:textDirection w:val="btLr"/>
          </w:tcPr>
          <w:p w:rsidR="00AC109E" w:rsidRPr="005B3C15" w:rsidRDefault="00AC109E" w:rsidP="00055B15">
            <w:pPr>
              <w:ind w:left="113" w:right="113"/>
              <w:jc w:val="center"/>
              <w:rPr>
                <w:b/>
                <w:color w:val="FFFFFF" w:themeColor="background1"/>
              </w:rPr>
            </w:pPr>
          </w:p>
        </w:tc>
        <w:tc>
          <w:tcPr>
            <w:tcW w:w="6322" w:type="dxa"/>
            <w:tcBorders>
              <w:left w:val="nil"/>
            </w:tcBorders>
          </w:tcPr>
          <w:p w:rsidR="00AC109E" w:rsidRPr="006A2E9A" w:rsidRDefault="00AC109E" w:rsidP="00055B15">
            <w:pPr>
              <w:rPr>
                <w:sz w:val="20"/>
                <w:szCs w:val="20"/>
              </w:rPr>
            </w:pPr>
            <w:r w:rsidRPr="006A2E9A">
              <w:rPr>
                <w:sz w:val="20"/>
                <w:szCs w:val="20"/>
              </w:rPr>
              <w:t>Porcentaje de resoluciones que finalizan por silencio administrativo</w:t>
            </w:r>
          </w:p>
        </w:tc>
        <w:tc>
          <w:tcPr>
            <w:tcW w:w="1559" w:type="dxa"/>
            <w:vAlign w:val="center"/>
          </w:tcPr>
          <w:p w:rsidR="00AC109E" w:rsidRPr="00AC109E" w:rsidRDefault="00AC109E" w:rsidP="00AC109E">
            <w:pPr>
              <w:jc w:val="center"/>
              <w:rPr>
                <w:sz w:val="20"/>
                <w:szCs w:val="20"/>
              </w:rPr>
            </w:pPr>
            <w:r w:rsidRPr="00AC109E">
              <w:rPr>
                <w:sz w:val="20"/>
                <w:szCs w:val="20"/>
              </w:rPr>
              <w:t>,00</w:t>
            </w:r>
          </w:p>
        </w:tc>
      </w:tr>
      <w:tr w:rsidR="00AC109E" w:rsidRPr="00706E04" w:rsidTr="00AC109E">
        <w:tc>
          <w:tcPr>
            <w:tcW w:w="1299" w:type="dxa"/>
            <w:vMerge/>
            <w:tcBorders>
              <w:right w:val="nil"/>
            </w:tcBorders>
            <w:shd w:val="clear" w:color="auto" w:fill="4D7F52"/>
            <w:textDirection w:val="btLr"/>
          </w:tcPr>
          <w:p w:rsidR="00AC109E" w:rsidRPr="005B3C15" w:rsidRDefault="00AC109E" w:rsidP="00055B15">
            <w:pPr>
              <w:ind w:left="113" w:right="113"/>
              <w:jc w:val="center"/>
              <w:rPr>
                <w:b/>
                <w:color w:val="FFFFFF" w:themeColor="background1"/>
              </w:rPr>
            </w:pPr>
          </w:p>
        </w:tc>
        <w:tc>
          <w:tcPr>
            <w:tcW w:w="6322" w:type="dxa"/>
            <w:tcBorders>
              <w:left w:val="nil"/>
            </w:tcBorders>
          </w:tcPr>
          <w:p w:rsidR="00AC109E" w:rsidRPr="006A2E9A" w:rsidRDefault="00AC109E" w:rsidP="00F7263F">
            <w:pPr>
              <w:rPr>
                <w:sz w:val="20"/>
                <w:szCs w:val="20"/>
              </w:rPr>
            </w:pPr>
            <w:r w:rsidRPr="006A2E9A">
              <w:rPr>
                <w:sz w:val="20"/>
                <w:szCs w:val="20"/>
              </w:rPr>
              <w:t>Porcentaje de solicitudes finalizadas por desistimiento y otras causas</w:t>
            </w:r>
          </w:p>
        </w:tc>
        <w:tc>
          <w:tcPr>
            <w:tcW w:w="1559" w:type="dxa"/>
            <w:vAlign w:val="center"/>
          </w:tcPr>
          <w:p w:rsidR="00AC109E" w:rsidRPr="00AC109E" w:rsidRDefault="00AC109E" w:rsidP="00AC109E">
            <w:pPr>
              <w:jc w:val="center"/>
              <w:rPr>
                <w:sz w:val="20"/>
                <w:szCs w:val="20"/>
              </w:rPr>
            </w:pPr>
            <w:r w:rsidRPr="00AC109E">
              <w:rPr>
                <w:sz w:val="20"/>
                <w:szCs w:val="20"/>
              </w:rPr>
              <w:t>26,09</w:t>
            </w:r>
          </w:p>
        </w:tc>
      </w:tr>
    </w:tbl>
    <w:p w:rsidR="00055B15" w:rsidRDefault="00055B15" w:rsidP="00B812AB"/>
    <w:p w:rsidR="00B812AB" w:rsidRPr="00E34195" w:rsidRDefault="00BB63C9" w:rsidP="00B812AB">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B378E2" w:rsidRDefault="007F4BBB" w:rsidP="00411640">
      <w:pPr>
        <w:ind w:left="426"/>
        <w:jc w:val="both"/>
        <w:rPr>
          <w:rStyle w:val="Ttulo2Car"/>
          <w:b w:val="0"/>
          <w:color w:val="auto"/>
          <w:sz w:val="22"/>
          <w:szCs w:val="22"/>
          <w:lang w:bidi="es-ES"/>
        </w:rPr>
      </w:pPr>
      <w:r>
        <w:rPr>
          <w:rStyle w:val="Ttulo2Car"/>
          <w:b w:val="0"/>
          <w:color w:val="auto"/>
          <w:sz w:val="22"/>
          <w:szCs w:val="22"/>
          <w:lang w:bidi="es-ES"/>
        </w:rPr>
        <w:t>C</w:t>
      </w:r>
      <w:r w:rsidR="00E57E17">
        <w:rPr>
          <w:rStyle w:val="Ttulo2Car"/>
          <w:b w:val="0"/>
          <w:color w:val="auto"/>
          <w:sz w:val="22"/>
          <w:szCs w:val="22"/>
          <w:lang w:bidi="es-ES"/>
        </w:rPr>
        <w:t>orreos</w:t>
      </w:r>
      <w:r w:rsidR="00B378E2">
        <w:rPr>
          <w:rStyle w:val="Ttulo2Car"/>
          <w:b w:val="0"/>
          <w:color w:val="auto"/>
          <w:sz w:val="22"/>
          <w:szCs w:val="22"/>
          <w:lang w:bidi="es-ES"/>
        </w:rPr>
        <w:t xml:space="preserve"> </w:t>
      </w:r>
      <w:r w:rsidR="00411640" w:rsidRPr="00411640">
        <w:rPr>
          <w:rStyle w:val="Ttulo2Car"/>
          <w:b w:val="0"/>
          <w:color w:val="auto"/>
          <w:sz w:val="22"/>
          <w:szCs w:val="22"/>
          <w:lang w:bidi="es-ES"/>
        </w:rPr>
        <w:t>cuenta</w:t>
      </w:r>
      <w:r w:rsidR="00411640">
        <w:rPr>
          <w:rStyle w:val="Ttulo2Car"/>
          <w:b w:val="0"/>
          <w:color w:val="auto"/>
          <w:sz w:val="22"/>
          <w:szCs w:val="22"/>
          <w:lang w:bidi="es-ES"/>
        </w:rPr>
        <w:t xml:space="preserve"> en su Portal de Transparencia </w:t>
      </w:r>
      <w:r w:rsidR="00411640" w:rsidRPr="00411640">
        <w:rPr>
          <w:rStyle w:val="Ttulo2Car"/>
          <w:b w:val="0"/>
          <w:color w:val="auto"/>
          <w:sz w:val="22"/>
          <w:szCs w:val="22"/>
          <w:lang w:bidi="es-ES"/>
        </w:rPr>
        <w:t>con un apartado específico “Derecho de acceso”.</w:t>
      </w:r>
      <w:r w:rsidR="00E57E17">
        <w:rPr>
          <w:rStyle w:val="Ttulo2Car"/>
          <w:b w:val="0"/>
          <w:color w:val="auto"/>
          <w:sz w:val="22"/>
          <w:szCs w:val="22"/>
          <w:lang w:bidi="es-ES"/>
        </w:rPr>
        <w:t xml:space="preserve"> En este apartado se informa básicamente de los medios habilitados para la presentación de solicitudes: presencial, correo postal y correo electrónico.</w:t>
      </w:r>
      <w:r w:rsidR="00411640" w:rsidRPr="00411640">
        <w:rPr>
          <w:rStyle w:val="Ttulo2Car"/>
          <w:b w:val="0"/>
          <w:color w:val="auto"/>
          <w:sz w:val="22"/>
          <w:szCs w:val="22"/>
          <w:lang w:bidi="es-ES"/>
        </w:rPr>
        <w:t xml:space="preserve"> </w:t>
      </w:r>
      <w:r w:rsidR="00E57E17">
        <w:rPr>
          <w:rStyle w:val="Ttulo2Car"/>
          <w:b w:val="0"/>
          <w:color w:val="auto"/>
          <w:sz w:val="22"/>
          <w:szCs w:val="22"/>
          <w:lang w:bidi="es-ES"/>
        </w:rPr>
        <w:t xml:space="preserve">También se publican las resoluciones emitidas por Correos </w:t>
      </w:r>
      <w:r w:rsidR="00411640" w:rsidRPr="00411640">
        <w:rPr>
          <w:rStyle w:val="Ttulo2Car"/>
          <w:b w:val="0"/>
          <w:color w:val="auto"/>
          <w:sz w:val="22"/>
          <w:szCs w:val="22"/>
          <w:lang w:bidi="es-ES"/>
        </w:rPr>
        <w:t>y</w:t>
      </w:r>
      <w:r w:rsidR="00E57E17">
        <w:rPr>
          <w:rStyle w:val="Ttulo2Car"/>
          <w:b w:val="0"/>
          <w:color w:val="auto"/>
          <w:sz w:val="22"/>
          <w:szCs w:val="22"/>
          <w:lang w:bidi="es-ES"/>
        </w:rPr>
        <w:t xml:space="preserve"> también se</w:t>
      </w:r>
      <w:r w:rsidR="00411640" w:rsidRPr="00411640">
        <w:rPr>
          <w:rStyle w:val="Ttulo2Car"/>
          <w:b w:val="0"/>
          <w:color w:val="auto"/>
          <w:sz w:val="22"/>
          <w:szCs w:val="22"/>
          <w:lang w:bidi="es-ES"/>
        </w:rPr>
        <w:t xml:space="preserve"> proporciona</w:t>
      </w:r>
      <w:r w:rsidR="00E57E17">
        <w:rPr>
          <w:rStyle w:val="Ttulo2Car"/>
          <w:b w:val="0"/>
          <w:color w:val="auto"/>
          <w:sz w:val="22"/>
          <w:szCs w:val="22"/>
          <w:lang w:bidi="es-ES"/>
        </w:rPr>
        <w:t>n</w:t>
      </w:r>
      <w:r w:rsidR="00411640">
        <w:rPr>
          <w:rStyle w:val="Ttulo2Car"/>
          <w:b w:val="0"/>
          <w:color w:val="auto"/>
          <w:sz w:val="22"/>
          <w:szCs w:val="22"/>
          <w:lang w:bidi="es-ES"/>
        </w:rPr>
        <w:t xml:space="preserve"> datos </w:t>
      </w:r>
      <w:r w:rsidR="00411640" w:rsidRPr="00411640">
        <w:rPr>
          <w:rStyle w:val="Ttulo2Car"/>
          <w:b w:val="0"/>
          <w:color w:val="auto"/>
          <w:sz w:val="22"/>
          <w:szCs w:val="22"/>
          <w:lang w:bidi="es-ES"/>
        </w:rPr>
        <w:t>estadístic</w:t>
      </w:r>
      <w:r w:rsidR="00411640">
        <w:rPr>
          <w:rStyle w:val="Ttulo2Car"/>
          <w:b w:val="0"/>
          <w:color w:val="auto"/>
          <w:sz w:val="22"/>
          <w:szCs w:val="22"/>
          <w:lang w:bidi="es-ES"/>
        </w:rPr>
        <w:t>o</w:t>
      </w:r>
      <w:r w:rsidR="00411640" w:rsidRPr="00411640">
        <w:rPr>
          <w:rStyle w:val="Ttulo2Car"/>
          <w:b w:val="0"/>
          <w:color w:val="auto"/>
          <w:sz w:val="22"/>
          <w:szCs w:val="22"/>
          <w:lang w:bidi="es-ES"/>
        </w:rPr>
        <w:t>s</w:t>
      </w:r>
      <w:r w:rsidR="00411640">
        <w:rPr>
          <w:rStyle w:val="Ttulo2Car"/>
          <w:b w:val="0"/>
          <w:color w:val="auto"/>
          <w:sz w:val="22"/>
          <w:szCs w:val="22"/>
          <w:lang w:bidi="es-ES"/>
        </w:rPr>
        <w:t xml:space="preserve"> sobre las solicitudes de acceso recibidas</w:t>
      </w:r>
      <w:r w:rsidR="00411640" w:rsidRPr="00411640">
        <w:rPr>
          <w:rStyle w:val="Ttulo2Car"/>
          <w:b w:val="0"/>
          <w:color w:val="auto"/>
          <w:sz w:val="22"/>
          <w:szCs w:val="22"/>
          <w:lang w:bidi="es-ES"/>
        </w:rPr>
        <w:t xml:space="preserve">. </w:t>
      </w:r>
    </w:p>
    <w:p w:rsidR="0038280F" w:rsidRPr="00B378E2" w:rsidRDefault="0038280F" w:rsidP="00411640">
      <w:pPr>
        <w:ind w:left="426"/>
        <w:jc w:val="both"/>
        <w:rPr>
          <w:rStyle w:val="Ttulo2Car"/>
          <w:b w:val="0"/>
          <w:color w:val="auto"/>
          <w:sz w:val="22"/>
          <w:szCs w:val="22"/>
          <w:lang w:bidi="es-ES"/>
        </w:rPr>
      </w:pPr>
      <w:r>
        <w:rPr>
          <w:rStyle w:val="Ttulo2Car"/>
          <w:b w:val="0"/>
          <w:color w:val="auto"/>
          <w:sz w:val="22"/>
          <w:szCs w:val="22"/>
          <w:lang w:bidi="es-ES"/>
        </w:rPr>
        <w:t>Para la presentación de las solicitudes se exige fotocopia del documento de identidad, que en el caso de las solicitudes presentadas mediante correo electrónico puede sustituirse por firma electrónica.</w:t>
      </w:r>
    </w:p>
    <w:p w:rsidR="00B40246" w:rsidRPr="00E34195" w:rsidRDefault="00BB63C9"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sidRPr="005C4D89">
        <w:rPr>
          <w:color w:val="auto"/>
          <w:lang w:bidi="es-ES"/>
        </w:rPr>
        <w:t xml:space="preserve">Con fecha </w:t>
      </w:r>
      <w:r w:rsidR="00411640">
        <w:rPr>
          <w:color w:val="auto"/>
          <w:lang w:bidi="es-ES"/>
        </w:rPr>
        <w:t>1</w:t>
      </w:r>
      <w:r w:rsidR="00E57E17">
        <w:rPr>
          <w:color w:val="auto"/>
          <w:lang w:bidi="es-ES"/>
        </w:rPr>
        <w:t>0</w:t>
      </w:r>
      <w:r w:rsidR="00FC2FB9">
        <w:rPr>
          <w:color w:val="auto"/>
          <w:lang w:bidi="es-ES"/>
        </w:rPr>
        <w:t>/0</w:t>
      </w:r>
      <w:r w:rsidR="00E57E17">
        <w:rPr>
          <w:color w:val="auto"/>
          <w:lang w:bidi="es-ES"/>
        </w:rPr>
        <w:t>5</w:t>
      </w:r>
      <w:r w:rsidR="000B2A81">
        <w:rPr>
          <w:color w:val="auto"/>
          <w:lang w:bidi="es-ES"/>
        </w:rPr>
        <w:t>/</w:t>
      </w:r>
      <w:r>
        <w:rPr>
          <w:color w:val="auto"/>
          <w:lang w:bidi="es-ES"/>
        </w:rPr>
        <w:t xml:space="preserve">2021 se presentó </w:t>
      </w:r>
      <w:r w:rsidR="00904E47">
        <w:rPr>
          <w:color w:val="auto"/>
          <w:lang w:bidi="es-ES"/>
        </w:rPr>
        <w:t xml:space="preserve">a través </w:t>
      </w:r>
      <w:r w:rsidR="00E57E17">
        <w:rPr>
          <w:color w:val="auto"/>
          <w:lang w:bidi="es-ES"/>
        </w:rPr>
        <w:t>del buzón de correo electrónico habilitado por Correos una solicitud de acceso a información pública de la entidad</w:t>
      </w:r>
      <w:r>
        <w:rPr>
          <w:color w:val="auto"/>
          <w:lang w:bidi="es-ES"/>
        </w:rPr>
        <w:t xml:space="preserve">. </w:t>
      </w:r>
      <w:r w:rsidR="000B2A81">
        <w:rPr>
          <w:color w:val="auto"/>
          <w:lang w:bidi="es-ES"/>
        </w:rPr>
        <w:t xml:space="preserve">De manera inmediata se emite un </w:t>
      </w:r>
      <w:r w:rsidR="00E57E17">
        <w:rPr>
          <w:color w:val="auto"/>
          <w:lang w:bidi="es-ES"/>
        </w:rPr>
        <w:t xml:space="preserve">correo electrónico de </w:t>
      </w:r>
      <w:r w:rsidR="000B2A81">
        <w:rPr>
          <w:color w:val="auto"/>
          <w:lang w:bidi="es-ES"/>
        </w:rPr>
        <w:t>acuse de recibo</w:t>
      </w:r>
      <w:r w:rsidR="00AC715D">
        <w:rPr>
          <w:color w:val="auto"/>
          <w:lang w:bidi="es-ES"/>
        </w:rPr>
        <w:t xml:space="preserve">. </w:t>
      </w:r>
    </w:p>
    <w:p w:rsidR="001E1C29" w:rsidRDefault="001E1C29" w:rsidP="00A915A2">
      <w:pPr>
        <w:pStyle w:val="Cuerpodelboletn"/>
        <w:spacing w:before="120" w:after="120" w:line="276" w:lineRule="auto"/>
        <w:ind w:left="426"/>
        <w:rPr>
          <w:rStyle w:val="Ttulo2Car"/>
          <w:sz w:val="22"/>
          <w:szCs w:val="22"/>
        </w:rPr>
      </w:pP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B4742" w:rsidRDefault="00E57E17" w:rsidP="00741849">
      <w:pPr>
        <w:pStyle w:val="Cuerpodelboletn"/>
        <w:spacing w:before="120" w:after="120" w:line="276" w:lineRule="auto"/>
        <w:ind w:left="426"/>
        <w:rPr>
          <w:color w:val="auto"/>
          <w:lang w:bidi="es-ES"/>
        </w:rPr>
      </w:pPr>
      <w:r>
        <w:rPr>
          <w:color w:val="auto"/>
          <w:lang w:bidi="es-ES"/>
        </w:rPr>
        <w:t>No</w:t>
      </w:r>
      <w:r w:rsidR="00B108F0">
        <w:rPr>
          <w:color w:val="auto"/>
          <w:lang w:bidi="es-ES"/>
        </w:rPr>
        <w:t xml:space="preserve"> se</w:t>
      </w:r>
      <w:r w:rsidR="00F34803">
        <w:rPr>
          <w:color w:val="auto"/>
          <w:lang w:bidi="es-ES"/>
        </w:rPr>
        <w:t xml:space="preserve"> </w:t>
      </w:r>
      <w:r w:rsidR="00904E47">
        <w:rPr>
          <w:color w:val="auto"/>
          <w:lang w:bidi="es-ES"/>
        </w:rPr>
        <w:t xml:space="preserve">comunica el </w:t>
      </w:r>
      <w:r w:rsidR="00F34803">
        <w:rPr>
          <w:color w:val="auto"/>
          <w:lang w:bidi="es-ES"/>
        </w:rPr>
        <w:t xml:space="preserve">inicio de la tramitación de la solicitud. </w:t>
      </w:r>
    </w:p>
    <w:p w:rsidR="00AB4742" w:rsidRDefault="00AB4742" w:rsidP="00A915A2">
      <w:pPr>
        <w:pStyle w:val="Cuerpodelboletn"/>
        <w:spacing w:before="120" w:after="120" w:line="276" w:lineRule="auto"/>
        <w:ind w:left="426"/>
        <w:rPr>
          <w:color w:val="auto"/>
          <w:lang w:bidi="es-ES"/>
        </w:rPr>
      </w:pP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904E47" w:rsidRDefault="00D41FBA" w:rsidP="00AC715D">
      <w:pPr>
        <w:pStyle w:val="Cuerpodelboletn"/>
        <w:numPr>
          <w:ilvl w:val="0"/>
          <w:numId w:val="6"/>
        </w:numPr>
        <w:spacing w:before="120" w:after="120" w:line="276" w:lineRule="auto"/>
        <w:rPr>
          <w:color w:val="auto"/>
          <w:lang w:bidi="es-ES"/>
        </w:rPr>
      </w:pPr>
      <w:r>
        <w:rPr>
          <w:color w:val="auto"/>
          <w:lang w:bidi="es-ES"/>
        </w:rPr>
        <w:t>S</w:t>
      </w:r>
      <w:r w:rsidR="00AC715D">
        <w:rPr>
          <w:color w:val="auto"/>
          <w:lang w:bidi="es-ES"/>
        </w:rPr>
        <w:t>e</w:t>
      </w:r>
      <w:r w:rsidR="00626819">
        <w:rPr>
          <w:color w:val="auto"/>
          <w:lang w:bidi="es-ES"/>
        </w:rPr>
        <w:t xml:space="preserve"> dicta </w:t>
      </w:r>
      <w:r w:rsidR="00F34803" w:rsidRPr="00904E47">
        <w:rPr>
          <w:color w:val="auto"/>
          <w:lang w:bidi="es-ES"/>
        </w:rPr>
        <w:t>resolución expresa</w:t>
      </w:r>
      <w:r w:rsidR="00741849">
        <w:rPr>
          <w:color w:val="auto"/>
          <w:lang w:bidi="es-ES"/>
        </w:rPr>
        <w:t xml:space="preserve"> c</w:t>
      </w:r>
      <w:r w:rsidR="00AC715D">
        <w:rPr>
          <w:color w:val="auto"/>
          <w:lang w:bidi="es-ES"/>
        </w:rPr>
        <w:t xml:space="preserve">on fecha </w:t>
      </w:r>
      <w:r w:rsidR="00E57E17">
        <w:rPr>
          <w:color w:val="auto"/>
          <w:lang w:bidi="es-ES"/>
        </w:rPr>
        <w:t>10</w:t>
      </w:r>
      <w:r w:rsidR="00447511">
        <w:rPr>
          <w:color w:val="auto"/>
          <w:lang w:bidi="es-ES"/>
        </w:rPr>
        <w:t>/0</w:t>
      </w:r>
      <w:r w:rsidR="00E57E17">
        <w:rPr>
          <w:color w:val="auto"/>
          <w:lang w:bidi="es-ES"/>
        </w:rPr>
        <w:t>6</w:t>
      </w:r>
      <w:r w:rsidR="00AC715D">
        <w:rPr>
          <w:color w:val="auto"/>
          <w:lang w:bidi="es-ES"/>
        </w:rPr>
        <w:t>/2021</w:t>
      </w:r>
      <w:r w:rsidR="00904E47" w:rsidRPr="00904E47">
        <w:rPr>
          <w:color w:val="auto"/>
          <w:lang w:bidi="es-ES"/>
        </w:rPr>
        <w:t>.</w:t>
      </w:r>
      <w:r w:rsidR="00531D64">
        <w:rPr>
          <w:color w:val="auto"/>
          <w:lang w:bidi="es-ES"/>
        </w:rPr>
        <w:t xml:space="preserve"> </w:t>
      </w:r>
    </w:p>
    <w:p w:rsidR="004A133A" w:rsidRDefault="004A133A" w:rsidP="00A915A2">
      <w:pPr>
        <w:pStyle w:val="Cuerpodelboletn"/>
        <w:numPr>
          <w:ilvl w:val="0"/>
          <w:numId w:val="6"/>
        </w:numPr>
        <w:spacing w:before="120" w:after="120" w:line="276" w:lineRule="auto"/>
        <w:rPr>
          <w:color w:val="auto"/>
          <w:lang w:bidi="es-ES"/>
        </w:rPr>
      </w:pPr>
      <w:r>
        <w:rPr>
          <w:color w:val="auto"/>
          <w:lang w:bidi="es-ES"/>
        </w:rPr>
        <w:t xml:space="preserve">La resolución está firmada por </w:t>
      </w:r>
      <w:r w:rsidR="00411640">
        <w:rPr>
          <w:color w:val="auto"/>
          <w:lang w:bidi="es-ES"/>
        </w:rPr>
        <w:t>el</w:t>
      </w:r>
      <w:r w:rsidR="00DF6C30">
        <w:rPr>
          <w:color w:val="auto"/>
          <w:lang w:bidi="es-ES"/>
        </w:rPr>
        <w:t xml:space="preserve"> </w:t>
      </w:r>
      <w:r w:rsidR="00E57E17">
        <w:rPr>
          <w:color w:val="auto"/>
          <w:lang w:bidi="es-ES"/>
        </w:rPr>
        <w:t>Secretario</w:t>
      </w:r>
      <w:r w:rsidR="00FC2FB9">
        <w:rPr>
          <w:color w:val="auto"/>
          <w:lang w:bidi="es-ES"/>
        </w:rPr>
        <w:t xml:space="preserve"> General</w:t>
      </w:r>
      <w:r w:rsidR="00DF6C30">
        <w:rPr>
          <w:color w:val="auto"/>
          <w:lang w:bidi="es-ES"/>
        </w:rPr>
        <w:t xml:space="preserve"> </w:t>
      </w:r>
      <w:r w:rsidR="00447511">
        <w:rPr>
          <w:color w:val="auto"/>
          <w:lang w:bidi="es-ES"/>
        </w:rPr>
        <w:t xml:space="preserve">de </w:t>
      </w:r>
      <w:r w:rsidR="007F4BBB">
        <w:rPr>
          <w:color w:val="auto"/>
          <w:lang w:bidi="es-ES"/>
        </w:rPr>
        <w:t>C</w:t>
      </w:r>
      <w:r w:rsidR="00E57E17">
        <w:rPr>
          <w:color w:val="auto"/>
          <w:lang w:bidi="es-ES"/>
        </w:rPr>
        <w:t>orreos</w:t>
      </w:r>
      <w:r>
        <w:rPr>
          <w:color w:val="auto"/>
          <w:lang w:bidi="es-ES"/>
        </w:rPr>
        <w:t>.</w:t>
      </w:r>
    </w:p>
    <w:p w:rsidR="00F34803" w:rsidRDefault="004A133A" w:rsidP="00A915A2">
      <w:pPr>
        <w:pStyle w:val="Cuerpodelboletn"/>
        <w:numPr>
          <w:ilvl w:val="0"/>
          <w:numId w:val="6"/>
        </w:numPr>
        <w:spacing w:before="120" w:after="120" w:line="276" w:lineRule="auto"/>
        <w:rPr>
          <w:color w:val="auto"/>
          <w:lang w:bidi="es-ES"/>
        </w:rPr>
      </w:pPr>
      <w:r>
        <w:rPr>
          <w:color w:val="auto"/>
          <w:lang w:bidi="es-ES"/>
        </w:rPr>
        <w:t>La resolución está completa, es clara y está estructurada. S</w:t>
      </w:r>
      <w:r w:rsidR="001C238B">
        <w:rPr>
          <w:color w:val="auto"/>
          <w:lang w:bidi="es-ES"/>
        </w:rPr>
        <w:t xml:space="preserve">e </w:t>
      </w:r>
      <w:r w:rsidR="00904E47">
        <w:rPr>
          <w:color w:val="auto"/>
          <w:lang w:bidi="es-ES"/>
        </w:rPr>
        <w:t>informa de los posibles recursos que el solicitante puede interponer en caso de disconformidad con la información recibida.</w:t>
      </w:r>
    </w:p>
    <w:p w:rsidR="00447511" w:rsidRPr="0038280F" w:rsidRDefault="00046805" w:rsidP="001E1C29">
      <w:pPr>
        <w:pStyle w:val="Cuerpodelboletn"/>
        <w:numPr>
          <w:ilvl w:val="0"/>
          <w:numId w:val="6"/>
        </w:numPr>
        <w:spacing w:before="120" w:after="120" w:line="312" w:lineRule="auto"/>
        <w:rPr>
          <w:color w:val="auto"/>
          <w:lang w:bidi="es-ES"/>
        </w:rPr>
      </w:pPr>
      <w:r w:rsidRPr="0038280F">
        <w:rPr>
          <w:color w:val="auto"/>
          <w:lang w:bidi="es-ES"/>
        </w:rPr>
        <w:t xml:space="preserve">La información </w:t>
      </w:r>
      <w:r w:rsidR="00AC715D" w:rsidRPr="0038280F">
        <w:rPr>
          <w:color w:val="auto"/>
          <w:lang w:bidi="es-ES"/>
        </w:rPr>
        <w:t>se proporciona</w:t>
      </w:r>
      <w:r w:rsidR="001E1C29" w:rsidRPr="0038280F">
        <w:rPr>
          <w:color w:val="auto"/>
          <w:lang w:bidi="es-ES"/>
        </w:rPr>
        <w:t xml:space="preserve"> </w:t>
      </w:r>
      <w:r w:rsidR="0038280F" w:rsidRPr="0038280F">
        <w:rPr>
          <w:color w:val="auto"/>
          <w:lang w:bidi="es-ES"/>
        </w:rPr>
        <w:t>en la propia resolución</w:t>
      </w:r>
      <w:r w:rsidRPr="0038280F">
        <w:rPr>
          <w:color w:val="auto"/>
          <w:lang w:bidi="es-ES"/>
        </w:rPr>
        <w:t>.</w:t>
      </w:r>
      <w:r w:rsidR="009913A5" w:rsidRPr="0038280F">
        <w:rPr>
          <w:color w:val="auto"/>
          <w:lang w:bidi="es-ES"/>
        </w:rPr>
        <w:t xml:space="preserve"> </w:t>
      </w:r>
    </w:p>
    <w:p w:rsidR="003A260E" w:rsidRDefault="003A260E"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E57E17">
          <w:pPr>
            <w:pStyle w:val="Cuerpodelboletn"/>
            <w:spacing w:before="120" w:after="120" w:line="312" w:lineRule="auto"/>
            <w:rPr>
              <w:b/>
              <w:color w:val="00642D"/>
              <w:sz w:val="32"/>
            </w:rPr>
          </w:pPr>
          <w:r w:rsidRPr="00256215">
            <w:rPr>
              <w:b/>
              <w:color w:val="00642D"/>
              <w:sz w:val="30"/>
              <w:szCs w:val="30"/>
            </w:rPr>
            <w:t xml:space="preserve">IV.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2015-2020</w:t>
          </w:r>
        </w:p>
      </w:sdtContent>
    </w:sdt>
    <w:p w:rsidR="00256215" w:rsidRDefault="00256215" w:rsidP="00256215">
      <w:pPr>
        <w:pStyle w:val="Cuerpodelboletn"/>
      </w:pPr>
    </w:p>
    <w:p w:rsidR="00E57E17" w:rsidRPr="004A133A" w:rsidRDefault="00E57E17" w:rsidP="00E57E17">
      <w:pPr>
        <w:pStyle w:val="Cuerpodelboletn"/>
        <w:spacing w:before="120" w:after="120" w:line="276" w:lineRule="auto"/>
        <w:ind w:left="425"/>
      </w:pPr>
      <w:r>
        <w:rPr>
          <w:color w:val="auto"/>
        </w:rPr>
        <w:t>El CTBG ha recibido un total de 26 reclamaciones contra resoluciones de Correos en materia de acceso a la información pública. De ellas, 11 fueron</w:t>
      </w:r>
      <w:r w:rsidRPr="004A133A">
        <w:t xml:space="preserve"> estimadas – en </w:t>
      </w:r>
      <w:r>
        <w:t>un caso</w:t>
      </w:r>
      <w:r w:rsidRPr="004A133A">
        <w:t xml:space="preserve"> </w:t>
      </w:r>
      <w:r>
        <w:t xml:space="preserve">parcialmente y en otros </w:t>
      </w:r>
      <w:r w:rsidR="00AC109E">
        <w:t>tres,</w:t>
      </w:r>
      <w:r>
        <w:t xml:space="preserve"> Correos entregó la información antes de finalizar el procedimiento de reclamación</w:t>
      </w:r>
      <w:r w:rsidRPr="004A133A">
        <w:t xml:space="preserve"> -</w:t>
      </w:r>
      <w:r>
        <w:t xml:space="preserve">, 11 reclamaciones fueron desestimadas y 4 inadmitidas. </w:t>
      </w:r>
    </w:p>
    <w:p w:rsidR="00E57E17" w:rsidRPr="004A133A" w:rsidRDefault="00E57E17" w:rsidP="00E57E17">
      <w:pPr>
        <w:spacing w:before="120" w:after="120"/>
        <w:ind w:left="425"/>
        <w:jc w:val="both"/>
        <w:rPr>
          <w:szCs w:val="24"/>
        </w:rPr>
      </w:pPr>
      <w:r w:rsidRPr="004A133A">
        <w:rPr>
          <w:szCs w:val="24"/>
        </w:rPr>
        <w:t xml:space="preserve">Por lo tanto, de las </w:t>
      </w:r>
      <w:r>
        <w:rPr>
          <w:szCs w:val="24"/>
        </w:rPr>
        <w:t>22</w:t>
      </w:r>
      <w:r w:rsidRPr="004A133A">
        <w:rPr>
          <w:szCs w:val="24"/>
        </w:rPr>
        <w:t xml:space="preserve"> reclamaciones admitidas a trámite, un </w:t>
      </w:r>
      <w:r>
        <w:rPr>
          <w:szCs w:val="24"/>
        </w:rPr>
        <w:t>50</w:t>
      </w:r>
      <w:r w:rsidRPr="004A133A">
        <w:rPr>
          <w:szCs w:val="24"/>
        </w:rPr>
        <w:t xml:space="preserve">% </w:t>
      </w:r>
      <w:r>
        <w:rPr>
          <w:szCs w:val="24"/>
        </w:rPr>
        <w:t>fue favorable a los reclamantes y un 50% al organismo.</w:t>
      </w:r>
    </w:p>
    <w:p w:rsidR="00E57E17" w:rsidRPr="004A133A" w:rsidRDefault="00E57E17" w:rsidP="00E57E17">
      <w:pPr>
        <w:spacing w:before="120" w:after="120"/>
        <w:ind w:left="425"/>
        <w:jc w:val="both"/>
        <w:rPr>
          <w:szCs w:val="24"/>
        </w:rPr>
      </w:pPr>
      <w:r>
        <w:rPr>
          <w:szCs w:val="24"/>
        </w:rPr>
        <w:t xml:space="preserve">De las resoluciones estimatorias del CTBG  fueron recurridas ante la jurisdicción </w:t>
      </w:r>
      <w:r w:rsidRPr="004A133A">
        <w:rPr>
          <w:szCs w:val="24"/>
        </w:rPr>
        <w:t>contencioso-administrativ</w:t>
      </w:r>
      <w:r>
        <w:rPr>
          <w:szCs w:val="24"/>
        </w:rPr>
        <w:t xml:space="preserve">a </w:t>
      </w:r>
      <w:r w:rsidR="00AC109E">
        <w:rPr>
          <w:szCs w:val="24"/>
        </w:rPr>
        <w:t>dos</w:t>
      </w:r>
      <w:r w:rsidRPr="004A133A">
        <w:rPr>
          <w:szCs w:val="24"/>
        </w:rPr>
        <w:t xml:space="preserve">, lo que sitúa la tasa de litigiosidad en el </w:t>
      </w:r>
      <w:r w:rsidR="0038280F">
        <w:rPr>
          <w:szCs w:val="24"/>
        </w:rPr>
        <w:t>18,2</w:t>
      </w:r>
      <w:r w:rsidRPr="004A133A">
        <w:rPr>
          <w:szCs w:val="24"/>
        </w:rPr>
        <w:t xml:space="preserve">%. </w:t>
      </w:r>
      <w:r>
        <w:rPr>
          <w:szCs w:val="24"/>
        </w:rPr>
        <w:t xml:space="preserve">De las sentencias </w:t>
      </w:r>
      <w:r w:rsidRPr="005A252A">
        <w:rPr>
          <w:szCs w:val="24"/>
        </w:rPr>
        <w:t>que han adquirido firmeza</w:t>
      </w:r>
      <w:r>
        <w:rPr>
          <w:szCs w:val="24"/>
        </w:rPr>
        <w:t xml:space="preserve">, </w:t>
      </w:r>
      <w:r w:rsidR="00AC109E">
        <w:rPr>
          <w:szCs w:val="24"/>
        </w:rPr>
        <w:t xml:space="preserve">una </w:t>
      </w:r>
      <w:r>
        <w:rPr>
          <w:szCs w:val="24"/>
        </w:rPr>
        <w:t>-el 50%-   ha sido favorables al CTBG y otra a la entidad – el 50% -.</w:t>
      </w:r>
    </w:p>
    <w:p w:rsidR="00E57E17" w:rsidRPr="004A133A" w:rsidRDefault="00E57E17" w:rsidP="00E57E17">
      <w:pPr>
        <w:spacing w:before="120" w:after="120"/>
        <w:ind w:left="425"/>
        <w:jc w:val="both"/>
        <w:rPr>
          <w:szCs w:val="24"/>
        </w:rPr>
      </w:pPr>
    </w:p>
    <w:p w:rsidR="00E57E17" w:rsidRPr="00DA4FE5" w:rsidRDefault="00E57E17" w:rsidP="00E57E17">
      <w:pPr>
        <w:keepNext/>
        <w:spacing w:line="240" w:lineRule="auto"/>
        <w:ind w:left="426"/>
        <w:jc w:val="both"/>
        <w:rPr>
          <w:rFonts w:eastAsiaTheme="majorEastAsia" w:cstheme="majorBidi"/>
          <w:b/>
          <w:color w:val="00642D"/>
          <w:lang w:bidi="es-ES"/>
        </w:rPr>
      </w:pPr>
      <w:r w:rsidRPr="00DA4FE5">
        <w:rPr>
          <w:rFonts w:eastAsiaTheme="majorEastAsia" w:cstheme="majorBidi"/>
          <w:b/>
          <w:color w:val="00642D"/>
          <w:lang w:bidi="es-ES"/>
        </w:rPr>
        <w:t xml:space="preserve">Tabla </w:t>
      </w:r>
      <w:r w:rsidRPr="00DA4FE5">
        <w:rPr>
          <w:rFonts w:eastAsiaTheme="majorEastAsia" w:cstheme="majorBidi"/>
          <w:b/>
          <w:color w:val="00642D"/>
          <w:lang w:bidi="es-ES"/>
        </w:rPr>
        <w:fldChar w:fldCharType="begin"/>
      </w:r>
      <w:r w:rsidRPr="00DA4FE5">
        <w:rPr>
          <w:rFonts w:eastAsiaTheme="majorEastAsia" w:cstheme="majorBidi"/>
          <w:b/>
          <w:color w:val="00642D"/>
          <w:lang w:bidi="es-ES"/>
        </w:rPr>
        <w:instrText xml:space="preserve"> SEQ Tabla \* ARABIC </w:instrText>
      </w:r>
      <w:r w:rsidRPr="00DA4FE5">
        <w:rPr>
          <w:rFonts w:eastAsiaTheme="majorEastAsia" w:cstheme="majorBidi"/>
          <w:b/>
          <w:color w:val="00642D"/>
          <w:lang w:bidi="es-ES"/>
        </w:rPr>
        <w:fldChar w:fldCharType="separate"/>
      </w:r>
      <w:r w:rsidRPr="00DA4FE5">
        <w:rPr>
          <w:rFonts w:eastAsiaTheme="majorEastAsia" w:cstheme="majorBidi"/>
          <w:b/>
          <w:color w:val="00642D"/>
          <w:lang w:bidi="es-ES"/>
        </w:rPr>
        <w:t>3</w:t>
      </w:r>
      <w:r w:rsidRPr="00DA4FE5">
        <w:rPr>
          <w:rFonts w:eastAsiaTheme="majorEastAsia" w:cstheme="majorBidi"/>
          <w:b/>
          <w:color w:val="00642D"/>
          <w:lang w:bidi="es-ES"/>
        </w:rPr>
        <w:fldChar w:fldCharType="end"/>
      </w:r>
      <w:r w:rsidRPr="00DA4FE5">
        <w:rPr>
          <w:rFonts w:eastAsiaTheme="majorEastAsia" w:cstheme="majorBidi"/>
          <w:b/>
          <w:color w:val="00642D"/>
          <w:lang w:bidi="es-ES"/>
        </w:rPr>
        <w:t>: Reclamaciones ante el Consejo de Transparencia y Buen Gobierno</w:t>
      </w:r>
    </w:p>
    <w:tbl>
      <w:tblPr>
        <w:tblStyle w:val="Tablaconcuadrcula2"/>
        <w:tblW w:w="0" w:type="auto"/>
        <w:tblInd w:w="959" w:type="dxa"/>
        <w:tblLook w:val="04A0" w:firstRow="1" w:lastRow="0" w:firstColumn="1" w:lastColumn="0" w:noHBand="0" w:noVBand="1"/>
      </w:tblPr>
      <w:tblGrid>
        <w:gridCol w:w="1299"/>
        <w:gridCol w:w="4479"/>
        <w:gridCol w:w="1843"/>
        <w:gridCol w:w="1559"/>
      </w:tblGrid>
      <w:tr w:rsidR="00E57E17" w:rsidRPr="004A133A" w:rsidTr="00E57E17">
        <w:tc>
          <w:tcPr>
            <w:tcW w:w="1299" w:type="dxa"/>
            <w:vMerge w:val="restart"/>
            <w:tcBorders>
              <w:top w:val="single" w:sz="4" w:space="0" w:color="FFFFFF" w:themeColor="background1"/>
              <w:right w:val="nil"/>
            </w:tcBorders>
            <w:shd w:val="clear" w:color="auto" w:fill="4D7F52"/>
            <w:textDirection w:val="btLr"/>
          </w:tcPr>
          <w:p w:rsidR="00E57E17" w:rsidRPr="004A133A" w:rsidRDefault="00E57E17" w:rsidP="00E57E17">
            <w:pPr>
              <w:spacing w:after="200" w:line="276" w:lineRule="auto"/>
              <w:ind w:left="113" w:right="113"/>
              <w:jc w:val="both"/>
              <w:rPr>
                <w:color w:val="FFFFFF" w:themeColor="background1"/>
              </w:rPr>
            </w:pPr>
          </w:p>
        </w:tc>
        <w:tc>
          <w:tcPr>
            <w:tcW w:w="6322" w:type="dxa"/>
            <w:gridSpan w:val="2"/>
            <w:tcBorders>
              <w:left w:val="nil"/>
            </w:tcBorders>
          </w:tcPr>
          <w:p w:rsidR="00E57E17" w:rsidRPr="004A133A" w:rsidRDefault="00E57E17" w:rsidP="00E57E17">
            <w:pPr>
              <w:spacing w:after="200" w:line="276" w:lineRule="auto"/>
              <w:jc w:val="both"/>
              <w:rPr>
                <w:sz w:val="20"/>
                <w:szCs w:val="20"/>
              </w:rPr>
            </w:pPr>
            <w:r w:rsidRPr="004A133A">
              <w:rPr>
                <w:sz w:val="20"/>
                <w:szCs w:val="20"/>
              </w:rPr>
              <w:t>Nº de Resoluciones de la entidad recurridas ante el CTBG</w:t>
            </w:r>
          </w:p>
        </w:tc>
        <w:tc>
          <w:tcPr>
            <w:tcW w:w="1559" w:type="dxa"/>
            <w:vAlign w:val="center"/>
          </w:tcPr>
          <w:p w:rsidR="00E57E17" w:rsidRPr="004A133A" w:rsidRDefault="00E57E17" w:rsidP="00E57E17">
            <w:pPr>
              <w:spacing w:after="200" w:line="276" w:lineRule="auto"/>
              <w:jc w:val="both"/>
              <w:rPr>
                <w:sz w:val="20"/>
                <w:szCs w:val="20"/>
              </w:rPr>
            </w:pPr>
            <w:r>
              <w:rPr>
                <w:sz w:val="20"/>
                <w:szCs w:val="20"/>
              </w:rPr>
              <w:t>26</w:t>
            </w:r>
          </w:p>
        </w:tc>
      </w:tr>
      <w:tr w:rsidR="00E57E17" w:rsidRPr="004A133A" w:rsidTr="00E57E17">
        <w:trPr>
          <w:trHeight w:val="248"/>
        </w:trPr>
        <w:tc>
          <w:tcPr>
            <w:tcW w:w="1299" w:type="dxa"/>
            <w:vMerge/>
            <w:tcBorders>
              <w:right w:val="nil"/>
            </w:tcBorders>
            <w:shd w:val="clear" w:color="auto" w:fill="4D7F52"/>
          </w:tcPr>
          <w:p w:rsidR="00E57E17" w:rsidRPr="004A133A" w:rsidRDefault="00E57E17" w:rsidP="00E57E17">
            <w:pPr>
              <w:spacing w:after="200" w:line="276" w:lineRule="auto"/>
              <w:ind w:left="113" w:right="113"/>
              <w:jc w:val="both"/>
            </w:pPr>
          </w:p>
        </w:tc>
        <w:tc>
          <w:tcPr>
            <w:tcW w:w="4479" w:type="dxa"/>
            <w:vMerge w:val="restart"/>
            <w:tcBorders>
              <w:left w:val="nil"/>
            </w:tcBorders>
          </w:tcPr>
          <w:p w:rsidR="00E57E17" w:rsidRPr="004A133A" w:rsidRDefault="00E57E17" w:rsidP="00E57E17">
            <w:pPr>
              <w:spacing w:after="200" w:line="276" w:lineRule="auto"/>
              <w:jc w:val="both"/>
              <w:rPr>
                <w:sz w:val="20"/>
                <w:szCs w:val="20"/>
              </w:rPr>
            </w:pPr>
            <w:r w:rsidRPr="004A133A">
              <w:rPr>
                <w:sz w:val="20"/>
                <w:szCs w:val="20"/>
              </w:rPr>
              <w:t>Nº de Resoluciones del CTBG favorables a la entidad</w:t>
            </w:r>
          </w:p>
        </w:tc>
        <w:tc>
          <w:tcPr>
            <w:tcW w:w="1843" w:type="dxa"/>
            <w:tcBorders>
              <w:left w:val="nil"/>
            </w:tcBorders>
          </w:tcPr>
          <w:p w:rsidR="00E57E17" w:rsidRPr="004A133A" w:rsidRDefault="00E57E17" w:rsidP="00E57E17">
            <w:pPr>
              <w:spacing w:after="200" w:line="276" w:lineRule="auto"/>
              <w:jc w:val="both"/>
              <w:rPr>
                <w:sz w:val="20"/>
                <w:szCs w:val="20"/>
              </w:rPr>
            </w:pPr>
            <w:r w:rsidRPr="004A133A">
              <w:rPr>
                <w:sz w:val="20"/>
                <w:szCs w:val="20"/>
              </w:rPr>
              <w:t>Nº</w:t>
            </w:r>
          </w:p>
        </w:tc>
        <w:tc>
          <w:tcPr>
            <w:tcW w:w="1559" w:type="dxa"/>
            <w:vAlign w:val="center"/>
          </w:tcPr>
          <w:p w:rsidR="00E57E17" w:rsidRPr="004A133A" w:rsidRDefault="00E57E17" w:rsidP="00E57E17">
            <w:pPr>
              <w:spacing w:after="200" w:line="276" w:lineRule="auto"/>
              <w:jc w:val="both"/>
              <w:rPr>
                <w:sz w:val="20"/>
                <w:szCs w:val="20"/>
              </w:rPr>
            </w:pPr>
            <w:r>
              <w:rPr>
                <w:sz w:val="20"/>
                <w:szCs w:val="20"/>
              </w:rPr>
              <w:t>11</w:t>
            </w:r>
          </w:p>
        </w:tc>
      </w:tr>
      <w:tr w:rsidR="00E57E17" w:rsidRPr="004A133A" w:rsidTr="00E57E17">
        <w:trPr>
          <w:trHeight w:val="247"/>
        </w:trPr>
        <w:tc>
          <w:tcPr>
            <w:tcW w:w="1299" w:type="dxa"/>
            <w:vMerge/>
            <w:tcBorders>
              <w:right w:val="nil"/>
            </w:tcBorders>
            <w:shd w:val="clear" w:color="auto" w:fill="4D7F52"/>
          </w:tcPr>
          <w:p w:rsidR="00E57E17" w:rsidRPr="004A133A" w:rsidRDefault="00E57E17" w:rsidP="00E57E17">
            <w:pPr>
              <w:spacing w:after="200" w:line="276" w:lineRule="auto"/>
              <w:ind w:left="113" w:right="113"/>
              <w:jc w:val="both"/>
            </w:pPr>
          </w:p>
        </w:tc>
        <w:tc>
          <w:tcPr>
            <w:tcW w:w="4479" w:type="dxa"/>
            <w:vMerge/>
            <w:tcBorders>
              <w:left w:val="nil"/>
            </w:tcBorders>
          </w:tcPr>
          <w:p w:rsidR="00E57E17" w:rsidRPr="004A133A" w:rsidRDefault="00E57E17" w:rsidP="00E57E17">
            <w:pPr>
              <w:spacing w:after="200" w:line="276" w:lineRule="auto"/>
              <w:jc w:val="both"/>
              <w:rPr>
                <w:sz w:val="20"/>
                <w:szCs w:val="20"/>
              </w:rPr>
            </w:pPr>
          </w:p>
        </w:tc>
        <w:tc>
          <w:tcPr>
            <w:tcW w:w="1843" w:type="dxa"/>
            <w:tcBorders>
              <w:left w:val="nil"/>
            </w:tcBorders>
          </w:tcPr>
          <w:p w:rsidR="00E57E17" w:rsidRPr="004A133A" w:rsidRDefault="00E57E17" w:rsidP="00E57E17">
            <w:pPr>
              <w:spacing w:after="200" w:line="276" w:lineRule="auto"/>
              <w:jc w:val="both"/>
              <w:rPr>
                <w:sz w:val="20"/>
                <w:szCs w:val="20"/>
              </w:rPr>
            </w:pPr>
            <w:r w:rsidRPr="004A133A">
              <w:rPr>
                <w:sz w:val="20"/>
                <w:szCs w:val="20"/>
              </w:rPr>
              <w:t>Porcentaje</w:t>
            </w:r>
          </w:p>
        </w:tc>
        <w:tc>
          <w:tcPr>
            <w:tcW w:w="1559" w:type="dxa"/>
            <w:vAlign w:val="center"/>
          </w:tcPr>
          <w:p w:rsidR="00E57E17" w:rsidRPr="004A133A" w:rsidRDefault="00E57E17" w:rsidP="00E57E17">
            <w:pPr>
              <w:spacing w:after="200" w:line="276" w:lineRule="auto"/>
              <w:jc w:val="both"/>
              <w:rPr>
                <w:sz w:val="20"/>
                <w:szCs w:val="20"/>
              </w:rPr>
            </w:pPr>
            <w:r>
              <w:rPr>
                <w:sz w:val="20"/>
                <w:szCs w:val="20"/>
              </w:rPr>
              <w:t>50</w:t>
            </w:r>
          </w:p>
        </w:tc>
      </w:tr>
      <w:tr w:rsidR="00E57E17" w:rsidRPr="004A133A" w:rsidTr="00E57E17">
        <w:trPr>
          <w:trHeight w:val="248"/>
        </w:trPr>
        <w:tc>
          <w:tcPr>
            <w:tcW w:w="1299" w:type="dxa"/>
            <w:vMerge/>
            <w:tcBorders>
              <w:right w:val="nil"/>
            </w:tcBorders>
            <w:shd w:val="clear" w:color="auto" w:fill="4D7F52"/>
          </w:tcPr>
          <w:p w:rsidR="00E57E17" w:rsidRPr="004A133A" w:rsidRDefault="00E57E17" w:rsidP="00E57E17">
            <w:pPr>
              <w:spacing w:after="200" w:line="276" w:lineRule="auto"/>
              <w:ind w:left="113" w:right="113"/>
              <w:jc w:val="both"/>
            </w:pPr>
          </w:p>
        </w:tc>
        <w:tc>
          <w:tcPr>
            <w:tcW w:w="4479" w:type="dxa"/>
            <w:vMerge w:val="restart"/>
            <w:tcBorders>
              <w:left w:val="nil"/>
            </w:tcBorders>
          </w:tcPr>
          <w:p w:rsidR="00E57E17" w:rsidRPr="004A133A" w:rsidRDefault="00E57E17" w:rsidP="00E57E17">
            <w:pPr>
              <w:spacing w:after="200" w:line="276" w:lineRule="auto"/>
              <w:jc w:val="both"/>
              <w:rPr>
                <w:sz w:val="20"/>
                <w:szCs w:val="20"/>
              </w:rPr>
            </w:pPr>
            <w:r w:rsidRPr="004A133A">
              <w:rPr>
                <w:sz w:val="20"/>
                <w:szCs w:val="20"/>
              </w:rPr>
              <w:t>Nº de Resoluciones del CTBG favorables a los reclamantes</w:t>
            </w:r>
          </w:p>
        </w:tc>
        <w:tc>
          <w:tcPr>
            <w:tcW w:w="1843" w:type="dxa"/>
            <w:tcBorders>
              <w:left w:val="nil"/>
            </w:tcBorders>
          </w:tcPr>
          <w:p w:rsidR="00E57E17" w:rsidRPr="004A133A" w:rsidRDefault="00E57E17" w:rsidP="00E57E17">
            <w:pPr>
              <w:spacing w:after="200" w:line="276" w:lineRule="auto"/>
              <w:jc w:val="both"/>
              <w:rPr>
                <w:sz w:val="20"/>
                <w:szCs w:val="20"/>
              </w:rPr>
            </w:pPr>
            <w:r w:rsidRPr="004A133A">
              <w:rPr>
                <w:sz w:val="20"/>
                <w:szCs w:val="20"/>
              </w:rPr>
              <w:t>Nº</w:t>
            </w:r>
          </w:p>
        </w:tc>
        <w:tc>
          <w:tcPr>
            <w:tcW w:w="1559" w:type="dxa"/>
            <w:vAlign w:val="center"/>
          </w:tcPr>
          <w:p w:rsidR="00E57E17" w:rsidRPr="004A133A" w:rsidRDefault="00E57E17" w:rsidP="00E57E17">
            <w:pPr>
              <w:spacing w:after="200" w:line="276" w:lineRule="auto"/>
              <w:jc w:val="both"/>
              <w:rPr>
                <w:sz w:val="20"/>
                <w:szCs w:val="20"/>
              </w:rPr>
            </w:pPr>
            <w:r>
              <w:rPr>
                <w:sz w:val="20"/>
                <w:szCs w:val="20"/>
              </w:rPr>
              <w:t>11</w:t>
            </w:r>
          </w:p>
        </w:tc>
      </w:tr>
      <w:tr w:rsidR="00E57E17" w:rsidRPr="004A133A" w:rsidTr="00E57E17">
        <w:trPr>
          <w:trHeight w:val="247"/>
        </w:trPr>
        <w:tc>
          <w:tcPr>
            <w:tcW w:w="1299" w:type="dxa"/>
            <w:vMerge/>
            <w:tcBorders>
              <w:right w:val="nil"/>
            </w:tcBorders>
            <w:shd w:val="clear" w:color="auto" w:fill="4D7F52"/>
          </w:tcPr>
          <w:p w:rsidR="00E57E17" w:rsidRPr="004A133A" w:rsidRDefault="00E57E17" w:rsidP="00E57E17">
            <w:pPr>
              <w:spacing w:after="200" w:line="276" w:lineRule="auto"/>
              <w:ind w:left="113" w:right="113"/>
              <w:jc w:val="both"/>
            </w:pPr>
          </w:p>
        </w:tc>
        <w:tc>
          <w:tcPr>
            <w:tcW w:w="4479" w:type="dxa"/>
            <w:vMerge/>
            <w:tcBorders>
              <w:left w:val="nil"/>
            </w:tcBorders>
          </w:tcPr>
          <w:p w:rsidR="00E57E17" w:rsidRPr="004A133A" w:rsidRDefault="00E57E17" w:rsidP="00E57E17">
            <w:pPr>
              <w:spacing w:after="200" w:line="276" w:lineRule="auto"/>
              <w:jc w:val="both"/>
              <w:rPr>
                <w:sz w:val="20"/>
                <w:szCs w:val="20"/>
              </w:rPr>
            </w:pPr>
          </w:p>
        </w:tc>
        <w:tc>
          <w:tcPr>
            <w:tcW w:w="1843" w:type="dxa"/>
            <w:tcBorders>
              <w:left w:val="nil"/>
            </w:tcBorders>
          </w:tcPr>
          <w:p w:rsidR="00E57E17" w:rsidRPr="004A133A" w:rsidRDefault="00E57E17" w:rsidP="00E57E17">
            <w:pPr>
              <w:spacing w:after="200" w:line="276" w:lineRule="auto"/>
              <w:jc w:val="both"/>
              <w:rPr>
                <w:sz w:val="20"/>
                <w:szCs w:val="20"/>
              </w:rPr>
            </w:pPr>
            <w:r w:rsidRPr="004A133A">
              <w:rPr>
                <w:sz w:val="20"/>
                <w:szCs w:val="20"/>
              </w:rPr>
              <w:t>Porcentaje</w:t>
            </w:r>
          </w:p>
        </w:tc>
        <w:tc>
          <w:tcPr>
            <w:tcW w:w="1559" w:type="dxa"/>
            <w:vAlign w:val="center"/>
          </w:tcPr>
          <w:p w:rsidR="00E57E17" w:rsidRPr="004A133A" w:rsidRDefault="00E57E17" w:rsidP="00E57E17">
            <w:pPr>
              <w:spacing w:after="200" w:line="276" w:lineRule="auto"/>
              <w:jc w:val="both"/>
              <w:rPr>
                <w:sz w:val="20"/>
                <w:szCs w:val="20"/>
              </w:rPr>
            </w:pPr>
            <w:r>
              <w:rPr>
                <w:sz w:val="20"/>
                <w:szCs w:val="20"/>
              </w:rPr>
              <w:t>50</w:t>
            </w:r>
          </w:p>
        </w:tc>
      </w:tr>
      <w:tr w:rsidR="00E57E17" w:rsidRPr="004A133A" w:rsidTr="00E57E17">
        <w:tc>
          <w:tcPr>
            <w:tcW w:w="1299" w:type="dxa"/>
            <w:vMerge/>
            <w:tcBorders>
              <w:right w:val="nil"/>
            </w:tcBorders>
            <w:shd w:val="clear" w:color="auto" w:fill="4D7F52"/>
          </w:tcPr>
          <w:p w:rsidR="00E57E17" w:rsidRPr="004A133A" w:rsidRDefault="00E57E17" w:rsidP="00E57E17">
            <w:pPr>
              <w:spacing w:after="200" w:line="276" w:lineRule="auto"/>
              <w:ind w:left="113" w:right="113"/>
              <w:jc w:val="both"/>
            </w:pPr>
          </w:p>
        </w:tc>
        <w:tc>
          <w:tcPr>
            <w:tcW w:w="6322" w:type="dxa"/>
            <w:gridSpan w:val="2"/>
            <w:tcBorders>
              <w:left w:val="nil"/>
            </w:tcBorders>
          </w:tcPr>
          <w:p w:rsidR="00E57E17" w:rsidRPr="004A133A" w:rsidRDefault="00E57E17" w:rsidP="00E57E17">
            <w:pPr>
              <w:spacing w:after="200" w:line="276" w:lineRule="auto"/>
              <w:jc w:val="both"/>
              <w:rPr>
                <w:sz w:val="20"/>
                <w:szCs w:val="20"/>
              </w:rPr>
            </w:pPr>
            <w:r w:rsidRPr="004A133A">
              <w:rPr>
                <w:sz w:val="20"/>
                <w:szCs w:val="20"/>
              </w:rPr>
              <w:t>Nº de Resoluciones del CTBG favorables a los reclamantes recurridas ante la jurisdicción contencioso-administrativa</w:t>
            </w:r>
          </w:p>
        </w:tc>
        <w:tc>
          <w:tcPr>
            <w:tcW w:w="1559" w:type="dxa"/>
            <w:vAlign w:val="center"/>
          </w:tcPr>
          <w:p w:rsidR="00E57E17" w:rsidRPr="004A133A" w:rsidRDefault="00E57E17" w:rsidP="00E57E17">
            <w:pPr>
              <w:spacing w:after="200" w:line="276" w:lineRule="auto"/>
              <w:jc w:val="both"/>
              <w:rPr>
                <w:sz w:val="20"/>
                <w:szCs w:val="20"/>
              </w:rPr>
            </w:pPr>
            <w:r>
              <w:rPr>
                <w:sz w:val="20"/>
                <w:szCs w:val="20"/>
              </w:rPr>
              <w:t>2</w:t>
            </w:r>
          </w:p>
        </w:tc>
      </w:tr>
      <w:tr w:rsidR="00E57E17" w:rsidRPr="004A133A" w:rsidTr="00E57E17">
        <w:tc>
          <w:tcPr>
            <w:tcW w:w="1299" w:type="dxa"/>
            <w:vMerge/>
            <w:tcBorders>
              <w:right w:val="nil"/>
            </w:tcBorders>
            <w:shd w:val="clear" w:color="auto" w:fill="4D7F52"/>
          </w:tcPr>
          <w:p w:rsidR="00E57E17" w:rsidRPr="004A133A" w:rsidRDefault="00E57E17" w:rsidP="00E57E17">
            <w:pPr>
              <w:spacing w:after="200" w:line="276" w:lineRule="auto"/>
              <w:ind w:left="113" w:right="113"/>
              <w:jc w:val="both"/>
            </w:pPr>
          </w:p>
        </w:tc>
        <w:tc>
          <w:tcPr>
            <w:tcW w:w="6322" w:type="dxa"/>
            <w:gridSpan w:val="2"/>
            <w:tcBorders>
              <w:left w:val="nil"/>
            </w:tcBorders>
          </w:tcPr>
          <w:p w:rsidR="00E57E17" w:rsidRPr="004A133A" w:rsidRDefault="00E57E17" w:rsidP="00E57E17">
            <w:pPr>
              <w:spacing w:after="200" w:line="276" w:lineRule="auto"/>
              <w:jc w:val="both"/>
              <w:rPr>
                <w:sz w:val="20"/>
                <w:szCs w:val="20"/>
              </w:rPr>
            </w:pPr>
            <w:r w:rsidRPr="004A133A">
              <w:rPr>
                <w:sz w:val="20"/>
                <w:szCs w:val="20"/>
              </w:rPr>
              <w:t>Tasa de litigiosidad</w:t>
            </w:r>
          </w:p>
        </w:tc>
        <w:tc>
          <w:tcPr>
            <w:tcW w:w="1559" w:type="dxa"/>
            <w:vAlign w:val="center"/>
          </w:tcPr>
          <w:p w:rsidR="00E57E17" w:rsidRPr="004A133A" w:rsidRDefault="0038280F" w:rsidP="00E57E17">
            <w:pPr>
              <w:spacing w:after="200" w:line="276" w:lineRule="auto"/>
              <w:jc w:val="both"/>
              <w:rPr>
                <w:sz w:val="20"/>
                <w:szCs w:val="20"/>
              </w:rPr>
            </w:pPr>
            <w:r>
              <w:rPr>
                <w:sz w:val="20"/>
                <w:szCs w:val="20"/>
              </w:rPr>
              <w:t>18,2</w:t>
            </w:r>
          </w:p>
        </w:tc>
      </w:tr>
      <w:tr w:rsidR="00E57E17" w:rsidRPr="004A133A" w:rsidTr="00E57E17">
        <w:tc>
          <w:tcPr>
            <w:tcW w:w="1299" w:type="dxa"/>
            <w:vMerge/>
            <w:tcBorders>
              <w:right w:val="nil"/>
            </w:tcBorders>
            <w:shd w:val="clear" w:color="auto" w:fill="4D7F52"/>
          </w:tcPr>
          <w:p w:rsidR="00E57E17" w:rsidRPr="004A133A" w:rsidRDefault="00E57E17" w:rsidP="00E57E17">
            <w:pPr>
              <w:spacing w:after="200" w:line="276" w:lineRule="auto"/>
              <w:ind w:left="113" w:right="113"/>
              <w:jc w:val="both"/>
            </w:pPr>
          </w:p>
        </w:tc>
        <w:tc>
          <w:tcPr>
            <w:tcW w:w="4479" w:type="dxa"/>
            <w:vMerge w:val="restart"/>
            <w:tcBorders>
              <w:left w:val="nil"/>
            </w:tcBorders>
            <w:vAlign w:val="center"/>
          </w:tcPr>
          <w:p w:rsidR="00E57E17" w:rsidRPr="004A133A" w:rsidRDefault="00E57E17" w:rsidP="00E57E17">
            <w:pPr>
              <w:spacing w:after="200" w:line="276" w:lineRule="auto"/>
              <w:jc w:val="both"/>
              <w:rPr>
                <w:sz w:val="20"/>
                <w:szCs w:val="20"/>
              </w:rPr>
            </w:pPr>
            <w:r w:rsidRPr="004A133A">
              <w:rPr>
                <w:sz w:val="20"/>
                <w:szCs w:val="20"/>
              </w:rPr>
              <w:t>Sentencias firmes favorables al CTBG</w:t>
            </w:r>
          </w:p>
        </w:tc>
        <w:tc>
          <w:tcPr>
            <w:tcW w:w="1843" w:type="dxa"/>
            <w:tcBorders>
              <w:left w:val="nil"/>
            </w:tcBorders>
          </w:tcPr>
          <w:p w:rsidR="00E57E17" w:rsidRPr="004A133A" w:rsidRDefault="00E57E17" w:rsidP="00E57E17">
            <w:pPr>
              <w:spacing w:after="200" w:line="276" w:lineRule="auto"/>
              <w:jc w:val="both"/>
              <w:rPr>
                <w:sz w:val="20"/>
                <w:szCs w:val="20"/>
              </w:rPr>
            </w:pPr>
            <w:r w:rsidRPr="004A133A">
              <w:rPr>
                <w:sz w:val="20"/>
                <w:szCs w:val="20"/>
              </w:rPr>
              <w:t xml:space="preserve">Nº </w:t>
            </w:r>
          </w:p>
        </w:tc>
        <w:tc>
          <w:tcPr>
            <w:tcW w:w="1559" w:type="dxa"/>
            <w:vAlign w:val="center"/>
          </w:tcPr>
          <w:p w:rsidR="00E57E17" w:rsidRPr="004A133A" w:rsidRDefault="00E57E17" w:rsidP="00E57E17">
            <w:pPr>
              <w:spacing w:after="200" w:line="276" w:lineRule="auto"/>
              <w:jc w:val="both"/>
              <w:rPr>
                <w:sz w:val="20"/>
                <w:szCs w:val="20"/>
              </w:rPr>
            </w:pPr>
            <w:r>
              <w:rPr>
                <w:sz w:val="20"/>
                <w:szCs w:val="20"/>
              </w:rPr>
              <w:t>1</w:t>
            </w:r>
          </w:p>
        </w:tc>
      </w:tr>
      <w:tr w:rsidR="00E57E17" w:rsidRPr="004A133A" w:rsidTr="00E57E17">
        <w:trPr>
          <w:trHeight w:val="113"/>
        </w:trPr>
        <w:tc>
          <w:tcPr>
            <w:tcW w:w="1299" w:type="dxa"/>
            <w:vMerge/>
            <w:tcBorders>
              <w:right w:val="nil"/>
            </w:tcBorders>
            <w:shd w:val="clear" w:color="auto" w:fill="4D7F52"/>
          </w:tcPr>
          <w:p w:rsidR="00E57E17" w:rsidRPr="004A133A" w:rsidRDefault="00E57E17" w:rsidP="00E57E17">
            <w:pPr>
              <w:spacing w:after="200" w:line="276" w:lineRule="auto"/>
              <w:ind w:left="113" w:right="113"/>
              <w:jc w:val="both"/>
            </w:pPr>
          </w:p>
        </w:tc>
        <w:tc>
          <w:tcPr>
            <w:tcW w:w="4479" w:type="dxa"/>
            <w:vMerge/>
            <w:tcBorders>
              <w:left w:val="nil"/>
            </w:tcBorders>
            <w:vAlign w:val="center"/>
          </w:tcPr>
          <w:p w:rsidR="00E57E17" w:rsidRPr="004A133A" w:rsidRDefault="00E57E17" w:rsidP="00E57E17">
            <w:pPr>
              <w:spacing w:after="200" w:line="276" w:lineRule="auto"/>
              <w:jc w:val="both"/>
              <w:rPr>
                <w:sz w:val="20"/>
                <w:szCs w:val="20"/>
              </w:rPr>
            </w:pPr>
          </w:p>
        </w:tc>
        <w:tc>
          <w:tcPr>
            <w:tcW w:w="1843" w:type="dxa"/>
            <w:tcBorders>
              <w:left w:val="nil"/>
            </w:tcBorders>
          </w:tcPr>
          <w:p w:rsidR="00E57E17" w:rsidRPr="004A133A" w:rsidRDefault="00E57E17" w:rsidP="00E57E17">
            <w:pPr>
              <w:spacing w:after="200" w:line="276" w:lineRule="auto"/>
              <w:jc w:val="both"/>
              <w:rPr>
                <w:sz w:val="20"/>
                <w:szCs w:val="20"/>
              </w:rPr>
            </w:pPr>
            <w:r w:rsidRPr="004A133A">
              <w:rPr>
                <w:sz w:val="20"/>
                <w:szCs w:val="20"/>
              </w:rPr>
              <w:t>Porcentaje</w:t>
            </w:r>
          </w:p>
        </w:tc>
        <w:tc>
          <w:tcPr>
            <w:tcW w:w="1559" w:type="dxa"/>
            <w:vAlign w:val="center"/>
          </w:tcPr>
          <w:p w:rsidR="00E57E17" w:rsidRPr="004A133A" w:rsidRDefault="00E57E17" w:rsidP="00E57E17">
            <w:pPr>
              <w:spacing w:after="200" w:line="276" w:lineRule="auto"/>
              <w:jc w:val="both"/>
              <w:rPr>
                <w:sz w:val="20"/>
                <w:szCs w:val="20"/>
              </w:rPr>
            </w:pPr>
            <w:r>
              <w:rPr>
                <w:sz w:val="20"/>
                <w:szCs w:val="20"/>
              </w:rPr>
              <w:t>50</w:t>
            </w:r>
          </w:p>
        </w:tc>
      </w:tr>
      <w:tr w:rsidR="00E57E17" w:rsidRPr="004A133A" w:rsidTr="00E57E17">
        <w:trPr>
          <w:trHeight w:val="248"/>
        </w:trPr>
        <w:tc>
          <w:tcPr>
            <w:tcW w:w="1299" w:type="dxa"/>
            <w:vMerge/>
            <w:tcBorders>
              <w:right w:val="nil"/>
            </w:tcBorders>
            <w:shd w:val="clear" w:color="auto" w:fill="4D7F52"/>
          </w:tcPr>
          <w:p w:rsidR="00E57E17" w:rsidRPr="004A133A" w:rsidRDefault="00E57E17" w:rsidP="00E57E17">
            <w:pPr>
              <w:spacing w:after="200" w:line="276" w:lineRule="auto"/>
              <w:ind w:left="113" w:right="113"/>
              <w:jc w:val="both"/>
            </w:pPr>
          </w:p>
        </w:tc>
        <w:tc>
          <w:tcPr>
            <w:tcW w:w="4479" w:type="dxa"/>
            <w:vMerge w:val="restart"/>
            <w:tcBorders>
              <w:left w:val="nil"/>
            </w:tcBorders>
            <w:vAlign w:val="center"/>
          </w:tcPr>
          <w:p w:rsidR="00E57E17" w:rsidRPr="004A133A" w:rsidRDefault="00E57E17" w:rsidP="00E57E17">
            <w:pPr>
              <w:spacing w:after="200" w:line="276" w:lineRule="auto"/>
              <w:jc w:val="both"/>
              <w:rPr>
                <w:sz w:val="20"/>
                <w:szCs w:val="20"/>
              </w:rPr>
            </w:pPr>
            <w:r w:rsidRPr="004A133A">
              <w:rPr>
                <w:sz w:val="20"/>
                <w:szCs w:val="20"/>
              </w:rPr>
              <w:t>Sentencias firmes favorables a la entidad</w:t>
            </w:r>
          </w:p>
        </w:tc>
        <w:tc>
          <w:tcPr>
            <w:tcW w:w="1843" w:type="dxa"/>
            <w:tcBorders>
              <w:left w:val="nil"/>
            </w:tcBorders>
          </w:tcPr>
          <w:p w:rsidR="00E57E17" w:rsidRPr="004A133A" w:rsidRDefault="00E57E17" w:rsidP="00E57E17">
            <w:pPr>
              <w:spacing w:after="200" w:line="276" w:lineRule="auto"/>
              <w:jc w:val="both"/>
              <w:rPr>
                <w:sz w:val="20"/>
                <w:szCs w:val="20"/>
              </w:rPr>
            </w:pPr>
            <w:r w:rsidRPr="004A133A">
              <w:rPr>
                <w:sz w:val="20"/>
                <w:szCs w:val="20"/>
              </w:rPr>
              <w:t xml:space="preserve">Nº </w:t>
            </w:r>
          </w:p>
        </w:tc>
        <w:tc>
          <w:tcPr>
            <w:tcW w:w="1559" w:type="dxa"/>
            <w:vAlign w:val="center"/>
          </w:tcPr>
          <w:p w:rsidR="00E57E17" w:rsidRPr="004A133A" w:rsidRDefault="00E57E17" w:rsidP="00E57E17">
            <w:pPr>
              <w:spacing w:after="200" w:line="276" w:lineRule="auto"/>
              <w:jc w:val="both"/>
              <w:rPr>
                <w:sz w:val="20"/>
                <w:szCs w:val="20"/>
              </w:rPr>
            </w:pPr>
            <w:r>
              <w:rPr>
                <w:sz w:val="20"/>
                <w:szCs w:val="20"/>
              </w:rPr>
              <w:t>1</w:t>
            </w:r>
          </w:p>
        </w:tc>
      </w:tr>
      <w:tr w:rsidR="00E57E17" w:rsidRPr="004A133A" w:rsidTr="00E57E17">
        <w:trPr>
          <w:trHeight w:val="247"/>
        </w:trPr>
        <w:tc>
          <w:tcPr>
            <w:tcW w:w="1299" w:type="dxa"/>
            <w:vMerge/>
            <w:tcBorders>
              <w:right w:val="nil"/>
            </w:tcBorders>
            <w:shd w:val="clear" w:color="auto" w:fill="4D7F52"/>
          </w:tcPr>
          <w:p w:rsidR="00E57E17" w:rsidRPr="004A133A" w:rsidRDefault="00E57E17" w:rsidP="00E57E17">
            <w:pPr>
              <w:spacing w:after="200" w:line="276" w:lineRule="auto"/>
              <w:ind w:left="113" w:right="113"/>
              <w:jc w:val="both"/>
            </w:pPr>
          </w:p>
        </w:tc>
        <w:tc>
          <w:tcPr>
            <w:tcW w:w="4479" w:type="dxa"/>
            <w:vMerge/>
            <w:tcBorders>
              <w:left w:val="nil"/>
            </w:tcBorders>
          </w:tcPr>
          <w:p w:rsidR="00E57E17" w:rsidRPr="004A133A" w:rsidRDefault="00E57E17" w:rsidP="00E57E17">
            <w:pPr>
              <w:spacing w:after="200" w:line="276" w:lineRule="auto"/>
              <w:jc w:val="both"/>
              <w:rPr>
                <w:sz w:val="20"/>
                <w:szCs w:val="20"/>
              </w:rPr>
            </w:pPr>
          </w:p>
        </w:tc>
        <w:tc>
          <w:tcPr>
            <w:tcW w:w="1843" w:type="dxa"/>
            <w:tcBorders>
              <w:left w:val="nil"/>
            </w:tcBorders>
          </w:tcPr>
          <w:p w:rsidR="00E57E17" w:rsidRPr="004A133A" w:rsidRDefault="00E57E17" w:rsidP="00E57E17">
            <w:pPr>
              <w:spacing w:after="200" w:line="276" w:lineRule="auto"/>
              <w:jc w:val="both"/>
              <w:rPr>
                <w:sz w:val="20"/>
                <w:szCs w:val="20"/>
              </w:rPr>
            </w:pPr>
            <w:r w:rsidRPr="004A133A">
              <w:rPr>
                <w:sz w:val="20"/>
                <w:szCs w:val="20"/>
              </w:rPr>
              <w:t>Porcentaje</w:t>
            </w:r>
          </w:p>
        </w:tc>
        <w:tc>
          <w:tcPr>
            <w:tcW w:w="1559" w:type="dxa"/>
            <w:vAlign w:val="center"/>
          </w:tcPr>
          <w:p w:rsidR="00E57E17" w:rsidRPr="004A133A" w:rsidRDefault="00E57E17" w:rsidP="00E57E17">
            <w:pPr>
              <w:spacing w:after="200" w:line="276" w:lineRule="auto"/>
              <w:jc w:val="both"/>
              <w:rPr>
                <w:sz w:val="20"/>
                <w:szCs w:val="20"/>
              </w:rPr>
            </w:pPr>
            <w:r>
              <w:rPr>
                <w:sz w:val="20"/>
                <w:szCs w:val="20"/>
              </w:rPr>
              <w:t>50</w:t>
            </w:r>
          </w:p>
        </w:tc>
      </w:tr>
    </w:tbl>
    <w:p w:rsidR="004A133A" w:rsidRDefault="004A133A" w:rsidP="00DF6C30">
      <w:pPr>
        <w:pStyle w:val="Cuerpodelboletn"/>
        <w:spacing w:before="120" w:after="120" w:line="276" w:lineRule="auto"/>
        <w:ind w:left="425"/>
        <w:rPr>
          <w:color w:val="auto"/>
        </w:rPr>
      </w:pPr>
    </w:p>
    <w:p w:rsidR="00DF6C30" w:rsidRPr="004A133A" w:rsidRDefault="00DF6C30" w:rsidP="00DF6C30">
      <w:pPr>
        <w:pStyle w:val="Cuerpodelboletn"/>
        <w:spacing w:before="120" w:after="120" w:line="276" w:lineRule="auto"/>
        <w:ind w:left="425"/>
      </w:pPr>
    </w:p>
    <w:p w:rsidR="001F251B" w:rsidRPr="00256215" w:rsidRDefault="00BB63C9"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 xml:space="preserve">V. </w:t>
          </w:r>
          <w:r w:rsidR="001F251B">
            <w:rPr>
              <w:b/>
              <w:color w:val="00642D"/>
              <w:sz w:val="30"/>
              <w:szCs w:val="30"/>
            </w:rPr>
            <w:t>Buenas prácticas</w:t>
          </w:r>
          <w:r w:rsidR="001F251B" w:rsidRPr="00256215">
            <w:rPr>
              <w:b/>
              <w:color w:val="00642D"/>
              <w:sz w:val="30"/>
              <w:szCs w:val="30"/>
            </w:rPr>
            <w:t xml:space="preserve"> </w:t>
          </w:r>
        </w:sdtContent>
      </w:sdt>
    </w:p>
    <w:p w:rsidR="0063118A" w:rsidRDefault="0063118A" w:rsidP="0063118A">
      <w:pPr>
        <w:ind w:left="426"/>
      </w:pPr>
    </w:p>
    <w:p w:rsidR="003A260E" w:rsidRDefault="007F4BBB" w:rsidP="003A260E">
      <w:pPr>
        <w:spacing w:before="120" w:after="120"/>
        <w:ind w:left="426"/>
        <w:jc w:val="both"/>
      </w:pPr>
      <w:r>
        <w:t>C</w:t>
      </w:r>
      <w:r w:rsidR="0038280F">
        <w:t>orreos</w:t>
      </w:r>
      <w:r w:rsidR="003A260E">
        <w:t xml:space="preserve"> presenta en la gestión de las solicitudes de acceso a información pública buenas prácticas que podrían ser aplicadas por otras instituciones y organizaciones públicas. Entre ellas cabe destacar:</w:t>
      </w:r>
    </w:p>
    <w:p w:rsidR="003A260E" w:rsidRPr="004A5655" w:rsidRDefault="003A260E" w:rsidP="003A260E">
      <w:pPr>
        <w:pStyle w:val="Prrafodelista"/>
        <w:numPr>
          <w:ilvl w:val="0"/>
          <w:numId w:val="10"/>
        </w:numPr>
        <w:spacing w:before="120" w:after="120"/>
        <w:ind w:left="1134"/>
        <w:contextualSpacing w:val="0"/>
        <w:jc w:val="both"/>
      </w:pPr>
      <w:r>
        <w:t>La disponibilidad de un espacio específico para el ejercicio del derecho de acceso</w:t>
      </w:r>
      <w:r w:rsidRPr="004A5655">
        <w:t>.</w:t>
      </w:r>
    </w:p>
    <w:p w:rsidR="003A260E" w:rsidRDefault="0038280F" w:rsidP="003A260E">
      <w:pPr>
        <w:pStyle w:val="Prrafodelista"/>
        <w:numPr>
          <w:ilvl w:val="0"/>
          <w:numId w:val="10"/>
        </w:numPr>
        <w:spacing w:before="120" w:after="120"/>
        <w:ind w:left="1134"/>
        <w:contextualSpacing w:val="0"/>
        <w:jc w:val="both"/>
      </w:pPr>
      <w:r>
        <w:t xml:space="preserve">La publicación de las resoluciones emitidas en materia de derecho de </w:t>
      </w:r>
      <w:proofErr w:type="gramStart"/>
      <w:r>
        <w:t xml:space="preserve">acceso </w:t>
      </w:r>
      <w:r w:rsidR="003A260E">
        <w:t>.</w:t>
      </w:r>
      <w:proofErr w:type="gramEnd"/>
      <w:r w:rsidR="003A260E">
        <w:t xml:space="preserve"> </w:t>
      </w:r>
    </w:p>
    <w:p w:rsidR="00C02768" w:rsidRDefault="00C02768" w:rsidP="003A260E">
      <w:pPr>
        <w:pStyle w:val="Prrafodelista"/>
        <w:numPr>
          <w:ilvl w:val="0"/>
          <w:numId w:val="10"/>
        </w:numPr>
        <w:spacing w:before="120" w:after="120"/>
        <w:ind w:left="1134"/>
        <w:contextualSpacing w:val="0"/>
        <w:jc w:val="both"/>
      </w:pPr>
      <w:r>
        <w:t>La aportación de información estadística sobre las solicitudes recibidas.</w:t>
      </w:r>
    </w:p>
    <w:p w:rsidR="0063118A" w:rsidRDefault="0063118A" w:rsidP="0063118A">
      <w:pPr>
        <w:ind w:left="426"/>
      </w:pPr>
    </w:p>
    <w:p w:rsidR="00256215" w:rsidRDefault="00BB63C9"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BB63C9" w:rsidRDefault="00AC109E" w:rsidP="00F34803">
      <w:pPr>
        <w:pStyle w:val="Prrafodelista"/>
        <w:ind w:left="644"/>
        <w:jc w:val="both"/>
        <w:rPr>
          <w:bCs/>
        </w:rPr>
      </w:pPr>
      <w:r>
        <w:rPr>
          <w:bCs/>
        </w:rPr>
        <w:t>Correos</w:t>
      </w:r>
      <w:r w:rsidR="00F34803" w:rsidRPr="00AC109E">
        <w:rPr>
          <w:bCs/>
        </w:rPr>
        <w:t xml:space="preserve"> tramita </w:t>
      </w:r>
      <w:r w:rsidR="001E1C29" w:rsidRPr="00AC109E">
        <w:rPr>
          <w:bCs/>
        </w:rPr>
        <w:t xml:space="preserve">el </w:t>
      </w:r>
      <w:r w:rsidR="00D74E79" w:rsidRPr="00AC109E">
        <w:rPr>
          <w:bCs/>
        </w:rPr>
        <w:t>100% de las solicitudes que recibe y</w:t>
      </w:r>
      <w:r w:rsidR="00F34803" w:rsidRPr="00AC109E">
        <w:rPr>
          <w:bCs/>
        </w:rPr>
        <w:t xml:space="preserve"> admite </w:t>
      </w:r>
      <w:r>
        <w:rPr>
          <w:bCs/>
        </w:rPr>
        <w:t xml:space="preserve">poco más de una cuarta parte </w:t>
      </w:r>
      <w:r w:rsidR="00DF6C30" w:rsidRPr="00AC109E">
        <w:rPr>
          <w:bCs/>
        </w:rPr>
        <w:t>de</w:t>
      </w:r>
      <w:r>
        <w:rPr>
          <w:bCs/>
        </w:rPr>
        <w:t xml:space="preserve"> e</w:t>
      </w:r>
      <w:r w:rsidR="00DF6C30" w:rsidRPr="00AC109E">
        <w:rPr>
          <w:bCs/>
        </w:rPr>
        <w:t>l</w:t>
      </w:r>
      <w:r w:rsidR="00F34803" w:rsidRPr="00AC109E">
        <w:rPr>
          <w:bCs/>
        </w:rPr>
        <w:t>las</w:t>
      </w:r>
      <w:r w:rsidR="00D74E79" w:rsidRPr="00AC109E">
        <w:rPr>
          <w:bCs/>
        </w:rPr>
        <w:t xml:space="preserve">. </w:t>
      </w:r>
      <w:r>
        <w:rPr>
          <w:bCs/>
        </w:rPr>
        <w:t xml:space="preserve">La tasa de inadmisión si sitúa en más del 72%, siendo la principal causa la consideración de la solicitud abusiva o repetitiva. </w:t>
      </w:r>
    </w:p>
    <w:p w:rsidR="00BB63C9" w:rsidRDefault="00BB63C9" w:rsidP="00F34803">
      <w:pPr>
        <w:pStyle w:val="Prrafodelista"/>
        <w:ind w:left="644"/>
        <w:jc w:val="both"/>
        <w:rPr>
          <w:bCs/>
        </w:rPr>
      </w:pPr>
    </w:p>
    <w:p w:rsidR="00BB63C9" w:rsidRDefault="00BB63C9" w:rsidP="00BB63C9">
      <w:pPr>
        <w:pStyle w:val="Prrafodelista"/>
        <w:pBdr>
          <w:top w:val="single" w:sz="4" w:space="0" w:color="009242"/>
          <w:left w:val="single" w:sz="4" w:space="4" w:color="009242"/>
          <w:bottom w:val="single" w:sz="4" w:space="1" w:color="009242"/>
          <w:right w:val="single" w:sz="4" w:space="4" w:color="009242"/>
        </w:pBdr>
        <w:ind w:left="426"/>
        <w:jc w:val="both"/>
        <w:rPr>
          <w:bCs/>
        </w:rPr>
      </w:pPr>
      <w:r>
        <w:rPr>
          <w:bCs/>
        </w:rPr>
        <w:t xml:space="preserve">A la vista del volumen de solicitudes inadmitidas invocando como causa de inadmisión que se trata de solicitudes repetitivas o abusivas, este Consejo recuerda a </w:t>
      </w:r>
      <w:r>
        <w:rPr>
          <w:bCs/>
        </w:rPr>
        <w:t>Correos</w:t>
      </w:r>
      <w:r>
        <w:rPr>
          <w:bCs/>
        </w:rPr>
        <w:t xml:space="preserve"> los contenidos del Criterio Interpretativo 3/2016.</w:t>
      </w:r>
    </w:p>
    <w:p w:rsidR="00BB63C9" w:rsidRPr="005358B1" w:rsidRDefault="00BB63C9" w:rsidP="00BB63C9">
      <w:pPr>
        <w:pBdr>
          <w:top w:val="single" w:sz="4" w:space="0" w:color="009242"/>
          <w:left w:val="single" w:sz="4" w:space="4" w:color="009242"/>
          <w:bottom w:val="single" w:sz="4" w:space="1" w:color="009242"/>
          <w:right w:val="single" w:sz="4" w:space="4" w:color="009242"/>
        </w:pBdr>
        <w:ind w:left="426"/>
        <w:jc w:val="both"/>
        <w:rPr>
          <w:bCs/>
        </w:rPr>
      </w:pPr>
      <w:r>
        <w:rPr>
          <w:bCs/>
        </w:rPr>
        <w:t>En todo caso, las causas de inadmisión deben aplicarse de manera restrictiva y en este supuesto concreto de inadmisión han de concurrir dos requisitos: en el caso de la reiteración la solicitud debe ser manifiestamente reiterativa y en el caso de solicitudes abusivas además de ser cualitativamente abusivas debe ser injustificadas con la finalidad de la LTAIBG.</w:t>
      </w:r>
    </w:p>
    <w:p w:rsidR="00BB63C9" w:rsidRDefault="00BB63C9" w:rsidP="00F34803">
      <w:pPr>
        <w:pStyle w:val="Prrafodelista"/>
        <w:ind w:left="644"/>
        <w:jc w:val="both"/>
        <w:rPr>
          <w:bCs/>
        </w:rPr>
      </w:pPr>
    </w:p>
    <w:p w:rsidR="00BB63C9" w:rsidRPr="005358B1" w:rsidRDefault="00BB63C9" w:rsidP="00BB63C9">
      <w:pPr>
        <w:pStyle w:val="Prrafodelista"/>
        <w:ind w:left="426"/>
        <w:jc w:val="both"/>
        <w:rPr>
          <w:bCs/>
        </w:rPr>
      </w:pPr>
      <w:r w:rsidRPr="005358B1">
        <w:rPr>
          <w:bCs/>
        </w:rPr>
        <w:t xml:space="preserve">Por lo que respecta a las resoluciones, </w:t>
      </w:r>
      <w:r>
        <w:rPr>
          <w:bCs/>
        </w:rPr>
        <w:t xml:space="preserve">se </w:t>
      </w:r>
      <w:r w:rsidRPr="005358B1">
        <w:rPr>
          <w:bCs/>
        </w:rPr>
        <w:t xml:space="preserve">emite resolución expresa para </w:t>
      </w:r>
      <w:r>
        <w:rPr>
          <w:bCs/>
        </w:rPr>
        <w:t>la totalidad</w:t>
      </w:r>
      <w:r w:rsidRPr="005358B1">
        <w:rPr>
          <w:bCs/>
        </w:rPr>
        <w:t xml:space="preserve"> de las solicitudes admitidas, concediendo el acceso total a la información solicitada en el </w:t>
      </w:r>
      <w:r>
        <w:rPr>
          <w:bCs/>
        </w:rPr>
        <w:t>70</w:t>
      </w:r>
      <w:r w:rsidRPr="005358B1">
        <w:rPr>
          <w:bCs/>
        </w:rPr>
        <w:t xml:space="preserve">% de los casos. Un </w:t>
      </w:r>
      <w:r>
        <w:rPr>
          <w:bCs/>
        </w:rPr>
        <w:t>4,35</w:t>
      </w:r>
      <w:r w:rsidRPr="005358B1">
        <w:rPr>
          <w:bCs/>
        </w:rPr>
        <w:t xml:space="preserve">% de las resoluciones deniega la información aplicando los límites del artículo 14.1 de la LTAIBG. </w:t>
      </w:r>
      <w:r>
        <w:rPr>
          <w:bCs/>
        </w:rPr>
        <w:t>Un 26% de las solicitudes finaliza por desistimiento u otras causas.</w:t>
      </w:r>
    </w:p>
    <w:p w:rsidR="00D74E79" w:rsidRDefault="00D74E79" w:rsidP="00F34803">
      <w:pPr>
        <w:pStyle w:val="Prrafodelista"/>
        <w:ind w:left="644"/>
        <w:jc w:val="both"/>
        <w:rPr>
          <w:bCs/>
        </w:rPr>
      </w:pPr>
    </w:p>
    <w:p w:rsidR="00AC715D" w:rsidRPr="00BB63C9" w:rsidRDefault="0038280F" w:rsidP="00BB63C9">
      <w:pPr>
        <w:ind w:left="426"/>
        <w:jc w:val="both"/>
        <w:rPr>
          <w:bCs/>
        </w:rPr>
      </w:pPr>
      <w:r w:rsidRPr="00BB63C9">
        <w:rPr>
          <w:bCs/>
        </w:rPr>
        <w:t>Correo</w:t>
      </w:r>
      <w:r w:rsidR="00AF6C5C" w:rsidRPr="00BB63C9">
        <w:rPr>
          <w:bCs/>
        </w:rPr>
        <w:t>s</w:t>
      </w:r>
      <w:r w:rsidRPr="00BB63C9">
        <w:rPr>
          <w:bCs/>
        </w:rPr>
        <w:t xml:space="preserve"> publica todas las resoluciones emitidas, incluidas las denegatorias por aplicación de los límites del artículo 14.3 de la LTAIBG. </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A915A2" w:rsidRDefault="00F34803" w:rsidP="00F34803">
      <w:pPr>
        <w:pStyle w:val="Prrafodelista"/>
        <w:ind w:left="644"/>
        <w:jc w:val="both"/>
      </w:pPr>
      <w:r>
        <w:t xml:space="preserve">Como se ha indicado, </w:t>
      </w:r>
      <w:r w:rsidR="007F4BBB">
        <w:t>C</w:t>
      </w:r>
      <w:r w:rsidR="0038280F">
        <w:t>orreos</w:t>
      </w:r>
      <w:r w:rsidR="007B1EF0">
        <w:t xml:space="preserve"> </w:t>
      </w:r>
      <w:r w:rsidR="00D74E79">
        <w:t>dispone de un</w:t>
      </w:r>
      <w:r>
        <w:t xml:space="preserve"> espacio </w:t>
      </w:r>
      <w:r w:rsidR="00D74E79">
        <w:t xml:space="preserve">en su </w:t>
      </w:r>
      <w:r w:rsidR="003A260E">
        <w:t>Portal de Transparencia</w:t>
      </w:r>
      <w:r w:rsidR="00D74E79">
        <w:t xml:space="preserve"> que </w:t>
      </w:r>
      <w:r w:rsidR="007B1EF0">
        <w:t>facilit</w:t>
      </w:r>
      <w:r w:rsidR="003A260E">
        <w:t>a</w:t>
      </w:r>
      <w:r w:rsidR="007B1EF0">
        <w:t xml:space="preserve"> el ejercicio del derech</w:t>
      </w:r>
      <w:r w:rsidR="003A260E">
        <w:t>o de acceso a la información de la</w:t>
      </w:r>
      <w:r w:rsidR="007B1EF0">
        <w:t xml:space="preserve"> </w:t>
      </w:r>
      <w:r w:rsidR="003A260E">
        <w:t>entidad</w:t>
      </w:r>
      <w:r w:rsidR="007B1EF0">
        <w:t xml:space="preserve"> </w:t>
      </w:r>
      <w:r w:rsidR="0038280F">
        <w:t>aunque no</w:t>
      </w:r>
      <w:r w:rsidR="007B1EF0">
        <w:t xml:space="preserve"> </w:t>
      </w:r>
      <w:r w:rsidR="007B1EF0">
        <w:lastRenderedPageBreak/>
        <w:t>inform</w:t>
      </w:r>
      <w:r w:rsidR="003A260E">
        <w:t>a</w:t>
      </w:r>
      <w:r w:rsidR="005A0354">
        <w:t xml:space="preserve"> </w:t>
      </w:r>
      <w:r>
        <w:t xml:space="preserve">sobre la posibilidad de que </w:t>
      </w:r>
      <w:r w:rsidR="00DF6C30">
        <w:t>la ciudadanía</w:t>
      </w:r>
      <w:r>
        <w:t xml:space="preserve"> efectúe solicitudes de </w:t>
      </w:r>
      <w:r w:rsidR="005A0354">
        <w:t xml:space="preserve">acceso a </w:t>
      </w:r>
      <w:r>
        <w:t xml:space="preserve">información pública dirigidas a la </w:t>
      </w:r>
      <w:r w:rsidR="005A0354">
        <w:t>entidad</w:t>
      </w:r>
      <w:r w:rsidR="003A260E">
        <w:t xml:space="preserve">. </w:t>
      </w:r>
      <w:r w:rsidR="0038280F">
        <w:t>También se indican</w:t>
      </w:r>
      <w:r w:rsidR="003A260E">
        <w:t xml:space="preserve"> </w:t>
      </w:r>
      <w:r w:rsidR="0063118A" w:rsidRPr="0063118A">
        <w:t xml:space="preserve">los medios </w:t>
      </w:r>
      <w:r w:rsidR="0038280F">
        <w:t xml:space="preserve">a través de los cuales pueden presentarse solicitudes de acceso pero no sobre los medios de </w:t>
      </w:r>
      <w:r w:rsidR="0063118A" w:rsidRPr="0063118A">
        <w:t>contacto establecidos por la Ley 39/2015 a través de los cuales los ciudadanos pueden relacionarse co</w:t>
      </w:r>
      <w:r w:rsidR="003A260E">
        <w:t>n las administraciones públicas</w:t>
      </w:r>
      <w:r w:rsidR="0038280F">
        <w:t>.</w:t>
      </w:r>
      <w:r w:rsidR="003A260E">
        <w:t xml:space="preserve"> </w:t>
      </w:r>
    </w:p>
    <w:p w:rsidR="0038280F" w:rsidRDefault="0038280F" w:rsidP="00F34803">
      <w:pPr>
        <w:pStyle w:val="Prrafodelista"/>
        <w:ind w:left="644"/>
        <w:jc w:val="both"/>
      </w:pPr>
    </w:p>
    <w:p w:rsidR="0038280F" w:rsidRDefault="0038280F" w:rsidP="00F34803">
      <w:pPr>
        <w:pStyle w:val="Prrafodelista"/>
        <w:ind w:left="644"/>
        <w:jc w:val="both"/>
      </w:pPr>
      <w:r>
        <w:t>Para la presentación de las solicitudes se exige acreditar la identidad acompañando una copia del documento de identidad o bien mediante firma electrónica si la solicitud se presenta por correo electrónico.</w:t>
      </w:r>
    </w:p>
    <w:p w:rsidR="00AF6C5C" w:rsidRDefault="00AF6C5C" w:rsidP="00F34803">
      <w:pPr>
        <w:pStyle w:val="Prrafodelista"/>
        <w:ind w:left="644"/>
        <w:jc w:val="both"/>
      </w:pPr>
    </w:p>
    <w:p w:rsidR="00AF6C5C" w:rsidRDefault="00AF6C5C" w:rsidP="00AF6C5C">
      <w:pPr>
        <w:pStyle w:val="Prrafodelista"/>
        <w:pBdr>
          <w:top w:val="single" w:sz="4" w:space="1" w:color="008000"/>
          <w:left w:val="single" w:sz="4" w:space="4" w:color="008000"/>
          <w:bottom w:val="single" w:sz="4" w:space="1" w:color="008000"/>
          <w:right w:val="single" w:sz="4" w:space="4" w:color="008000"/>
        </w:pBdr>
        <w:ind w:left="709"/>
        <w:jc w:val="both"/>
      </w:pPr>
      <w:r>
        <w:t>Como es sabido el artículo 28.2 de la Ley 39/2015 establece el derecho de los ciudadanos a no aportar información que esté en poder de la administración.</w:t>
      </w:r>
    </w:p>
    <w:p w:rsidR="00AF6C5C" w:rsidRDefault="00AF6C5C" w:rsidP="00AF6C5C">
      <w:pPr>
        <w:pStyle w:val="Prrafodelista"/>
        <w:pBdr>
          <w:top w:val="single" w:sz="4" w:space="1" w:color="008000"/>
          <w:left w:val="single" w:sz="4" w:space="4" w:color="008000"/>
          <w:bottom w:val="single" w:sz="4" w:space="1" w:color="008000"/>
          <w:right w:val="single" w:sz="4" w:space="4" w:color="008000"/>
        </w:pBdr>
        <w:ind w:left="709"/>
        <w:jc w:val="both"/>
      </w:pPr>
    </w:p>
    <w:p w:rsidR="00AF6C5C" w:rsidRDefault="00AF6C5C" w:rsidP="00AF6C5C">
      <w:pPr>
        <w:pStyle w:val="Prrafodelista"/>
        <w:pBdr>
          <w:top w:val="single" w:sz="4" w:space="1" w:color="008000"/>
          <w:left w:val="single" w:sz="4" w:space="4" w:color="008000"/>
          <w:bottom w:val="single" w:sz="4" w:space="1" w:color="008000"/>
          <w:right w:val="single" w:sz="4" w:space="4" w:color="008000"/>
        </w:pBdr>
        <w:ind w:left="709"/>
        <w:jc w:val="both"/>
      </w:pPr>
      <w:r>
        <w:t>Este es el caso de los documentos de identidad. Por esta razón, este Consejo recomienda que las instituciones que soliciten la acreditación de la identidad por esta vía, valoren, si fuese posible, recurrir a la Plataforma de Intermediación de Datos (PID) que da acceso a numerosos documentos que obran en poder de las administraciones públicas, entre ellos los documentos de identidad.</w:t>
      </w:r>
    </w:p>
    <w:p w:rsidR="00F900E1" w:rsidRDefault="00F900E1"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B31C4E" w:rsidRDefault="00F34803" w:rsidP="002E0A33">
      <w:pPr>
        <w:pStyle w:val="Prrafodelista"/>
        <w:ind w:left="426"/>
        <w:jc w:val="both"/>
      </w:pPr>
      <w:r>
        <w:t>La gestión de la solicitud de acceso presentada se ha ajustado al procedimiento establecido po</w:t>
      </w:r>
      <w:r w:rsidR="00A915A2">
        <w:t xml:space="preserve">r la LTAIBG. </w:t>
      </w:r>
      <w:r w:rsidR="002E0A33" w:rsidRPr="002E0A33">
        <w:t xml:space="preserve">La resolución emitida </w:t>
      </w:r>
      <w:r w:rsidR="003A260E">
        <w:rPr>
          <w:lang w:bidi="es-ES"/>
        </w:rPr>
        <w:t xml:space="preserve">el </w:t>
      </w:r>
      <w:r w:rsidR="00AF6C5C">
        <w:rPr>
          <w:lang w:bidi="es-ES"/>
        </w:rPr>
        <w:t xml:space="preserve">Secretario </w:t>
      </w:r>
      <w:r w:rsidR="003A260E">
        <w:rPr>
          <w:lang w:bidi="es-ES"/>
        </w:rPr>
        <w:t xml:space="preserve">General de </w:t>
      </w:r>
      <w:r w:rsidR="007F4BBB">
        <w:rPr>
          <w:lang w:bidi="es-ES"/>
        </w:rPr>
        <w:t>C</w:t>
      </w:r>
      <w:r w:rsidR="00AF6C5C">
        <w:rPr>
          <w:lang w:bidi="es-ES"/>
        </w:rPr>
        <w:t>orreos</w:t>
      </w:r>
      <w:r w:rsidR="003A260E" w:rsidRPr="002E0A33">
        <w:t xml:space="preserve"> </w:t>
      </w:r>
      <w:r w:rsidR="002E0A33" w:rsidRPr="002E0A33">
        <w:t>está motivada y correctamente estructurada, es clara y compr</w:t>
      </w:r>
      <w:r w:rsidR="0063118A">
        <w:t>ensible</w:t>
      </w:r>
      <w:r w:rsidR="00FC2FB9">
        <w:t xml:space="preserve"> e</w:t>
      </w:r>
      <w:r w:rsidR="0063118A">
        <w:t xml:space="preserve"> incluye pie de recurso.</w:t>
      </w:r>
      <w:r w:rsidR="00DF6C30">
        <w:t xml:space="preserve"> </w:t>
      </w:r>
    </w:p>
    <w:p w:rsidR="00D84B7B" w:rsidRDefault="0063118A" w:rsidP="00D84B7B">
      <w:pPr>
        <w:tabs>
          <w:tab w:val="left" w:pos="426"/>
        </w:tabs>
        <w:ind w:left="426"/>
        <w:contextualSpacing/>
        <w:jc w:val="both"/>
      </w:pPr>
      <w:r>
        <w:t>L</w:t>
      </w:r>
      <w:r w:rsidR="00D84B7B" w:rsidRPr="00D84B7B">
        <w:t xml:space="preserve">a información se proporciona </w:t>
      </w:r>
      <w:r w:rsidR="003A260E" w:rsidRPr="003A260E">
        <w:t>en el momento de la notificación</w:t>
      </w:r>
      <w:r w:rsidR="003A260E">
        <w:t xml:space="preserve"> </w:t>
      </w:r>
      <w:r w:rsidR="00AF6C5C">
        <w:t>aunque no en el formato solicitado</w:t>
      </w:r>
      <w:r w:rsidR="00B31C4E">
        <w:t>.</w:t>
      </w:r>
    </w:p>
    <w:p w:rsidR="00E541AF" w:rsidRDefault="00E541AF" w:rsidP="00D84B7B">
      <w:pPr>
        <w:tabs>
          <w:tab w:val="left" w:pos="426"/>
        </w:tabs>
        <w:ind w:left="426"/>
        <w:contextualSpacing/>
        <w:jc w:val="both"/>
      </w:pPr>
    </w:p>
    <w:p w:rsidR="00E541AF" w:rsidRDefault="00E541AF" w:rsidP="00E541AF">
      <w:pPr>
        <w:pStyle w:val="Prrafodelista"/>
        <w:pBdr>
          <w:top w:val="single" w:sz="4" w:space="1" w:color="00B050"/>
          <w:left w:val="single" w:sz="4" w:space="4" w:color="00B050"/>
          <w:bottom w:val="single" w:sz="4" w:space="1" w:color="00B050"/>
          <w:right w:val="single" w:sz="4" w:space="4" w:color="00B050"/>
        </w:pBdr>
        <w:ind w:left="644"/>
        <w:jc w:val="both"/>
      </w:pPr>
      <w:r>
        <w:t xml:space="preserve">En la medida de lo posible la información debería entregarse en el formato establecido por la persona solicitante. </w:t>
      </w:r>
    </w:p>
    <w:p w:rsidR="00E541AF" w:rsidRPr="00D84B7B" w:rsidRDefault="00E541AF" w:rsidP="00D84B7B">
      <w:pPr>
        <w:tabs>
          <w:tab w:val="left" w:pos="426"/>
        </w:tabs>
        <w:ind w:left="426"/>
        <w:contextualSpacing/>
        <w:jc w:val="both"/>
      </w:pPr>
    </w:p>
    <w:p w:rsidR="00B40246" w:rsidRDefault="00B40246" w:rsidP="00D84B7B">
      <w:pPr>
        <w:pStyle w:val="Prrafodelista"/>
        <w:ind w:left="644"/>
        <w:jc w:val="both"/>
      </w:pPr>
      <w:bookmarkStart w:id="0" w:name="_GoBack"/>
      <w:bookmarkEnd w:id="0"/>
    </w:p>
    <w:sectPr w:rsidR="00B40246" w:rsidSect="00DF63E7">
      <w:foot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C5C" w:rsidRDefault="00AF6C5C" w:rsidP="00932008">
      <w:pPr>
        <w:spacing w:after="0" w:line="240" w:lineRule="auto"/>
      </w:pPr>
      <w:r>
        <w:separator/>
      </w:r>
    </w:p>
  </w:endnote>
  <w:endnote w:type="continuationSeparator" w:id="0">
    <w:p w:rsidR="00AF6C5C" w:rsidRDefault="00AF6C5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AF6C5C" w:rsidRPr="00C533E7" w:rsidRDefault="00AF6C5C">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BB63C9">
          <w:rPr>
            <w:noProof/>
            <w:sz w:val="18"/>
            <w:szCs w:val="18"/>
          </w:rPr>
          <w:t>6</w:t>
        </w:r>
        <w:r w:rsidRPr="00C533E7">
          <w:rPr>
            <w:sz w:val="18"/>
            <w:szCs w:val="18"/>
          </w:rPr>
          <w:fldChar w:fldCharType="end"/>
        </w:r>
      </w:p>
    </w:sdtContent>
  </w:sdt>
  <w:p w:rsidR="00AF6C5C" w:rsidRDefault="00AF6C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C5C" w:rsidRDefault="00AF6C5C" w:rsidP="00932008">
      <w:pPr>
        <w:spacing w:after="0" w:line="240" w:lineRule="auto"/>
      </w:pPr>
      <w:r>
        <w:separator/>
      </w:r>
    </w:p>
  </w:footnote>
  <w:footnote w:type="continuationSeparator" w:id="0">
    <w:p w:rsidR="00AF6C5C" w:rsidRDefault="00AF6C5C"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5" type="#_x0000_t75" style="width:9pt;height:9pt" o:bullet="t">
        <v:imagedata r:id="rId1" o:title="BD14533_"/>
      </v:shape>
    </w:pict>
  </w:numPicBullet>
  <w:numPicBullet w:numPicBulletId="1">
    <w:pict>
      <v:shape id="_x0000_i1476" type="#_x0000_t75" style="width:9pt;height:9pt" o:bullet="t">
        <v:imagedata r:id="rId2"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1BB51E8"/>
    <w:multiLevelType w:val="hybridMultilevel"/>
    <w:tmpl w:val="0914B1B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66FD"/>
    <w:rsid w:val="00032FA6"/>
    <w:rsid w:val="00046805"/>
    <w:rsid w:val="00055B15"/>
    <w:rsid w:val="000965B3"/>
    <w:rsid w:val="000A1C07"/>
    <w:rsid w:val="000B0A0D"/>
    <w:rsid w:val="000B2A81"/>
    <w:rsid w:val="000C6CFF"/>
    <w:rsid w:val="00102733"/>
    <w:rsid w:val="001252EE"/>
    <w:rsid w:val="0012783F"/>
    <w:rsid w:val="001561A4"/>
    <w:rsid w:val="00176A94"/>
    <w:rsid w:val="00194000"/>
    <w:rsid w:val="001B3D6A"/>
    <w:rsid w:val="001C238B"/>
    <w:rsid w:val="001E1C29"/>
    <w:rsid w:val="001F251B"/>
    <w:rsid w:val="001F25E4"/>
    <w:rsid w:val="00241D7A"/>
    <w:rsid w:val="00255A7E"/>
    <w:rsid w:val="00256215"/>
    <w:rsid w:val="002615D8"/>
    <w:rsid w:val="0026281C"/>
    <w:rsid w:val="002A154B"/>
    <w:rsid w:val="002A479C"/>
    <w:rsid w:val="002E0A33"/>
    <w:rsid w:val="003145AD"/>
    <w:rsid w:val="00334115"/>
    <w:rsid w:val="00340559"/>
    <w:rsid w:val="00341F8F"/>
    <w:rsid w:val="0038280F"/>
    <w:rsid w:val="003A260E"/>
    <w:rsid w:val="003B5288"/>
    <w:rsid w:val="003F271E"/>
    <w:rsid w:val="003F572A"/>
    <w:rsid w:val="00411640"/>
    <w:rsid w:val="00447511"/>
    <w:rsid w:val="004537FB"/>
    <w:rsid w:val="004A123A"/>
    <w:rsid w:val="004A133A"/>
    <w:rsid w:val="004A706B"/>
    <w:rsid w:val="004B4DC3"/>
    <w:rsid w:val="004D6E73"/>
    <w:rsid w:val="004F2655"/>
    <w:rsid w:val="00531D64"/>
    <w:rsid w:val="005446A8"/>
    <w:rsid w:val="00561402"/>
    <w:rsid w:val="0057532F"/>
    <w:rsid w:val="00577A83"/>
    <w:rsid w:val="00595AAF"/>
    <w:rsid w:val="005A0354"/>
    <w:rsid w:val="005A2AD2"/>
    <w:rsid w:val="005B1F0E"/>
    <w:rsid w:val="005B3C15"/>
    <w:rsid w:val="005E37C8"/>
    <w:rsid w:val="00610D8A"/>
    <w:rsid w:val="00626819"/>
    <w:rsid w:val="0063118A"/>
    <w:rsid w:val="00654162"/>
    <w:rsid w:val="006A2766"/>
    <w:rsid w:val="006A2E9A"/>
    <w:rsid w:val="00706E04"/>
    <w:rsid w:val="00707CFE"/>
    <w:rsid w:val="00710031"/>
    <w:rsid w:val="00727BA2"/>
    <w:rsid w:val="00741849"/>
    <w:rsid w:val="00743756"/>
    <w:rsid w:val="007932E6"/>
    <w:rsid w:val="007B0F99"/>
    <w:rsid w:val="007B1EF0"/>
    <w:rsid w:val="007C57AB"/>
    <w:rsid w:val="007C5F74"/>
    <w:rsid w:val="007D6B40"/>
    <w:rsid w:val="007F4BBB"/>
    <w:rsid w:val="00815659"/>
    <w:rsid w:val="008207D9"/>
    <w:rsid w:val="00832D4F"/>
    <w:rsid w:val="00833900"/>
    <w:rsid w:val="00844FA9"/>
    <w:rsid w:val="008C1E1E"/>
    <w:rsid w:val="00904E47"/>
    <w:rsid w:val="00923092"/>
    <w:rsid w:val="009239D9"/>
    <w:rsid w:val="00930638"/>
    <w:rsid w:val="00932008"/>
    <w:rsid w:val="009609E9"/>
    <w:rsid w:val="0096522C"/>
    <w:rsid w:val="00983919"/>
    <w:rsid w:val="009913A5"/>
    <w:rsid w:val="00A41DD5"/>
    <w:rsid w:val="00A544D3"/>
    <w:rsid w:val="00A8003E"/>
    <w:rsid w:val="00A915A2"/>
    <w:rsid w:val="00AB4742"/>
    <w:rsid w:val="00AC109E"/>
    <w:rsid w:val="00AC715D"/>
    <w:rsid w:val="00AC7259"/>
    <w:rsid w:val="00AD1B67"/>
    <w:rsid w:val="00AD1DBF"/>
    <w:rsid w:val="00AE1CBE"/>
    <w:rsid w:val="00AE788F"/>
    <w:rsid w:val="00AF6C5C"/>
    <w:rsid w:val="00B108F0"/>
    <w:rsid w:val="00B31C4E"/>
    <w:rsid w:val="00B378E2"/>
    <w:rsid w:val="00B40246"/>
    <w:rsid w:val="00B5583D"/>
    <w:rsid w:val="00B812AB"/>
    <w:rsid w:val="00B841AE"/>
    <w:rsid w:val="00B84669"/>
    <w:rsid w:val="00BA266E"/>
    <w:rsid w:val="00BB63C9"/>
    <w:rsid w:val="00BB6799"/>
    <w:rsid w:val="00BD41F9"/>
    <w:rsid w:val="00BD4582"/>
    <w:rsid w:val="00BE6A46"/>
    <w:rsid w:val="00BF5EDE"/>
    <w:rsid w:val="00C02768"/>
    <w:rsid w:val="00C25AF5"/>
    <w:rsid w:val="00C33A23"/>
    <w:rsid w:val="00C34BB5"/>
    <w:rsid w:val="00C4479B"/>
    <w:rsid w:val="00C533E7"/>
    <w:rsid w:val="00C5744D"/>
    <w:rsid w:val="00C627FB"/>
    <w:rsid w:val="00CB5511"/>
    <w:rsid w:val="00CB7518"/>
    <w:rsid w:val="00CC2049"/>
    <w:rsid w:val="00CC587B"/>
    <w:rsid w:val="00CC610D"/>
    <w:rsid w:val="00CD0605"/>
    <w:rsid w:val="00D41FBA"/>
    <w:rsid w:val="00D445A7"/>
    <w:rsid w:val="00D52E43"/>
    <w:rsid w:val="00D74E79"/>
    <w:rsid w:val="00D84B7B"/>
    <w:rsid w:val="00D93A14"/>
    <w:rsid w:val="00D96F84"/>
    <w:rsid w:val="00DA4FE5"/>
    <w:rsid w:val="00DB76AF"/>
    <w:rsid w:val="00DC0848"/>
    <w:rsid w:val="00DD3E02"/>
    <w:rsid w:val="00DE4AA9"/>
    <w:rsid w:val="00DF2ACE"/>
    <w:rsid w:val="00DF4D57"/>
    <w:rsid w:val="00DF63E7"/>
    <w:rsid w:val="00DF6C30"/>
    <w:rsid w:val="00E3088D"/>
    <w:rsid w:val="00E34195"/>
    <w:rsid w:val="00E4702F"/>
    <w:rsid w:val="00E47613"/>
    <w:rsid w:val="00E541AF"/>
    <w:rsid w:val="00E569FD"/>
    <w:rsid w:val="00E57E17"/>
    <w:rsid w:val="00ED3EAD"/>
    <w:rsid w:val="00EE5BDF"/>
    <w:rsid w:val="00F14DA4"/>
    <w:rsid w:val="00F34803"/>
    <w:rsid w:val="00F47C3B"/>
    <w:rsid w:val="00F50AE2"/>
    <w:rsid w:val="00F71D7D"/>
    <w:rsid w:val="00F7263F"/>
    <w:rsid w:val="00F76499"/>
    <w:rsid w:val="00F900E1"/>
    <w:rsid w:val="00F95C49"/>
    <w:rsid w:val="00FC2FB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0"/>
          <c:spPr>
            <a:solidFill>
              <a:srgbClr val="00B050"/>
            </a:solidFill>
          </c:spPr>
          <c:invertIfNegative val="0"/>
          <c:dLbls>
            <c:showLegendKey val="0"/>
            <c:showVal val="1"/>
            <c:showCatName val="0"/>
            <c:showSerName val="0"/>
            <c:showPercent val="0"/>
            <c:showBubbleSize val="0"/>
            <c:showLeaderLines val="0"/>
          </c:dLbls>
          <c:cat>
            <c:strRef>
              <c:f>Correos!$E$2:$L$2</c:f>
              <c:strCache>
                <c:ptCount val="8"/>
                <c:pt idx="0">
                  <c:v> información en curso de elaboración o de publicación general</c:v>
                </c:pt>
                <c:pt idx="1">
                  <c:v> información auxiliar o de apoyo</c:v>
                </c:pt>
                <c:pt idx="2">
                  <c:v> acción previa de reelaboración</c:v>
                </c:pt>
                <c:pt idx="3">
                  <c:v> órgano no competente y desconocimiento del competente</c:v>
                </c:pt>
                <c:pt idx="4">
                  <c:v> solicitud repetitiva o abusiva</c:v>
                </c:pt>
                <c:pt idx="5">
                  <c:v> solicitudes de información de interesados en un procedimiento administrativo en curso sobre documentos que se integren en el mismo</c:v>
                </c:pt>
                <c:pt idx="6">
                  <c:v> solicitudes de información con un régimen específico de acceso a la información.</c:v>
                </c:pt>
                <c:pt idx="7">
                  <c:v> Otras causas.</c:v>
                </c:pt>
              </c:strCache>
            </c:strRef>
          </c:cat>
          <c:val>
            <c:numRef>
              <c:f>Correos!$E$4:$L$4</c:f>
              <c:numCache>
                <c:formatCode>0.0%</c:formatCode>
                <c:ptCount val="8"/>
                <c:pt idx="0">
                  <c:v>0</c:v>
                </c:pt>
                <c:pt idx="1">
                  <c:v>0</c:v>
                </c:pt>
                <c:pt idx="2">
                  <c:v>0</c:v>
                </c:pt>
                <c:pt idx="3">
                  <c:v>0</c:v>
                </c:pt>
                <c:pt idx="4">
                  <c:v>0.91379310344827591</c:v>
                </c:pt>
                <c:pt idx="5">
                  <c:v>0</c:v>
                </c:pt>
                <c:pt idx="6">
                  <c:v>3.4482758620689655E-2</c:v>
                </c:pt>
                <c:pt idx="7">
                  <c:v>5.1724137931034482E-2</c:v>
                </c:pt>
              </c:numCache>
            </c:numRef>
          </c:val>
        </c:ser>
        <c:dLbls>
          <c:showLegendKey val="0"/>
          <c:showVal val="0"/>
          <c:showCatName val="0"/>
          <c:showSerName val="0"/>
          <c:showPercent val="0"/>
          <c:showBubbleSize val="0"/>
        </c:dLbls>
        <c:gapWidth val="150"/>
        <c:axId val="140428032"/>
        <c:axId val="140665600"/>
      </c:barChart>
      <c:catAx>
        <c:axId val="140428032"/>
        <c:scaling>
          <c:orientation val="minMax"/>
        </c:scaling>
        <c:delete val="0"/>
        <c:axPos val="l"/>
        <c:majorTickMark val="out"/>
        <c:minorTickMark val="none"/>
        <c:tickLblPos val="nextTo"/>
        <c:crossAx val="140665600"/>
        <c:crosses val="autoZero"/>
        <c:auto val="1"/>
        <c:lblAlgn val="ctr"/>
        <c:lblOffset val="1000"/>
        <c:noMultiLvlLbl val="0"/>
      </c:catAx>
      <c:valAx>
        <c:axId val="140665600"/>
        <c:scaling>
          <c:orientation val="minMax"/>
          <c:max val="1"/>
        </c:scaling>
        <c:delete val="0"/>
        <c:axPos val="b"/>
        <c:numFmt formatCode="0%" sourceLinked="0"/>
        <c:majorTickMark val="out"/>
        <c:minorTickMark val="none"/>
        <c:tickLblPos val="nextTo"/>
        <c:crossAx val="140428032"/>
        <c:crosses val="autoZero"/>
        <c:crossBetween val="between"/>
        <c:majorUnit val="0.2"/>
      </c:valAx>
    </c:plotArea>
    <c:plotVisOnly val="1"/>
    <c:dispBlanksAs val="gap"/>
    <c:showDLblsOverMax val="0"/>
  </c:chart>
  <c:txPr>
    <a:bodyPr/>
    <a:lstStyle/>
    <a:p>
      <a:pPr>
        <a:defRPr sz="800"/>
      </a:pPr>
      <a:endParaRPr lang="es-E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74CEE"/>
    <w:rsid w:val="002A5B0E"/>
    <w:rsid w:val="002A69E7"/>
    <w:rsid w:val="002C1748"/>
    <w:rsid w:val="002C7AFA"/>
    <w:rsid w:val="003D088C"/>
    <w:rsid w:val="00543A52"/>
    <w:rsid w:val="00546DCA"/>
    <w:rsid w:val="006D7969"/>
    <w:rsid w:val="0087096B"/>
    <w:rsid w:val="00A80EAD"/>
    <w:rsid w:val="00AB1850"/>
    <w:rsid w:val="00AB757F"/>
    <w:rsid w:val="00C20906"/>
    <w:rsid w:val="00C26568"/>
    <w:rsid w:val="00C60DC9"/>
    <w:rsid w:val="00D35513"/>
    <w:rsid w:val="00DC5AD7"/>
    <w:rsid w:val="00E147F2"/>
    <w:rsid w:val="00E16D50"/>
    <w:rsid w:val="00E30568"/>
    <w:rsid w:val="00E5085E"/>
    <w:rsid w:val="00E83D79"/>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1C155CC-AF20-4E22-A8E4-C82314D6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62</TotalTime>
  <Pages>6</Pages>
  <Words>1607</Words>
  <Characters>8839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6</cp:revision>
  <cp:lastPrinted>2007-10-26T10:03:00Z</cp:lastPrinted>
  <dcterms:created xsi:type="dcterms:W3CDTF">2021-07-14T09:51:00Z</dcterms:created>
  <dcterms:modified xsi:type="dcterms:W3CDTF">2021-08-20T09:41:00Z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