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D20D5F" w:rsidRDefault="00D20D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20D5F" w:rsidRPr="00006957" w:rsidRDefault="00D20D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73F10" w:rsidRDefault="00C73F1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73F10" w:rsidRPr="00006957" w:rsidRDefault="00C73F1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0D5F" w:rsidRDefault="00D20D5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73F10" w:rsidRDefault="00C73F1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4D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proofErr w:type="spellStart"/>
            <w:r w:rsidR="004D78A4">
              <w:rPr>
                <w:sz w:val="24"/>
                <w:szCs w:val="24"/>
              </w:rPr>
              <w:t>Valenciaport</w:t>
            </w:r>
            <w:proofErr w:type="spellEnd"/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D78A4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1CBE">
              <w:rPr>
                <w:sz w:val="24"/>
                <w:szCs w:val="24"/>
              </w:rPr>
              <w:t>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D20D5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5A04E3">
        <w:rPr>
          <w:bCs/>
          <w:color w:val="auto"/>
          <w:szCs w:val="22"/>
        </w:rPr>
        <w:t xml:space="preserve">La gestión de las solicitudes de acceso se efectúa por la </w:t>
      </w:r>
      <w:r w:rsidR="005A04E3">
        <w:rPr>
          <w:bCs/>
          <w:color w:val="auto"/>
          <w:szCs w:val="22"/>
        </w:rPr>
        <w:t>Oficina de Gestión</w:t>
      </w:r>
      <w:r w:rsidRPr="005A04E3">
        <w:rPr>
          <w:bCs/>
          <w:color w:val="auto"/>
          <w:szCs w:val="22"/>
        </w:rPr>
        <w:t xml:space="preserve">, que cuenta con </w:t>
      </w:r>
      <w:r w:rsidR="005A04E3">
        <w:rPr>
          <w:bCs/>
          <w:color w:val="auto"/>
          <w:szCs w:val="22"/>
        </w:rPr>
        <w:t>una persona</w:t>
      </w:r>
      <w:r w:rsidRPr="005A04E3">
        <w:rPr>
          <w:bCs/>
          <w:color w:val="auto"/>
          <w:szCs w:val="22"/>
        </w:rPr>
        <w:t xml:space="preserve"> para abordar esta actividad. </w:t>
      </w:r>
      <w:r w:rsidR="005A04E3">
        <w:rPr>
          <w:bCs/>
          <w:color w:val="auto"/>
          <w:szCs w:val="22"/>
        </w:rPr>
        <w:t>Esta persona no</w:t>
      </w:r>
      <w:r w:rsidRPr="005A04E3">
        <w:rPr>
          <w:bCs/>
          <w:color w:val="auto"/>
          <w:szCs w:val="22"/>
        </w:rPr>
        <w:t xml:space="preserve"> se dedica exclusivamente</w:t>
      </w:r>
      <w:r w:rsidR="00531D64" w:rsidRPr="005A04E3">
        <w:rPr>
          <w:bCs/>
          <w:color w:val="auto"/>
          <w:szCs w:val="22"/>
        </w:rPr>
        <w:t xml:space="preserve"> </w:t>
      </w:r>
      <w:r w:rsidRPr="005A04E3">
        <w:rPr>
          <w:bCs/>
          <w:color w:val="auto"/>
          <w:szCs w:val="22"/>
        </w:rPr>
        <w:t>a la gestión de las solicitudes</w:t>
      </w:r>
      <w:r w:rsidR="00626819" w:rsidRPr="005A04E3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20D5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5A04E3" w:rsidRDefault="005A04E3" w:rsidP="0012783F">
      <w:pPr>
        <w:pStyle w:val="Cuerpodelboletn"/>
        <w:spacing w:before="120" w:after="120" w:line="312" w:lineRule="auto"/>
        <w:ind w:left="360"/>
        <w:rPr>
          <w:color w:val="auto"/>
          <w:szCs w:val="22"/>
        </w:rPr>
      </w:pPr>
      <w:r w:rsidRPr="005A04E3">
        <w:rPr>
          <w:color w:val="auto"/>
          <w:szCs w:val="22"/>
        </w:rPr>
        <w:t xml:space="preserve">La Fundación no recibió solicitudes de </w:t>
      </w:r>
      <w:r>
        <w:rPr>
          <w:color w:val="auto"/>
          <w:szCs w:val="22"/>
        </w:rPr>
        <w:t>acceso a información pública en 2020.</w:t>
      </w:r>
    </w:p>
    <w:p w:rsidR="009239D9" w:rsidRDefault="009239D9" w:rsidP="00B812AB"/>
    <w:p w:rsidR="00B812AB" w:rsidRPr="00E34195" w:rsidRDefault="00D20D5F" w:rsidP="00D20D5F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0104DF" w:rsidRPr="000104DF" w:rsidRDefault="00B378E2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</w:t>
      </w:r>
      <w:r w:rsidR="005A04E3">
        <w:rPr>
          <w:rStyle w:val="Ttulo2Car"/>
          <w:b w:val="0"/>
          <w:color w:val="auto"/>
          <w:sz w:val="22"/>
          <w:szCs w:val="22"/>
          <w:lang w:bidi="es-ES"/>
        </w:rPr>
        <w:t xml:space="preserve">la Fundación </w:t>
      </w:r>
      <w:r w:rsidR="004D78A4">
        <w:rPr>
          <w:rStyle w:val="Ttulo2Car"/>
          <w:b w:val="0"/>
          <w:color w:val="auto"/>
          <w:sz w:val="22"/>
          <w:szCs w:val="22"/>
          <w:lang w:bidi="es-ES"/>
        </w:rPr>
        <w:t>VALENCIAPORT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D78A4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 xml:space="preserve">específico para que los ciudadanos puedan presentar sus solicitudes de acceso a información pública de la entidad. En consecuencia no se informa del derecho que asiste a los ciudadanos a efectuar estas solicitudes al amparo de la LTAIBG.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>Si existe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apartado “Contacto” en el que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>se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facilita un formulario web, además de su dirección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>postal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 aunque parece estar destinado a todo tipo de solicitudes </w:t>
      </w:r>
      <w:r w:rsidR="005A04E3">
        <w:rPr>
          <w:rStyle w:val="Ttulo2Car"/>
          <w:b w:val="0"/>
          <w:color w:val="auto"/>
          <w:sz w:val="22"/>
          <w:szCs w:val="22"/>
          <w:lang w:bidi="es-ES"/>
        </w:rPr>
        <w:t xml:space="preserve">dirigidas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>a la entidad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También al final de la página home </w:t>
      </w:r>
      <w:r w:rsidR="00C73F10" w:rsidRPr="00C73F10">
        <w:rPr>
          <w:rStyle w:val="Ttulo2Car"/>
          <w:b w:val="0"/>
          <w:color w:val="auto"/>
          <w:sz w:val="22"/>
          <w:szCs w:val="22"/>
          <w:lang w:bidi="es-ES"/>
        </w:rPr>
        <w:t>se ofrece una dirección de correo electrónico de contacto: info@fundacion.valenciaport.com</w:t>
      </w:r>
    </w:p>
    <w:p w:rsidR="00B378E2" w:rsidRPr="00B378E2" w:rsidRDefault="000104DF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ninguno de estos espacios se informa sobre el derecho de los ciudadanos a solicitar información pública al amparo de la LTAIBG.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>de Transportes, Movilidad y Agenda Urbana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de la </w:t>
      </w:r>
      <w:r w:rsidR="005A04E3">
        <w:rPr>
          <w:rStyle w:val="Ttulo2Car"/>
          <w:b w:val="0"/>
          <w:color w:val="auto"/>
          <w:sz w:val="22"/>
          <w:szCs w:val="22"/>
          <w:lang w:bidi="es-ES"/>
        </w:rPr>
        <w:t>Fundación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sobre los canales a través de los cuales puede solicitarse la información ni tampoco sobre los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restantes </w:t>
      </w:r>
      <w:r>
        <w:rPr>
          <w:rStyle w:val="Ttulo2Car"/>
          <w:b w:val="0"/>
          <w:color w:val="auto"/>
          <w:sz w:val="22"/>
          <w:szCs w:val="22"/>
          <w:lang w:bidi="es-ES"/>
        </w:rPr>
        <w:t>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de información a través de la web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no se exige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más requisito que </w:t>
      </w: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identificación, un email de contacto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el motivo de contacto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 y la aceptación de la política de privacidad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20D5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C73F10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</w:t>
      </w:r>
      <w:r w:rsidR="005A04E3">
        <w:rPr>
          <w:color w:val="auto"/>
          <w:lang w:bidi="es-ES"/>
        </w:rPr>
        <w:t xml:space="preserve">Fundación </w:t>
      </w:r>
      <w:r w:rsidR="004D78A4">
        <w:rPr>
          <w:color w:val="auto"/>
          <w:lang w:bidi="es-ES"/>
        </w:rPr>
        <w:t>VALENCIAPORT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C73F10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C73F10" w:rsidRDefault="00C73F10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La solicitud se remite desde el Organismo Público Puertos del Estado – receptor inicial</w:t>
      </w:r>
      <w:r w:rsidR="00E364B9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– a la Autoridad Portuaria de Valencia y por ésta a </w:t>
      </w:r>
      <w:proofErr w:type="spellStart"/>
      <w:r>
        <w:rPr>
          <w:color w:val="auto"/>
          <w:lang w:bidi="es-ES"/>
        </w:rPr>
        <w:t>Valenciaport</w:t>
      </w:r>
      <w:proofErr w:type="spellEnd"/>
      <w:r>
        <w:rPr>
          <w:color w:val="auto"/>
          <w:lang w:bidi="es-ES"/>
        </w:rPr>
        <w:t>.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C73F10">
        <w:rPr>
          <w:color w:val="auto"/>
          <w:lang w:bidi="es-ES"/>
        </w:rPr>
        <w:t>26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5A04E3">
        <w:rPr>
          <w:color w:val="auto"/>
          <w:lang w:bidi="es-ES"/>
        </w:rPr>
        <w:t xml:space="preserve">Presidente </w:t>
      </w:r>
      <w:r w:rsidR="00C73F10">
        <w:rPr>
          <w:color w:val="auto"/>
          <w:lang w:bidi="es-ES"/>
        </w:rPr>
        <w:t xml:space="preserve">de </w:t>
      </w:r>
      <w:r w:rsidR="005A04E3">
        <w:rPr>
          <w:color w:val="auto"/>
          <w:lang w:bidi="es-ES"/>
        </w:rPr>
        <w:t>la Fundación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20D5F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</w:t>
      </w:r>
      <w:r w:rsidR="005A04E3">
        <w:rPr>
          <w:color w:val="auto"/>
        </w:rPr>
        <w:t xml:space="preserve">Fundación </w:t>
      </w:r>
      <w:r w:rsidR="004D78A4">
        <w:rPr>
          <w:color w:val="auto"/>
        </w:rPr>
        <w:t>VALENCIAPORT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D20D5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0D76F4" w:rsidRDefault="000D76F4" w:rsidP="000D76F4">
      <w:pPr>
        <w:ind w:left="426"/>
        <w:jc w:val="both"/>
      </w:pPr>
      <w:r w:rsidRPr="00DC0848">
        <w:t xml:space="preserve">La gestión de las solicitudes de acceso a la información pública por parte </w:t>
      </w:r>
      <w:r>
        <w:t xml:space="preserve">de la </w:t>
      </w:r>
      <w:r w:rsidR="005A04E3">
        <w:t>Fundación</w:t>
      </w:r>
      <w:r w:rsidRPr="000D76F4">
        <w:t xml:space="preserve"> </w:t>
      </w:r>
      <w:r w:rsidRPr="00DC0848">
        <w:t>presenta algunas buenas prácticas que serían aplicables po</w:t>
      </w:r>
      <w:r>
        <w:t xml:space="preserve">r otras organizaciones públicas.  </w:t>
      </w:r>
      <w:r w:rsidRPr="00DC0848">
        <w:t xml:space="preserve"> Así cabe destacar:</w:t>
      </w:r>
    </w:p>
    <w:p w:rsidR="000D76F4" w:rsidRDefault="000D76F4" w:rsidP="000D76F4">
      <w:pPr>
        <w:pStyle w:val="Prrafodelista"/>
        <w:numPr>
          <w:ilvl w:val="0"/>
          <w:numId w:val="5"/>
        </w:numPr>
      </w:pPr>
      <w:r>
        <w:t xml:space="preserve">La disponibilidad de un formulario web para la </w:t>
      </w:r>
      <w:r w:rsidR="00C73F10">
        <w:t>presentación de las solicitudes, aunque dicho formulario se utilice para todo tipo de solicitudes a la entidad</w:t>
      </w:r>
    </w:p>
    <w:p w:rsidR="00FB01A0" w:rsidRDefault="00FB01A0" w:rsidP="000D76F4">
      <w:pPr>
        <w:pStyle w:val="Prrafodelista"/>
        <w:numPr>
          <w:ilvl w:val="0"/>
          <w:numId w:val="5"/>
        </w:numPr>
      </w:pPr>
      <w:r>
        <w:t>No se exige la acreditación de la identidad</w:t>
      </w:r>
    </w:p>
    <w:p w:rsidR="00256215" w:rsidRDefault="00D20D5F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5A04E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la Fundación no recibió en 2020 ninguna solicitud de acceso a información pública de la entidad.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5A04E3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Fundación </w:t>
      </w:r>
      <w:r w:rsidR="004D78A4">
        <w:rPr>
          <w:bCs/>
        </w:rPr>
        <w:t>VALENCIAPORT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A97E83">
        <w:t>l</w:t>
      </w:r>
      <w:r w:rsidR="007B1EF0">
        <w:t xml:space="preserve">a </w:t>
      </w:r>
      <w:r w:rsidR="005A04E3">
        <w:t>Fundación</w:t>
      </w:r>
      <w:r w:rsidR="007B1EF0">
        <w:t xml:space="preserve"> </w:t>
      </w:r>
      <w:r w:rsidR="00C73F10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</w:t>
      </w:r>
      <w:r w:rsidR="00D20D5F">
        <w:t>e</w:t>
      </w:r>
      <w:r w:rsidR="007B1EF0">
        <w:t xml:space="preserve"> el ejercicio del derecho de acces</w:t>
      </w:r>
      <w:r w:rsidR="000D76F4">
        <w:t xml:space="preserve">o a la información del organismo. </w:t>
      </w:r>
      <w:r w:rsidR="00C73F10">
        <w:t>En consecuencia</w:t>
      </w:r>
      <w:r w:rsidR="000D76F4">
        <w:t xml:space="preserve"> no se informa sobre la posibilidad de presentar solicitudes de acceso ni se indican otros  posibles medios a través de los cuales se pueden presentar esta tipo de solicitudes, diferentes de la web de la institución.</w:t>
      </w:r>
      <w:r>
        <w:t xml:space="preserve"> </w:t>
      </w:r>
    </w:p>
    <w:p w:rsidR="000D76F4" w:rsidRDefault="000D76F4" w:rsidP="00F34803">
      <w:pPr>
        <w:pStyle w:val="Prrafodelista"/>
        <w:ind w:left="644"/>
        <w:jc w:val="both"/>
      </w:pP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</w:t>
      </w:r>
      <w:r>
        <w:t>apa</w:t>
      </w:r>
      <w:r w:rsidRPr="00C627FB">
        <w:t xml:space="preserve">rtado específico 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 la FICG</w:t>
      </w:r>
      <w:r w:rsidRPr="00C627FB">
        <w:t xml:space="preserve">. </w:t>
      </w: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73F10" w:rsidRPr="00C627FB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mismo espacio podría utilizarse para la publicación de las resoluciones denegatorias por </w:t>
      </w:r>
      <w:r>
        <w:t>apl</w:t>
      </w:r>
      <w:r w:rsidRPr="00C627FB">
        <w:t>icación de los límites del artículo14 de la LTAIBG.</w:t>
      </w:r>
    </w:p>
    <w:p w:rsidR="00C73F10" w:rsidRDefault="00C73F10" w:rsidP="00F34803">
      <w:pPr>
        <w:pStyle w:val="Prrafodelista"/>
        <w:ind w:left="644"/>
        <w:jc w:val="both"/>
      </w:pPr>
    </w:p>
    <w:p w:rsidR="007B1EF0" w:rsidRDefault="000D76F4" w:rsidP="00F34803">
      <w:pPr>
        <w:pStyle w:val="Prrafodelista"/>
        <w:ind w:left="644"/>
        <w:jc w:val="both"/>
      </w:pPr>
      <w:r>
        <w:t xml:space="preserve">La presentación de solicitudes a través de la web de la </w:t>
      </w:r>
      <w:r w:rsidR="004D78A4">
        <w:t>VALENCIAPORT</w:t>
      </w:r>
      <w:r>
        <w:t xml:space="preserve"> no requiere más información que la relativa a la identificación y un email de contacto, lo que contribuye a facilitar el ejercicio del derecho.</w:t>
      </w:r>
    </w:p>
    <w:p w:rsidR="000D76F4" w:rsidRDefault="000D76F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A87315">
        <w:t xml:space="preserve">la </w:t>
      </w:r>
      <w:r w:rsidR="005A04E3">
        <w:t>Presidencia de la Fundación</w:t>
      </w:r>
      <w:r w:rsidR="000D76F4">
        <w:t xml:space="preserve"> </w:t>
      </w:r>
      <w:r w:rsidR="002E0A33" w:rsidRPr="002E0A33">
        <w:t>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5F" w:rsidRDefault="00D20D5F" w:rsidP="00932008">
      <w:pPr>
        <w:spacing w:after="0" w:line="240" w:lineRule="auto"/>
      </w:pPr>
      <w:r>
        <w:separator/>
      </w:r>
    </w:p>
  </w:endnote>
  <w:endnote w:type="continuationSeparator" w:id="0">
    <w:p w:rsidR="00D20D5F" w:rsidRDefault="00D20D5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20D5F" w:rsidRPr="00C533E7" w:rsidRDefault="00D20D5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5A04E3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D20D5F" w:rsidRDefault="00D20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5F" w:rsidRDefault="00D20D5F" w:rsidP="00932008">
      <w:pPr>
        <w:spacing w:after="0" w:line="240" w:lineRule="auto"/>
      </w:pPr>
      <w:r>
        <w:separator/>
      </w:r>
    </w:p>
  </w:footnote>
  <w:footnote w:type="continuationSeparator" w:id="0">
    <w:p w:rsidR="00D20D5F" w:rsidRDefault="00D20D5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D78A4"/>
    <w:rsid w:val="004F2655"/>
    <w:rsid w:val="005266C9"/>
    <w:rsid w:val="00531D64"/>
    <w:rsid w:val="005446A8"/>
    <w:rsid w:val="00561402"/>
    <w:rsid w:val="0057532F"/>
    <w:rsid w:val="00595AAF"/>
    <w:rsid w:val="005A0354"/>
    <w:rsid w:val="005A04E3"/>
    <w:rsid w:val="005B1F0E"/>
    <w:rsid w:val="005B3C15"/>
    <w:rsid w:val="005E37C8"/>
    <w:rsid w:val="00626819"/>
    <w:rsid w:val="00654162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45580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1BA6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73F10"/>
    <w:rsid w:val="00CB5511"/>
    <w:rsid w:val="00CB7518"/>
    <w:rsid w:val="00CC2049"/>
    <w:rsid w:val="00CC587B"/>
    <w:rsid w:val="00CC610D"/>
    <w:rsid w:val="00CD0605"/>
    <w:rsid w:val="00D20D5F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364B9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61316"/>
    <w:rsid w:val="00F71D7D"/>
    <w:rsid w:val="00F7263F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770AA9"/>
    <w:rsid w:val="0087096B"/>
    <w:rsid w:val="00A80EAD"/>
    <w:rsid w:val="00AB1850"/>
    <w:rsid w:val="00C26568"/>
    <w:rsid w:val="00C60DC9"/>
    <w:rsid w:val="00C72F96"/>
    <w:rsid w:val="00D35513"/>
    <w:rsid w:val="00E147F2"/>
    <w:rsid w:val="00E16D50"/>
    <w:rsid w:val="00E30568"/>
    <w:rsid w:val="00E5085E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19A25-4AC2-4153-8404-3787C084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90</TotalTime>
  <Pages>4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2021-06-07T09:11:00Z</dcterms:created>
  <dcterms:modified xsi:type="dcterms:W3CDTF">2021-08-24T09:59:00Z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