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D2277D" w:rsidRDefault="00D2277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2277D" w:rsidRPr="00006957" w:rsidRDefault="00D2277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0B57AA" w:rsidRDefault="000B57A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0B57AA" w:rsidRPr="00006957" w:rsidRDefault="000B57A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77D" w:rsidRDefault="00D2277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B57AA" w:rsidRDefault="000B57A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C5F92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SEPI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4642F" w:rsidP="002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F92">
              <w:rPr>
                <w:sz w:val="24"/>
                <w:szCs w:val="24"/>
              </w:rPr>
              <w:t>3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151FE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151FEA">
        <w:rPr>
          <w:bCs/>
          <w:color w:val="auto"/>
          <w:szCs w:val="22"/>
        </w:rPr>
        <w:t>La gestión de las solicitudes de acceso se efectúa por la</w:t>
      </w:r>
      <w:r w:rsidR="00151FEA">
        <w:rPr>
          <w:bCs/>
          <w:color w:val="auto"/>
          <w:szCs w:val="22"/>
        </w:rPr>
        <w:t xml:space="preserve"> Dirección Adjunta a la Dirección de Asesoría Jurídica </w:t>
      </w:r>
      <w:r w:rsidRPr="00151FEA">
        <w:rPr>
          <w:bCs/>
          <w:color w:val="auto"/>
          <w:szCs w:val="22"/>
        </w:rPr>
        <w:t xml:space="preserve">de la </w:t>
      </w:r>
      <w:r w:rsidR="00151FEA">
        <w:rPr>
          <w:bCs/>
          <w:color w:val="auto"/>
          <w:szCs w:val="22"/>
        </w:rPr>
        <w:t>SEPI</w:t>
      </w:r>
      <w:r w:rsidRPr="00151FEA">
        <w:rPr>
          <w:bCs/>
          <w:color w:val="auto"/>
          <w:szCs w:val="22"/>
        </w:rPr>
        <w:t xml:space="preserve">, que cuenta con </w:t>
      </w:r>
      <w:r w:rsidR="00151FEA">
        <w:rPr>
          <w:bCs/>
          <w:color w:val="auto"/>
          <w:szCs w:val="22"/>
        </w:rPr>
        <w:t>una</w:t>
      </w:r>
      <w:r w:rsidRPr="00151FEA">
        <w:rPr>
          <w:bCs/>
          <w:color w:val="auto"/>
          <w:szCs w:val="22"/>
        </w:rPr>
        <w:t xml:space="preserve"> persona para abordar esta actividad</w:t>
      </w:r>
      <w:r w:rsidR="00151FEA">
        <w:rPr>
          <w:bCs/>
          <w:color w:val="auto"/>
          <w:szCs w:val="22"/>
        </w:rPr>
        <w:t xml:space="preserve">, sin </w:t>
      </w:r>
      <w:r w:rsidRPr="00151FEA">
        <w:rPr>
          <w:bCs/>
          <w:color w:val="auto"/>
          <w:szCs w:val="22"/>
        </w:rPr>
        <w:t>dedica</w:t>
      </w:r>
      <w:r w:rsidR="00151FEA">
        <w:rPr>
          <w:bCs/>
          <w:color w:val="auto"/>
          <w:szCs w:val="22"/>
        </w:rPr>
        <w:t>ción</w:t>
      </w:r>
      <w:r w:rsidRPr="00151FEA">
        <w:rPr>
          <w:bCs/>
          <w:color w:val="auto"/>
          <w:szCs w:val="22"/>
        </w:rPr>
        <w:t xml:space="preserve"> exclusiva</w:t>
      </w:r>
      <w:r w:rsidR="00531D64" w:rsidRPr="00151FEA">
        <w:rPr>
          <w:bCs/>
          <w:color w:val="auto"/>
          <w:szCs w:val="22"/>
        </w:rPr>
        <w:t xml:space="preserve"> </w:t>
      </w:r>
      <w:r w:rsidRPr="00151FEA">
        <w:rPr>
          <w:bCs/>
          <w:color w:val="auto"/>
          <w:szCs w:val="22"/>
        </w:rPr>
        <w:t>a la gestión de las solicitudes</w:t>
      </w:r>
      <w:r w:rsidR="00626819" w:rsidRPr="00151FEA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51FE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34803" w:rsidRDefault="00F34803" w:rsidP="00F34803">
      <w:pPr>
        <w:ind w:left="426"/>
        <w:jc w:val="both"/>
      </w:pPr>
      <w:r w:rsidRPr="00151FEA">
        <w:t xml:space="preserve">En 2020 la </w:t>
      </w:r>
      <w:r w:rsidR="00151FEA">
        <w:t>SEPI</w:t>
      </w:r>
      <w:r w:rsidRPr="00151FEA">
        <w:t xml:space="preserve"> recibió </w:t>
      </w:r>
      <w:r w:rsidR="00151FEA">
        <w:t>10</w:t>
      </w:r>
      <w:r w:rsidRPr="00151FEA">
        <w:t xml:space="preserve"> solicitudes de información</w:t>
      </w:r>
      <w:r w:rsidR="00151FEA">
        <w:t xml:space="preserve">.  De estas 10 solicitudes según informa la SEPI, </w:t>
      </w:r>
      <w:r w:rsidR="00654162" w:rsidRPr="00151FEA">
        <w:t xml:space="preserve"> </w:t>
      </w:r>
      <w:r w:rsidR="00151FEA">
        <w:t xml:space="preserve">4 </w:t>
      </w:r>
      <w:r w:rsidRPr="00151FEA">
        <w:t>quedaron pendientes de tramitación a 31 de diciembre de 2020.</w:t>
      </w:r>
      <w:r>
        <w:t xml:space="preserve"> </w:t>
      </w:r>
    </w:p>
    <w:p w:rsidR="00151FEA" w:rsidRDefault="00151FEA" w:rsidP="00F34803">
      <w:pPr>
        <w:ind w:left="426"/>
        <w:jc w:val="both"/>
      </w:pPr>
      <w:r>
        <w:t xml:space="preserve">Por otra parte se informa de que en 2020 se admitieron 8 solicitudes – lo que no coincide con los datos aportados en cuanto a solicitudes tramitadas en 2020 -. Tres solicitudes fueron inadmitidas, en un caso porque la información estaba en curso de elaboración y en los dos casos  adicionales, por otras causas. </w:t>
      </w: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F34803" w:rsidRPr="00151FEA" w:rsidRDefault="00F3480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En 2020, en promedio, la persona asignada a la UIT de la </w:t>
      </w:r>
      <w:r w:rsidR="00151FEA">
        <w:rPr>
          <w:rStyle w:val="Ttulo2Car"/>
          <w:b w:val="0"/>
          <w:color w:val="auto"/>
          <w:sz w:val="22"/>
          <w:szCs w:val="22"/>
          <w:lang w:bidi="es-ES"/>
        </w:rPr>
        <w:t>SEPI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asumió </w:t>
      </w:r>
      <w:r w:rsidR="00626819" w:rsidRPr="00151FEA">
        <w:rPr>
          <w:rStyle w:val="Ttulo2Car"/>
          <w:b w:val="0"/>
          <w:color w:val="auto"/>
          <w:sz w:val="22"/>
          <w:szCs w:val="22"/>
          <w:lang w:bidi="es-ES"/>
        </w:rPr>
        <w:t>la tramitación de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151FEA">
        <w:rPr>
          <w:rStyle w:val="Ttulo2Car"/>
          <w:b w:val="0"/>
          <w:color w:val="auto"/>
          <w:sz w:val="22"/>
          <w:szCs w:val="22"/>
          <w:lang w:bidi="es-ES"/>
        </w:rPr>
        <w:t>6</w:t>
      </w:r>
      <w:r w:rsidRPr="00151FEA">
        <w:rPr>
          <w:rStyle w:val="Ttulo2Car"/>
          <w:b w:val="0"/>
          <w:color w:val="auto"/>
          <w:sz w:val="22"/>
          <w:szCs w:val="22"/>
          <w:lang w:bidi="es-ES"/>
        </w:rPr>
        <w:t xml:space="preserve"> solicitudes. </w:t>
      </w:r>
    </w:p>
    <w:p w:rsidR="001E1C29" w:rsidRDefault="00151FEA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La tasa de tramitación se sitúa en el 60%</w:t>
      </w:r>
      <w:r w:rsidR="00B64369">
        <w:rPr>
          <w:rStyle w:val="Ttulo2Car"/>
          <w:b w:val="0"/>
          <w:color w:val="auto"/>
          <w:sz w:val="22"/>
          <w:szCs w:val="22"/>
          <w:lang w:bidi="es-ES"/>
        </w:rPr>
        <w:t xml:space="preserve"> y el tiempo medio estimado para la tramitación de las solicitudes pendientes a finales de 2020 alcanza más de 243 días, siempre partiendo de los datos aportados por SEPI.</w:t>
      </w: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F25E4" w:rsidRPr="00706E04" w:rsidTr="00151FEA">
        <w:trPr>
          <w:trHeight w:val="280"/>
        </w:trPr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1F25E4" w:rsidRPr="00151FEA" w:rsidRDefault="001F25E4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1</w:t>
            </w:r>
            <w:r w:rsidR="00151FEA">
              <w:rPr>
                <w:sz w:val="20"/>
                <w:szCs w:val="20"/>
              </w:rPr>
              <w:t>0</w:t>
            </w:r>
            <w:r w:rsidRPr="00151FEA">
              <w:rPr>
                <w:sz w:val="20"/>
                <w:szCs w:val="20"/>
              </w:rPr>
              <w:t>,00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6,00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60,00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1F251B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60,00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  <w:vAlign w:val="center"/>
          </w:tcPr>
          <w:p w:rsidR="00151FEA" w:rsidRPr="00151FEA" w:rsidRDefault="00B64369" w:rsidP="0015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5B3C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243,33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133,33</w:t>
            </w:r>
            <w:r w:rsidR="00B64369">
              <w:rPr>
                <w:sz w:val="20"/>
                <w:szCs w:val="20"/>
              </w:rPr>
              <w:t>*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50,00</w:t>
            </w:r>
            <w:r w:rsidR="00B64369">
              <w:rPr>
                <w:sz w:val="20"/>
                <w:szCs w:val="20"/>
              </w:rPr>
              <w:t>*</w:t>
            </w:r>
          </w:p>
        </w:tc>
      </w:tr>
      <w:tr w:rsidR="00151FEA" w:rsidRPr="00706E04" w:rsidTr="00151FE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51FEA" w:rsidRPr="005B3C15" w:rsidRDefault="00151FEA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51FEA" w:rsidRPr="006A2E9A" w:rsidRDefault="00151FEA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  <w:vAlign w:val="center"/>
          </w:tcPr>
          <w:p w:rsidR="00151FEA" w:rsidRPr="00151FEA" w:rsidRDefault="00151FEA" w:rsidP="00151FEA">
            <w:pPr>
              <w:jc w:val="center"/>
              <w:rPr>
                <w:sz w:val="20"/>
                <w:szCs w:val="20"/>
              </w:rPr>
            </w:pPr>
            <w:r w:rsidRPr="00151FEA">
              <w:rPr>
                <w:sz w:val="20"/>
                <w:szCs w:val="20"/>
              </w:rPr>
              <w:t>,00</w:t>
            </w:r>
          </w:p>
        </w:tc>
      </w:tr>
    </w:tbl>
    <w:p w:rsidR="00B812AB" w:rsidRPr="00B64369" w:rsidRDefault="00B64369" w:rsidP="00B64369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B64369">
        <w:rPr>
          <w:sz w:val="18"/>
          <w:szCs w:val="18"/>
        </w:rPr>
        <w:t>Según la información aportada por SEPI en 2020 se tramitaron 6 solicitudes de información, se admitieron 8 y se inadmitieron 3</w:t>
      </w:r>
      <w:r>
        <w:rPr>
          <w:sz w:val="18"/>
          <w:szCs w:val="18"/>
        </w:rPr>
        <w:t>, la disparidad entre estos datos explica el valor  de las tasas de admisión e inadmisión</w:t>
      </w:r>
    </w:p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DF4D57" w:rsidRDefault="00DF4D57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34803" w:rsidRPr="00B64369" w:rsidRDefault="00F34803" w:rsidP="00F34803">
      <w:pPr>
        <w:ind w:left="426"/>
        <w:jc w:val="both"/>
        <w:rPr>
          <w:rStyle w:val="Ttulo2Car"/>
          <w:color w:val="00642D"/>
          <w:lang w:bidi="es-ES"/>
        </w:rPr>
      </w:pPr>
      <w:r w:rsidRPr="00B64369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BA266E"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s resoluciones emitidas en 2020, </w:t>
      </w:r>
      <w:r w:rsidR="00B64369">
        <w:rPr>
          <w:rStyle w:val="Ttulo2Car"/>
          <w:b w:val="0"/>
          <w:color w:val="auto"/>
          <w:sz w:val="22"/>
          <w:szCs w:val="22"/>
          <w:lang w:bidi="es-ES"/>
        </w:rPr>
        <w:t>6</w:t>
      </w:r>
      <w:r w:rsidR="00BA266E"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B64369">
        <w:rPr>
          <w:rStyle w:val="Ttulo2Car"/>
          <w:b w:val="0"/>
          <w:color w:val="auto"/>
          <w:sz w:val="22"/>
          <w:szCs w:val="22"/>
          <w:lang w:bidi="es-ES"/>
        </w:rPr>
        <w:t>cinco</w:t>
      </w:r>
      <w:r w:rsidR="00654162"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 concedie</w:t>
      </w:r>
      <w:r w:rsidR="00B64369">
        <w:rPr>
          <w:rStyle w:val="Ttulo2Car"/>
          <w:b w:val="0"/>
          <w:color w:val="auto"/>
          <w:sz w:val="22"/>
          <w:szCs w:val="22"/>
          <w:lang w:bidi="es-ES"/>
        </w:rPr>
        <w:t>ron acceso a la información, de ellas cinco concedieron acceso total.</w:t>
      </w:r>
      <w:r w:rsidR="00654162" w:rsidRPr="00B6436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64369">
        <w:rPr>
          <w:rStyle w:val="Ttulo2Car"/>
          <w:b w:val="0"/>
          <w:color w:val="auto"/>
          <w:sz w:val="22"/>
          <w:szCs w:val="22"/>
          <w:lang w:bidi="es-ES"/>
        </w:rPr>
        <w:t xml:space="preserve">Una resolución denegó el acceso a la información aplicando los límites del artículo 14 de la LTAIBG, concretamente la garantía de confidencialidad y el secreto requerido en los procesos de toma de decisión.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2C5F92">
        <w:rPr>
          <w:rStyle w:val="Ttulo2Car"/>
          <w:b w:val="0"/>
          <w:color w:val="auto"/>
          <w:sz w:val="22"/>
          <w:szCs w:val="22"/>
          <w:lang w:bidi="es-ES"/>
        </w:rPr>
        <w:t>de la SEPI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1252EE" w:rsidRDefault="001252EE" w:rsidP="00F34803">
      <w:pPr>
        <w:ind w:left="426"/>
        <w:jc w:val="both"/>
      </w:pPr>
    </w:p>
    <w:p w:rsidR="00F34803" w:rsidRDefault="00F34803" w:rsidP="00F34803">
      <w:pPr>
        <w:ind w:left="426"/>
        <w:jc w:val="both"/>
      </w:pPr>
      <w:r w:rsidRPr="00D2277D">
        <w:t xml:space="preserve">La AIREF emite resoluciones expresas para </w:t>
      </w:r>
      <w:r w:rsidR="00D2277D">
        <w:t>más del 87%</w:t>
      </w:r>
      <w:r w:rsidR="00D2277D">
        <w:rPr>
          <w:rStyle w:val="Refdenotaalpie"/>
        </w:rPr>
        <w:footnoteReference w:id="1"/>
      </w:r>
      <w:r w:rsidR="00D2277D">
        <w:t xml:space="preserve"> de </w:t>
      </w:r>
      <w:r w:rsidRPr="00D2277D">
        <w:t>las solicitudes admitidas. Ninguna solicitud ha sido desestimada por silencio administrativo.</w:t>
      </w:r>
    </w:p>
    <w:p w:rsidR="00D2277D" w:rsidRDefault="00D2277D" w:rsidP="00F34803">
      <w:pPr>
        <w:ind w:left="426"/>
        <w:jc w:val="both"/>
      </w:pPr>
    </w:p>
    <w:p w:rsidR="00D2277D" w:rsidRDefault="00D2277D" w:rsidP="00F34803">
      <w:pPr>
        <w:ind w:left="426"/>
        <w:jc w:val="both"/>
      </w:pPr>
    </w:p>
    <w:p w:rsidR="001E1C29" w:rsidRPr="009079EA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D2277D" w:rsidRPr="00706E04" w:rsidTr="00D2277D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AD1DB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87,50</w:t>
            </w:r>
          </w:p>
        </w:tc>
      </w:tr>
      <w:tr w:rsidR="00D2277D" w:rsidRPr="00706E04" w:rsidTr="00D2277D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FD5B21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75,00</w:t>
            </w:r>
          </w:p>
        </w:tc>
      </w:tr>
      <w:tr w:rsidR="00D2277D" w:rsidRPr="00706E04" w:rsidTr="00D2277D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16,67</w:t>
            </w:r>
          </w:p>
        </w:tc>
      </w:tr>
      <w:tr w:rsidR="00D2277D" w:rsidRPr="00706E04" w:rsidTr="00D2277D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83,33</w:t>
            </w:r>
          </w:p>
        </w:tc>
      </w:tr>
      <w:tr w:rsidR="00D2277D" w:rsidRPr="00706E04" w:rsidTr="00D2277D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12,50</w:t>
            </w:r>
          </w:p>
        </w:tc>
      </w:tr>
      <w:tr w:rsidR="00D2277D" w:rsidRPr="00706E04" w:rsidTr="00D2277D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,00</w:t>
            </w:r>
          </w:p>
        </w:tc>
      </w:tr>
      <w:tr w:rsidR="00D2277D" w:rsidRPr="00706E04" w:rsidTr="00D2277D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2277D" w:rsidRPr="005B3C15" w:rsidRDefault="00D2277D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2277D" w:rsidRPr="006A2E9A" w:rsidRDefault="00D2277D" w:rsidP="00F7263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D2277D" w:rsidRPr="00D2277D" w:rsidRDefault="00D2277D" w:rsidP="00D2277D">
            <w:pPr>
              <w:jc w:val="center"/>
              <w:rPr>
                <w:sz w:val="20"/>
                <w:szCs w:val="20"/>
              </w:rPr>
            </w:pPr>
            <w:r w:rsidRPr="00D2277D"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B812AB" w:rsidRPr="00E34195" w:rsidRDefault="00151FEA" w:rsidP="00D2277D">
      <w:pPr>
        <w:pStyle w:val="Titulardelboletn"/>
        <w:spacing w:before="120" w:after="120" w:line="312" w:lineRule="auto"/>
        <w:ind w:left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2C5F9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SEPI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Cuenta con 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>un formulario en su web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que permite presentar solicitudes de carácter general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de </w:t>
      </w:r>
      <w:r w:rsidR="002C5F92">
        <w:rPr>
          <w:rStyle w:val="Ttulo2Car"/>
          <w:b w:val="0"/>
          <w:color w:val="auto"/>
          <w:sz w:val="22"/>
          <w:szCs w:val="22"/>
          <w:lang w:bidi="es-ES"/>
        </w:rPr>
        <w:t>Hacienda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</w:t>
      </w:r>
      <w:r w:rsidR="002C5F92">
        <w:rPr>
          <w:rStyle w:val="Ttulo2Car"/>
          <w:b w:val="0"/>
          <w:color w:val="auto"/>
          <w:sz w:val="22"/>
          <w:szCs w:val="22"/>
          <w:lang w:bidi="es-ES"/>
        </w:rPr>
        <w:t>de la SEPI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</w:t>
      </w:r>
      <w:r w:rsidR="00D2277D">
        <w:rPr>
          <w:rStyle w:val="Ttulo2Car"/>
          <w:b w:val="0"/>
          <w:color w:val="auto"/>
          <w:sz w:val="22"/>
          <w:szCs w:val="22"/>
          <w:lang w:bidi="es-ES"/>
        </w:rPr>
        <w:t xml:space="preserve"> de carácter general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se exige como requisito 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>un correo electrónico</w:t>
      </w:r>
      <w:r w:rsidR="004F55F9">
        <w:rPr>
          <w:rStyle w:val="Ttulo2Car"/>
          <w:b w:val="0"/>
          <w:color w:val="auto"/>
          <w:sz w:val="22"/>
          <w:szCs w:val="22"/>
          <w:lang w:bidi="es-ES"/>
        </w:rPr>
        <w:t xml:space="preserve"> de contacto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54642F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Como se ha indicado, se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carácter general que se remitan al organismo.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51FE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54642F">
        <w:rPr>
          <w:color w:val="auto"/>
          <w:lang w:bidi="es-ES"/>
        </w:rPr>
        <w:t>03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</w:t>
      </w:r>
      <w:r w:rsidR="002C5F92">
        <w:rPr>
          <w:color w:val="auto"/>
          <w:lang w:bidi="es-ES"/>
        </w:rPr>
        <w:t>de la SEPI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organismo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4F55F9">
        <w:rPr>
          <w:color w:val="auto"/>
          <w:lang w:bidi="es-ES"/>
        </w:rPr>
        <w:t>05</w:t>
      </w:r>
      <w:r>
        <w:rPr>
          <w:color w:val="auto"/>
          <w:lang w:bidi="es-ES"/>
        </w:rPr>
        <w:t>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>
        <w:rPr>
          <w:color w:val="auto"/>
          <w:lang w:bidi="es-ES"/>
        </w:rPr>
        <w:t xml:space="preserve"> ´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lastRenderedPageBreak/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54642F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4F55F9">
        <w:rPr>
          <w:color w:val="auto"/>
          <w:lang w:bidi="es-ES"/>
        </w:rPr>
        <w:t>10</w:t>
      </w:r>
      <w:r w:rsidR="00AC715D">
        <w:rPr>
          <w:color w:val="auto"/>
          <w:lang w:bidi="es-ES"/>
        </w:rPr>
        <w:t>/0</w:t>
      </w:r>
      <w:r w:rsidR="0054642F">
        <w:rPr>
          <w:color w:val="auto"/>
          <w:lang w:bidi="es-ES"/>
        </w:rPr>
        <w:t>6</w:t>
      </w:r>
      <w:r w:rsidR="00AC715D">
        <w:rPr>
          <w:color w:val="auto"/>
          <w:lang w:bidi="es-ES"/>
        </w:rPr>
        <w:t>/2021</w:t>
      </w:r>
      <w:r w:rsidR="004F55F9">
        <w:rPr>
          <w:color w:val="auto"/>
          <w:lang w:bidi="es-ES"/>
        </w:rPr>
        <w:t>. La resolución por lo tanto, se emite fuera de plazo.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54642F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4F55F9">
        <w:rPr>
          <w:color w:val="auto"/>
          <w:lang w:bidi="es-ES"/>
        </w:rPr>
        <w:t>Vicepresidente de la SEPI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 xml:space="preserve">informa de </w:t>
      </w:r>
      <w:r w:rsidR="004F55F9">
        <w:rPr>
          <w:color w:val="auto"/>
          <w:lang w:bidi="es-ES"/>
        </w:rPr>
        <w:t>la posibilidad de</w:t>
      </w:r>
      <w:r w:rsidR="00904E47">
        <w:rPr>
          <w:color w:val="auto"/>
          <w:lang w:bidi="es-ES"/>
        </w:rPr>
        <w:t xml:space="preserve"> que el solicitante puede interponer </w:t>
      </w:r>
      <w:r w:rsidR="004F55F9">
        <w:rPr>
          <w:color w:val="auto"/>
          <w:lang w:bidi="es-ES"/>
        </w:rPr>
        <w:t xml:space="preserve">recurso contencioso administrativo </w:t>
      </w:r>
      <w:r w:rsidR="00904E47">
        <w:rPr>
          <w:color w:val="auto"/>
          <w:lang w:bidi="es-ES"/>
        </w:rPr>
        <w:t>en caso de disconformidad con la información recibida.</w:t>
      </w:r>
      <w:r w:rsidR="004F55F9">
        <w:rPr>
          <w:color w:val="auto"/>
          <w:lang w:bidi="es-ES"/>
        </w:rPr>
        <w:t xml:space="preserve"> No se informa de la posibilidad de interponer una reclamación previa a la vía contenciosa ante el CTBG.</w:t>
      </w:r>
    </w:p>
    <w:p w:rsidR="00046805" w:rsidRDefault="00046805" w:rsidP="0054642F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54642F" w:rsidRPr="0054642F">
        <w:rPr>
          <w:color w:val="auto"/>
          <w:lang w:bidi="es-ES"/>
        </w:rPr>
        <w:t xml:space="preserve">se ofrece en la misma resolución que se trata de un </w:t>
      </w:r>
      <w:r w:rsidR="004F55F9">
        <w:rPr>
          <w:color w:val="auto"/>
          <w:lang w:bidi="es-ES"/>
        </w:rPr>
        <w:t xml:space="preserve">fichero </w:t>
      </w:r>
      <w:proofErr w:type="spellStart"/>
      <w:r w:rsidR="0054642F" w:rsidRPr="0054642F">
        <w:rPr>
          <w:color w:val="auto"/>
          <w:lang w:bidi="es-ES"/>
        </w:rPr>
        <w:t>pdf</w:t>
      </w:r>
      <w:proofErr w:type="spellEnd"/>
      <w:r w:rsidR="0054642F">
        <w:rPr>
          <w:color w:val="auto"/>
          <w:lang w:bidi="es-ES"/>
        </w:rPr>
        <w:t xml:space="preserve">, lo que no se corresponde </w:t>
      </w:r>
      <w:r w:rsidR="006A2EEE">
        <w:rPr>
          <w:color w:val="auto"/>
          <w:lang w:bidi="es-ES"/>
        </w:rPr>
        <w:t>con el formato solicitado.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2277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342FFD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342FFD">
        <w:rPr>
          <w:color w:val="auto"/>
        </w:rPr>
        <w:t xml:space="preserve">4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2C5F92">
        <w:rPr>
          <w:color w:val="auto"/>
        </w:rPr>
        <w:t>de la SEPI</w:t>
      </w:r>
      <w:r>
        <w:rPr>
          <w:color w:val="auto"/>
        </w:rPr>
        <w:t xml:space="preserve"> en materia de acceso a la información pública. </w:t>
      </w:r>
      <w:r w:rsidR="00D2277D">
        <w:rPr>
          <w:color w:val="auto"/>
        </w:rPr>
        <w:t>E</w:t>
      </w:r>
      <w:r w:rsidR="00342FFD">
        <w:rPr>
          <w:color w:val="auto"/>
        </w:rPr>
        <w:t xml:space="preserve">n un caso la reclamación fue estimada aunque SEPI proporcionó la información antes de finalizar el procedimiento de reclamación. Dos reclamaciones fueron desestimadas y una archivada. </w:t>
      </w:r>
    </w:p>
    <w:p w:rsidR="004F55F9" w:rsidRPr="004A133A" w:rsidRDefault="004F55F9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151FE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B1EF0" w:rsidRPr="00B06497" w:rsidRDefault="00B06497" w:rsidP="00B06497">
      <w:pPr>
        <w:ind w:left="426"/>
      </w:pPr>
      <w:r w:rsidRPr="00B06497">
        <w:t xml:space="preserve">Dado que </w:t>
      </w:r>
      <w:r w:rsidR="002C5F92">
        <w:t>la SEPI</w:t>
      </w:r>
      <w:r w:rsidRPr="00B06497">
        <w:t xml:space="preserve"> no dispone </w:t>
      </w:r>
      <w:r>
        <w:t xml:space="preserve">de un espacio específico para la presentación de solicitudes de acceso a información pública y que éstas se resuelven en el Ministerio de Defensa, no caben buenas prácticas que reseñar atribuibles </w:t>
      </w:r>
      <w:r w:rsidR="00D864B1">
        <w:t>al organismo</w:t>
      </w:r>
      <w:r>
        <w:t>.</w:t>
      </w:r>
    </w:p>
    <w:p w:rsidR="000C2945" w:rsidRDefault="000C2945" w:rsidP="000C2945">
      <w:pPr>
        <w:pStyle w:val="Prrafodelista"/>
      </w:pPr>
    </w:p>
    <w:p w:rsidR="00256215" w:rsidRDefault="00151FE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D2277D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Según la información remitida, l</w:t>
      </w:r>
      <w:r w:rsidR="00F34803" w:rsidRPr="00D2277D">
        <w:rPr>
          <w:bCs/>
        </w:rPr>
        <w:t xml:space="preserve">a </w:t>
      </w:r>
      <w:r>
        <w:rPr>
          <w:bCs/>
        </w:rPr>
        <w:t>SEPI</w:t>
      </w:r>
      <w:r w:rsidR="00F34803" w:rsidRPr="00D2277D">
        <w:rPr>
          <w:bCs/>
        </w:rPr>
        <w:t xml:space="preserve">, tramita </w:t>
      </w:r>
      <w:r w:rsidR="001E1C29" w:rsidRPr="00D2277D">
        <w:rPr>
          <w:bCs/>
        </w:rPr>
        <w:t xml:space="preserve">el </w:t>
      </w:r>
      <w:r>
        <w:rPr>
          <w:bCs/>
        </w:rPr>
        <w:t>60</w:t>
      </w:r>
      <w:r w:rsidR="00D74E79" w:rsidRPr="00D2277D">
        <w:rPr>
          <w:bCs/>
        </w:rPr>
        <w:t>% de las solicitudes que recibe y</w:t>
      </w:r>
      <w:r w:rsidR="00F34803" w:rsidRPr="00D2277D">
        <w:rPr>
          <w:bCs/>
        </w:rPr>
        <w:t xml:space="preserve"> admite </w:t>
      </w:r>
      <w:r>
        <w:rPr>
          <w:bCs/>
        </w:rPr>
        <w:t>el 133%</w:t>
      </w:r>
      <w:r>
        <w:rPr>
          <w:rStyle w:val="Refdenotaalpie"/>
          <w:bCs/>
        </w:rPr>
        <w:footnoteReference w:id="2"/>
      </w:r>
      <w:r w:rsidR="00F34803" w:rsidRPr="00D2277D">
        <w:rPr>
          <w:bCs/>
        </w:rPr>
        <w:t xml:space="preserve"> de ellas</w:t>
      </w:r>
      <w:r w:rsidR="00D74E79" w:rsidRPr="00D2277D">
        <w:rPr>
          <w:bCs/>
        </w:rPr>
        <w:t xml:space="preserve">. La información aportada indica que se emite resolución expresa para el </w:t>
      </w:r>
      <w:r>
        <w:rPr>
          <w:bCs/>
        </w:rPr>
        <w:t>87</w:t>
      </w:r>
      <w:r w:rsidR="00D74E79" w:rsidRPr="00D2277D">
        <w:rPr>
          <w:bCs/>
        </w:rPr>
        <w:t xml:space="preserve">% de las solicitudes admitidas. </w:t>
      </w:r>
      <w:r>
        <w:rPr>
          <w:bCs/>
        </w:rPr>
        <w:t xml:space="preserve">El 75% de las resoluciones conceden la información, en la mayoría de los casos el acceso es total. Solo una resolución deniega el acceso invocando el límite relativo a la garantía de confidencialidad o el secreto requerido en los </w:t>
      </w:r>
      <w:r w:rsidR="00C266A5">
        <w:rPr>
          <w:bCs/>
        </w:rPr>
        <w:t>procesos</w:t>
      </w:r>
      <w:r>
        <w:rPr>
          <w:bCs/>
        </w:rPr>
        <w:t xml:space="preserve"> de toma de decisión.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2C5F9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>La SEPI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2C5F92">
        <w:t>la SEPI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A2EEE">
        <w:t>web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2C5F92">
        <w:t>de la SEPI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</w:t>
      </w:r>
      <w:r w:rsidR="008F5F99">
        <w:t xml:space="preserve">a las solicitudes de carácter general </w:t>
      </w:r>
      <w:r w:rsidR="007B1EF0">
        <w:t xml:space="preserve"> dirigidas a</w:t>
      </w:r>
      <w:r w:rsidR="004F55F9">
        <w:t xml:space="preserve"> </w:t>
      </w:r>
      <w:r w:rsidR="007B1EF0">
        <w:t>l</w:t>
      </w:r>
      <w:r w:rsidR="004F55F9">
        <w:t>a</w:t>
      </w:r>
      <w:r w:rsidR="007B1EF0">
        <w:t xml:space="preserve"> </w:t>
      </w:r>
      <w:r w:rsidR="004F55F9">
        <w:t>entidad</w:t>
      </w:r>
      <w:r w:rsidR="007B1EF0">
        <w:t xml:space="preserve">. Por otra parte, tampoco se informa de la posibilidad de que los </w:t>
      </w:r>
      <w:r w:rsidR="00D864B1">
        <w:t>ciudadanos</w:t>
      </w:r>
      <w:r w:rsidR="007B1EF0">
        <w:t xml:space="preserve"> presenten sus solicitudes a través del Portal de Transparencia de la AGE, ni de los medios de contacto establecidos por la Ley 39/2015 a través de los cuales </w:t>
      </w:r>
      <w:r w:rsidR="00D864B1">
        <w:t>éstos</w:t>
      </w:r>
      <w:r w:rsidR="007B1EF0">
        <w:t xml:space="preserve">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informarse sobre la posibilidad de presentación de solicitudes de acceso a información a través del Portal de Transparencia</w:t>
      </w:r>
      <w:r w:rsidR="00C266A5">
        <w:t xml:space="preserve"> de la AGE</w:t>
      </w:r>
      <w:r>
        <w:t xml:space="preserve">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Default="00F34803" w:rsidP="000B57AA">
      <w:pPr>
        <w:pStyle w:val="Prrafodelista"/>
        <w:ind w:left="709"/>
        <w:jc w:val="both"/>
      </w:pPr>
      <w:r>
        <w:t xml:space="preserve">La gestión de la solicitud de acceso presentada </w:t>
      </w:r>
      <w:r w:rsidR="004F55F9">
        <w:t xml:space="preserve">no </w:t>
      </w:r>
      <w:r>
        <w:t>se ha ajustado al procedimiento establecido po</w:t>
      </w:r>
      <w:r w:rsidR="00A915A2">
        <w:t xml:space="preserve">r la LTAIBG. </w:t>
      </w:r>
      <w:r w:rsidR="004F55F9">
        <w:t>Aunque l</w:t>
      </w:r>
      <w:r w:rsidR="002E0A33" w:rsidRPr="002E0A33">
        <w:t xml:space="preserve">a resolución emitida por </w:t>
      </w:r>
      <w:r w:rsidR="004F55F9">
        <w:t>el Vicepresidente de la SEPI</w:t>
      </w:r>
      <w:r w:rsidR="002E0A33" w:rsidRPr="002E0A33">
        <w:t xml:space="preserve"> está motivada y correctamente estructurada, es clara y comprensibl</w:t>
      </w:r>
      <w:r w:rsidR="006A2EEE">
        <w:t>e</w:t>
      </w:r>
      <w:r w:rsidR="004F55F9">
        <w:t xml:space="preserve">, sólo informa sobre la posibilidad </w:t>
      </w:r>
      <w:r w:rsidR="006A2EEE">
        <w:t xml:space="preserve"> </w:t>
      </w:r>
      <w:r w:rsidR="004F55F9">
        <w:t xml:space="preserve">de interposición de </w:t>
      </w:r>
      <w:r w:rsidR="002E0A33" w:rsidRPr="002E0A33">
        <w:t>recurso</w:t>
      </w:r>
      <w:r w:rsidR="004F55F9">
        <w:t xml:space="preserve"> ante la jurisdicción contencioso-administrativa, sin referencia alguna a la reclamación potestativa </w:t>
      </w:r>
      <w:r w:rsidR="006C30DE">
        <w:t>a</w:t>
      </w:r>
      <w:r w:rsidR="004F55F9">
        <w:t xml:space="preserve">nte el Consejo de Transparencia. Por otra parte, la resolución se emite fuera de plazo y aunque se proporciona la información en el momento de la notificación, esta se remite en un formato diferente del solicitado. </w:t>
      </w:r>
    </w:p>
    <w:p w:rsidR="004F55F9" w:rsidRDefault="004F55F9" w:rsidP="002E0A33">
      <w:pPr>
        <w:pStyle w:val="Prrafodelista"/>
        <w:ind w:left="426"/>
        <w:jc w:val="both"/>
      </w:pPr>
    </w:p>
    <w:p w:rsidR="004F55F9" w:rsidRDefault="000B57AA" w:rsidP="004F55F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lastRenderedPageBreak/>
        <w:t>La SEPI debería informar sobre la posibilidad de interponer una reclamación ante el Consejo de Transparencia por denegación o disconformidad con sus resoluciones en materia de derecho de acceso.</w:t>
      </w:r>
    </w:p>
    <w:p w:rsidR="000B57AA" w:rsidRDefault="000B57AA" w:rsidP="004F55F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0B57AA" w:rsidRDefault="000B57AA" w:rsidP="004F55F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Por otra parte las Resoluciones deben dictarse dentro del plazo máximo establecido por la LTAIBG.</w:t>
      </w:r>
    </w:p>
    <w:p w:rsidR="000B57AA" w:rsidRDefault="000B57AA" w:rsidP="004F55F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0B57AA" w:rsidRDefault="000B57AA" w:rsidP="004F55F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Y finalmente, en la medida de lo posible la información debería entregarse en el formato establecido por la persona solicitante. </w:t>
      </w:r>
    </w:p>
    <w:p w:rsidR="004F55F9" w:rsidRPr="00D84B7B" w:rsidRDefault="004F55F9" w:rsidP="002E0A33">
      <w:pPr>
        <w:pStyle w:val="Prrafodelista"/>
        <w:ind w:left="426"/>
        <w:jc w:val="both"/>
      </w:pP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7D" w:rsidRDefault="00D2277D" w:rsidP="00932008">
      <w:pPr>
        <w:spacing w:after="0" w:line="240" w:lineRule="auto"/>
      </w:pPr>
      <w:r>
        <w:separator/>
      </w:r>
    </w:p>
  </w:endnote>
  <w:endnote w:type="continuationSeparator" w:id="0">
    <w:p w:rsidR="00D2277D" w:rsidRDefault="00D2277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2277D" w:rsidRPr="00C533E7" w:rsidRDefault="00D2277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C266A5">
          <w:rPr>
            <w:noProof/>
            <w:sz w:val="18"/>
            <w:szCs w:val="18"/>
          </w:rPr>
          <w:t>6</w:t>
        </w:r>
        <w:r w:rsidRPr="00C533E7">
          <w:rPr>
            <w:sz w:val="18"/>
            <w:szCs w:val="18"/>
          </w:rPr>
          <w:fldChar w:fldCharType="end"/>
        </w:r>
      </w:p>
    </w:sdtContent>
  </w:sdt>
  <w:p w:rsidR="00D2277D" w:rsidRDefault="00D227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7D" w:rsidRDefault="00D2277D" w:rsidP="00932008">
      <w:pPr>
        <w:spacing w:after="0" w:line="240" w:lineRule="auto"/>
      </w:pPr>
      <w:r>
        <w:separator/>
      </w:r>
    </w:p>
  </w:footnote>
  <w:footnote w:type="continuationSeparator" w:id="0">
    <w:p w:rsidR="00D2277D" w:rsidRDefault="00D2277D" w:rsidP="00932008">
      <w:pPr>
        <w:spacing w:after="0" w:line="240" w:lineRule="auto"/>
      </w:pPr>
      <w:r>
        <w:continuationSeparator/>
      </w:r>
    </w:p>
  </w:footnote>
  <w:footnote w:id="1">
    <w:p w:rsidR="00D2277D" w:rsidRDefault="00D2277D">
      <w:pPr>
        <w:pStyle w:val="Textonotapie"/>
      </w:pPr>
      <w:r>
        <w:rPr>
          <w:rStyle w:val="Refdenotaalpie"/>
        </w:rPr>
        <w:footnoteRef/>
      </w:r>
      <w:r>
        <w:t xml:space="preserve"> Nuevamente la disparidad de los datos aportados explican los valores los indicadores de resolución. Según la información aportada se admitieron 8 solicitudes y se emitió resolución expresa para 7. Seis concedieron la información y una fue denegatoria. </w:t>
      </w:r>
    </w:p>
  </w:footnote>
  <w:footnote w:id="2">
    <w:p w:rsidR="00D2277D" w:rsidRDefault="00D2277D">
      <w:pPr>
        <w:pStyle w:val="Textonotapie"/>
      </w:pPr>
      <w:r>
        <w:rPr>
          <w:rStyle w:val="Refdenotaalpie"/>
        </w:rPr>
        <w:footnoteRef/>
      </w:r>
      <w:r>
        <w:t xml:space="preserve"> Ya se han señalado las discrepancias existentes en los datos aportados.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D4BE9"/>
    <w:multiLevelType w:val="hybridMultilevel"/>
    <w:tmpl w:val="98E64ACA"/>
    <w:lvl w:ilvl="0" w:tplc="D69CDD76">
      <w:start w:val="2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B57AA"/>
    <w:rsid w:val="000C2945"/>
    <w:rsid w:val="000C6CFF"/>
    <w:rsid w:val="00102733"/>
    <w:rsid w:val="001252EE"/>
    <w:rsid w:val="0012783F"/>
    <w:rsid w:val="00151FEA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2C5F92"/>
    <w:rsid w:val="002E0A33"/>
    <w:rsid w:val="003145AD"/>
    <w:rsid w:val="00334115"/>
    <w:rsid w:val="00340559"/>
    <w:rsid w:val="00342FFD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4F55F9"/>
    <w:rsid w:val="00531D64"/>
    <w:rsid w:val="005446A8"/>
    <w:rsid w:val="0054642F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A2EEE"/>
    <w:rsid w:val="006C30DE"/>
    <w:rsid w:val="006E3444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41DD5"/>
    <w:rsid w:val="00A544D3"/>
    <w:rsid w:val="00A8003E"/>
    <w:rsid w:val="00A915A2"/>
    <w:rsid w:val="00AC2468"/>
    <w:rsid w:val="00AC715D"/>
    <w:rsid w:val="00AD1DBF"/>
    <w:rsid w:val="00AE1CBE"/>
    <w:rsid w:val="00AE788F"/>
    <w:rsid w:val="00B06497"/>
    <w:rsid w:val="00B378E2"/>
    <w:rsid w:val="00B40246"/>
    <w:rsid w:val="00B5583D"/>
    <w:rsid w:val="00B64369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266A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2277D"/>
    <w:rsid w:val="00D41FBA"/>
    <w:rsid w:val="00D445A7"/>
    <w:rsid w:val="00D447A6"/>
    <w:rsid w:val="00D52E43"/>
    <w:rsid w:val="00D74E79"/>
    <w:rsid w:val="00D84B7B"/>
    <w:rsid w:val="00D864B1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166A7"/>
    <w:rsid w:val="000C3FF0"/>
    <w:rsid w:val="0013771E"/>
    <w:rsid w:val="002A5B0E"/>
    <w:rsid w:val="002C1748"/>
    <w:rsid w:val="002C7AFA"/>
    <w:rsid w:val="003D088C"/>
    <w:rsid w:val="00543A52"/>
    <w:rsid w:val="00546DCA"/>
    <w:rsid w:val="00562D27"/>
    <w:rsid w:val="007545E1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AFCB2-95C9-47D5-A794-04807236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57</TotalTime>
  <Pages>6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2021-06-28T08:36:00Z</dcterms:created>
  <dcterms:modified xsi:type="dcterms:W3CDTF">2021-08-23T11:14:00Z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