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C05003" w:rsidRPr="006C0214">
        <w:rPr>
          <w:color w:val="6BA999"/>
        </w:rPr>
        <w:t xml:space="preserve">LA </w:t>
      </w:r>
      <w:r w:rsidR="00E43D90">
        <w:rPr>
          <w:color w:val="6BA999"/>
        </w:rPr>
        <w:t>CNMV</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226CA0">
        <w:rPr>
          <w:rFonts w:asciiTheme="minorHAnsi" w:hAnsiTheme="minorHAnsi" w:cstheme="minorHAnsi"/>
          <w:szCs w:val="24"/>
        </w:rPr>
        <w:t>9</w:t>
      </w:r>
      <w:r w:rsidRPr="002C000A">
        <w:rPr>
          <w:rFonts w:asciiTheme="minorHAnsi" w:hAnsiTheme="minorHAnsi" w:cstheme="minorHAnsi"/>
          <w:szCs w:val="24"/>
        </w:rPr>
        <w:t xml:space="preserve"> de </w:t>
      </w:r>
      <w:r w:rsidR="00226CA0">
        <w:rPr>
          <w:rFonts w:asciiTheme="minorHAnsi" w:hAnsiTheme="minorHAnsi" w:cstheme="minorHAnsi"/>
          <w:szCs w:val="24"/>
        </w:rPr>
        <w:t>marzo</w:t>
      </w:r>
      <w:r w:rsidRPr="002C000A">
        <w:rPr>
          <w:rFonts w:asciiTheme="minorHAnsi" w:hAnsiTheme="minorHAnsi" w:cstheme="minorHAnsi"/>
          <w:szCs w:val="24"/>
        </w:rPr>
        <w:t xml:space="preserve"> 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532B7B" w:rsidRDefault="00226CA0" w:rsidP="00532B7B">
      <w:pPr>
        <w:pStyle w:val="Prrafodelista"/>
        <w:numPr>
          <w:ilvl w:val="0"/>
          <w:numId w:val="9"/>
        </w:numPr>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b/>
          <w:szCs w:val="24"/>
        </w:rPr>
        <w:t>En relación con la observación relativa al Registro de Actividades de Tratamiento.</w:t>
      </w:r>
      <w:r w:rsidR="009B753B" w:rsidRPr="00532B7B">
        <w:rPr>
          <w:rFonts w:asciiTheme="minorHAnsi" w:hAnsiTheme="minorHAnsi" w:cstheme="minorHAnsi"/>
          <w:b/>
          <w:szCs w:val="24"/>
        </w:rPr>
        <w:t xml:space="preserve"> </w:t>
      </w:r>
    </w:p>
    <w:p w:rsid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3D01AF" w:rsidRPr="00532B7B" w:rsidRDefault="007467AA" w:rsidP="00532B7B">
      <w:pPr>
        <w:pStyle w:val="Prrafodelista"/>
        <w:tabs>
          <w:tab w:val="left" w:pos="284"/>
        </w:tabs>
        <w:spacing w:before="120" w:after="120" w:line="312" w:lineRule="auto"/>
        <w:jc w:val="both"/>
        <w:rPr>
          <w:rFonts w:asciiTheme="minorHAnsi" w:hAnsiTheme="minorHAnsi" w:cstheme="minorHAnsi"/>
          <w:b/>
          <w:szCs w:val="24"/>
        </w:rPr>
      </w:pPr>
      <w:r w:rsidRPr="00532B7B">
        <w:rPr>
          <w:rFonts w:asciiTheme="minorHAnsi" w:hAnsiTheme="minorHAnsi" w:cstheme="minorHAnsi"/>
          <w:szCs w:val="24"/>
        </w:rPr>
        <w:t xml:space="preserve">Como se señala en el borrador de informe de evaluación, la </w:t>
      </w:r>
      <w:r w:rsidR="00A802F7" w:rsidRPr="00532B7B">
        <w:rPr>
          <w:rFonts w:asciiTheme="minorHAnsi" w:hAnsiTheme="minorHAnsi" w:cstheme="minorHAnsi"/>
          <w:szCs w:val="24"/>
        </w:rPr>
        <w:t xml:space="preserve">ausencia </w:t>
      </w:r>
      <w:r w:rsidRPr="00532B7B">
        <w:rPr>
          <w:rFonts w:asciiTheme="minorHAnsi" w:hAnsiTheme="minorHAnsi" w:cstheme="minorHAnsi"/>
          <w:szCs w:val="24"/>
        </w:rPr>
        <w:t xml:space="preserve"> de publicación del Registro de Actividades de Tratamiento se </w:t>
      </w:r>
      <w:r w:rsidR="009B753B" w:rsidRPr="00532B7B">
        <w:rPr>
          <w:rFonts w:asciiTheme="minorHAnsi" w:hAnsiTheme="minorHAnsi" w:cstheme="minorHAnsi"/>
          <w:szCs w:val="24"/>
        </w:rPr>
        <w:t>indicaba</w:t>
      </w:r>
      <w:r w:rsidRPr="00532B7B">
        <w:rPr>
          <w:rFonts w:asciiTheme="minorHAnsi" w:hAnsiTheme="minorHAnsi" w:cstheme="minorHAnsi"/>
          <w:szCs w:val="24"/>
        </w:rPr>
        <w:t xml:space="preserve"> no porque la CNMV hubiese optado por publicar un conjunto de registros individualizados sino porque estos ficheros no contenían toda la información </w:t>
      </w:r>
      <w:r w:rsidR="002F2730" w:rsidRPr="00532B7B">
        <w:rPr>
          <w:rFonts w:asciiTheme="minorHAnsi" w:hAnsiTheme="minorHAnsi" w:cstheme="minorHAnsi"/>
          <w:szCs w:val="24"/>
        </w:rPr>
        <w:t>exigida por el Reglamento Europeo de Protección de Datos.</w:t>
      </w:r>
      <w:r w:rsidR="00A802F7" w:rsidRPr="00532B7B">
        <w:rPr>
          <w:rFonts w:asciiTheme="minorHAnsi" w:hAnsiTheme="minorHAnsi" w:cstheme="minorHAnsi"/>
          <w:szCs w:val="24"/>
        </w:rPr>
        <w:t xml:space="preserve"> Es decir, no cabía considerar cumplida esta obligación por razón de su contenido, no de su formato; en este sentido el artículo 31.2 de la LOPDPGDD establece que en el inventario de sus actividades de tratamiento que deben publicar los sujetos enumerado en su artículo 77.1 tiene que constar la información establecida en el artículo 30 del Reglamento (UE) 2016/679 y su base legal. Es por ello que</w:t>
      </w:r>
      <w:r w:rsidR="001B02FE" w:rsidRPr="00532B7B">
        <w:rPr>
          <w:rFonts w:asciiTheme="minorHAnsi" w:hAnsiTheme="minorHAnsi" w:cstheme="minorHAnsi"/>
          <w:szCs w:val="24"/>
        </w:rPr>
        <w:t xml:space="preserve"> no ha sido posible considerar que</w:t>
      </w:r>
      <w:r w:rsidR="00A802F7" w:rsidRPr="00532B7B">
        <w:rPr>
          <w:rFonts w:asciiTheme="minorHAnsi" w:hAnsiTheme="minorHAnsi" w:cstheme="minorHAnsi"/>
          <w:szCs w:val="24"/>
        </w:rPr>
        <w:t xml:space="preserve"> </w:t>
      </w:r>
      <w:r w:rsidR="009B753B" w:rsidRPr="00532B7B">
        <w:rPr>
          <w:rFonts w:asciiTheme="minorHAnsi" w:hAnsiTheme="minorHAnsi" w:cstheme="minorHAnsi"/>
          <w:szCs w:val="24"/>
        </w:rPr>
        <w:t xml:space="preserve"> tales ficheros se </w:t>
      </w:r>
      <w:r w:rsidR="00A802F7" w:rsidRPr="00532B7B">
        <w:rPr>
          <w:rFonts w:asciiTheme="minorHAnsi" w:hAnsiTheme="minorHAnsi" w:cstheme="minorHAnsi"/>
          <w:szCs w:val="24"/>
        </w:rPr>
        <w:t>correspondían  con</w:t>
      </w:r>
      <w:r w:rsidR="009B753B" w:rsidRPr="00532B7B">
        <w:rPr>
          <w:rFonts w:asciiTheme="minorHAnsi" w:hAnsiTheme="minorHAnsi" w:cstheme="minorHAnsi"/>
          <w:szCs w:val="24"/>
        </w:rPr>
        <w:t xml:space="preserve"> el Registro de Actividades de Tratamiento de la CNMV</w:t>
      </w:r>
      <w:r w:rsidR="00532B7B">
        <w:rPr>
          <w:rFonts w:asciiTheme="minorHAnsi" w:hAnsiTheme="minorHAnsi" w:cstheme="minorHAnsi"/>
          <w:szCs w:val="24"/>
        </w:rPr>
        <w:t>.</w:t>
      </w:r>
    </w:p>
    <w:p w:rsidR="00532B7B" w:rsidRPr="00532B7B" w:rsidRDefault="00532B7B" w:rsidP="00532B7B">
      <w:pPr>
        <w:pStyle w:val="Prrafodelista"/>
        <w:tabs>
          <w:tab w:val="left" w:pos="284"/>
        </w:tabs>
        <w:spacing w:before="120" w:after="120" w:line="312" w:lineRule="auto"/>
        <w:jc w:val="both"/>
        <w:rPr>
          <w:rFonts w:asciiTheme="minorHAnsi" w:hAnsiTheme="minorHAnsi" w:cstheme="minorHAnsi"/>
          <w:b/>
          <w:szCs w:val="24"/>
        </w:rPr>
      </w:pPr>
    </w:p>
    <w:p w:rsidR="003D01AF" w:rsidRPr="003D01AF" w:rsidRDefault="003D01AF" w:rsidP="003D01AF">
      <w:pPr>
        <w:pStyle w:val="Prrafodelista"/>
        <w:tabs>
          <w:tab w:val="left" w:pos="284"/>
        </w:tabs>
        <w:spacing w:before="120" w:after="120" w:line="312" w:lineRule="auto"/>
        <w:jc w:val="both"/>
        <w:rPr>
          <w:rFonts w:asciiTheme="minorHAnsi" w:hAnsiTheme="minorHAnsi" w:cstheme="minorHAnsi"/>
          <w:szCs w:val="24"/>
        </w:rPr>
      </w:pPr>
      <w:r w:rsidRPr="003D01AF">
        <w:rPr>
          <w:rFonts w:asciiTheme="minorHAnsi" w:hAnsiTheme="minorHAnsi" w:cstheme="minorHAnsi"/>
          <w:szCs w:val="24"/>
        </w:rPr>
        <w:t xml:space="preserve">No </w:t>
      </w:r>
      <w:r w:rsidR="001B02FE">
        <w:rPr>
          <w:rFonts w:asciiTheme="minorHAnsi" w:hAnsiTheme="minorHAnsi" w:cstheme="minorHAnsi"/>
          <w:szCs w:val="24"/>
        </w:rPr>
        <w:t>resulta posible</w:t>
      </w:r>
      <w:r w:rsidR="009C2E55">
        <w:rPr>
          <w:rFonts w:asciiTheme="minorHAnsi" w:hAnsiTheme="minorHAnsi" w:cstheme="minorHAnsi"/>
          <w:szCs w:val="24"/>
        </w:rPr>
        <w:t>,</w:t>
      </w:r>
      <w:r w:rsidR="001B02FE">
        <w:rPr>
          <w:rFonts w:asciiTheme="minorHAnsi" w:hAnsiTheme="minorHAnsi" w:cstheme="minorHAnsi"/>
          <w:szCs w:val="24"/>
        </w:rPr>
        <w:t xml:space="preserve"> </w:t>
      </w:r>
      <w:r w:rsidRPr="003D01AF">
        <w:rPr>
          <w:rFonts w:asciiTheme="minorHAnsi" w:hAnsiTheme="minorHAnsi" w:cstheme="minorHAnsi"/>
          <w:szCs w:val="24"/>
        </w:rPr>
        <w:t xml:space="preserve"> por lo tanto</w:t>
      </w:r>
      <w:r>
        <w:rPr>
          <w:rFonts w:asciiTheme="minorHAnsi" w:hAnsiTheme="minorHAnsi" w:cstheme="minorHAnsi"/>
          <w:szCs w:val="24"/>
        </w:rPr>
        <w:t>,</w:t>
      </w:r>
      <w:r w:rsidRPr="003D01AF">
        <w:rPr>
          <w:rFonts w:asciiTheme="minorHAnsi" w:hAnsiTheme="minorHAnsi" w:cstheme="minorHAnsi"/>
          <w:szCs w:val="24"/>
        </w:rPr>
        <w:t xml:space="preserve"> aceptar la observación efectuada por la CNMV.</w:t>
      </w:r>
    </w:p>
    <w:p w:rsidR="009B753B" w:rsidRPr="009B753B" w:rsidRDefault="009B753B" w:rsidP="009B753B">
      <w:pPr>
        <w:pStyle w:val="Prrafodelista"/>
        <w:tabs>
          <w:tab w:val="left" w:pos="284"/>
        </w:tabs>
        <w:spacing w:before="120" w:after="120" w:line="312" w:lineRule="auto"/>
        <w:jc w:val="both"/>
        <w:rPr>
          <w:rFonts w:asciiTheme="minorHAnsi" w:hAnsiTheme="minorHAnsi" w:cstheme="minorHAnsi"/>
          <w:szCs w:val="24"/>
        </w:rPr>
      </w:pPr>
    </w:p>
    <w:p w:rsidR="003D01AF" w:rsidRDefault="003D01A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Respecto de la observación relativa a la </w:t>
      </w:r>
      <w:r w:rsidRPr="003D01AF">
        <w:rPr>
          <w:rFonts w:asciiTheme="minorHAnsi" w:hAnsiTheme="minorHAnsi" w:cstheme="minorHAnsi"/>
          <w:b/>
          <w:szCs w:val="24"/>
        </w:rPr>
        <w:t>publicación de la información sobre subvenciones</w:t>
      </w:r>
      <w:r>
        <w:rPr>
          <w:rFonts w:asciiTheme="minorHAnsi" w:hAnsiTheme="minorHAnsi" w:cstheme="minorHAnsi"/>
          <w:szCs w:val="24"/>
        </w:rPr>
        <w:t xml:space="preserve"> a través de la Base de Datos Nacional de Subvenciones.</w:t>
      </w:r>
    </w:p>
    <w:p w:rsidR="00532B7B" w:rsidRDefault="00532B7B" w:rsidP="003D01AF">
      <w:pPr>
        <w:pStyle w:val="Prrafodelista"/>
        <w:tabs>
          <w:tab w:val="left" w:pos="284"/>
        </w:tabs>
        <w:spacing w:before="120" w:after="120" w:line="312" w:lineRule="auto"/>
        <w:jc w:val="both"/>
        <w:rPr>
          <w:rFonts w:asciiTheme="minorHAnsi" w:hAnsiTheme="minorHAnsi" w:cstheme="minorHAnsi"/>
          <w:szCs w:val="24"/>
        </w:rPr>
      </w:pPr>
    </w:p>
    <w:p w:rsidR="003D01AF" w:rsidRDefault="003D01AF"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Como se señala en el borrador de informe de evaluación, efectivamente existe un enlace dentro del bloque Información Económica, Presupuestaria y Estadística del Portal de Transparencia de la CNMV a la Base de Datos Nacional de Subvenciones, el problema es que dicho enlace abre una página de la propia BDNS en la que se indica que el recurso solicitado no se ha encontrado. Circunstancia que se sigue dando en el momento de revisar las observaciones </w:t>
      </w:r>
      <w:r w:rsidR="009E35FF">
        <w:rPr>
          <w:rFonts w:asciiTheme="minorHAnsi" w:hAnsiTheme="minorHAnsi" w:cstheme="minorHAnsi"/>
          <w:szCs w:val="24"/>
        </w:rPr>
        <w:t xml:space="preserve">efectuadas por la CNMC. </w:t>
      </w:r>
    </w:p>
    <w:p w:rsidR="009E35FF" w:rsidRDefault="009E35FF" w:rsidP="003D01AF">
      <w:pPr>
        <w:pStyle w:val="Prrafodelista"/>
        <w:tabs>
          <w:tab w:val="left" w:pos="284"/>
        </w:tabs>
        <w:spacing w:before="120" w:after="120" w:line="312" w:lineRule="auto"/>
        <w:jc w:val="both"/>
        <w:rPr>
          <w:rFonts w:asciiTheme="minorHAnsi" w:hAnsiTheme="minorHAnsi" w:cstheme="minorHAnsi"/>
          <w:szCs w:val="24"/>
        </w:rPr>
      </w:pPr>
    </w:p>
    <w:p w:rsidR="003D01AF" w:rsidRDefault="009E35FF" w:rsidP="003D01A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es un problema añadido a los ya señalados por este Consejo cuando se opta por la publicación de informaciones obligatorias recurriendo a fuentes de datos centralizadas</w:t>
      </w:r>
      <w:r w:rsidR="00AF4D45">
        <w:rPr>
          <w:rFonts w:asciiTheme="minorHAnsi" w:hAnsiTheme="minorHAnsi" w:cstheme="minorHAnsi"/>
          <w:szCs w:val="24"/>
        </w:rPr>
        <w:t xml:space="preserve">: la </w:t>
      </w:r>
      <w:r w:rsidR="00AF4D45">
        <w:rPr>
          <w:rFonts w:asciiTheme="minorHAnsi" w:hAnsiTheme="minorHAnsi" w:cstheme="minorHAnsi"/>
          <w:szCs w:val="24"/>
        </w:rPr>
        <w:lastRenderedPageBreak/>
        <w:t>imposibilidad de que la entidad que adopta esta decisión pueda controlar tanto los contenidos como el mantenimiento de los enlaces a su información en la fuente centralizada.</w:t>
      </w:r>
    </w:p>
    <w:p w:rsidR="00532B7B" w:rsidRDefault="00532B7B" w:rsidP="003D01AF">
      <w:pPr>
        <w:pStyle w:val="Prrafodelista"/>
        <w:tabs>
          <w:tab w:val="left" w:pos="284"/>
        </w:tabs>
        <w:spacing w:before="120" w:after="120" w:line="312" w:lineRule="auto"/>
        <w:jc w:val="both"/>
        <w:rPr>
          <w:rFonts w:asciiTheme="minorHAnsi" w:hAnsiTheme="minorHAnsi" w:cstheme="minorHAnsi"/>
          <w:szCs w:val="24"/>
        </w:rPr>
      </w:pPr>
    </w:p>
    <w:p w:rsidR="00364215" w:rsidRPr="00364215" w:rsidRDefault="00364215" w:rsidP="00364215">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364215">
        <w:rPr>
          <w:rFonts w:asciiTheme="minorHAnsi" w:hAnsiTheme="minorHAnsi" w:cstheme="minorHAnsi"/>
          <w:szCs w:val="24"/>
        </w:rPr>
        <w:t xml:space="preserve">Respecto de la observación relativa a la </w:t>
      </w:r>
      <w:r w:rsidRPr="00364215">
        <w:rPr>
          <w:rFonts w:asciiTheme="minorHAnsi" w:hAnsiTheme="minorHAnsi" w:cstheme="minorHAnsi"/>
          <w:b/>
          <w:szCs w:val="24"/>
        </w:rPr>
        <w:t>actualización de la información relativa a las retribuciones de altos cargos.</w:t>
      </w:r>
    </w:p>
    <w:p w:rsidR="00364215" w:rsidRDefault="00364215" w:rsidP="00364215">
      <w:pPr>
        <w:pStyle w:val="Prrafodelista"/>
        <w:tabs>
          <w:tab w:val="left" w:pos="284"/>
        </w:tabs>
        <w:spacing w:before="120" w:after="120" w:line="312" w:lineRule="auto"/>
        <w:jc w:val="both"/>
        <w:rPr>
          <w:rFonts w:asciiTheme="minorHAnsi" w:hAnsiTheme="minorHAnsi" w:cstheme="minorHAnsi"/>
          <w:szCs w:val="24"/>
        </w:rPr>
      </w:pPr>
    </w:p>
    <w:p w:rsidR="00364215" w:rsidRDefault="00364215" w:rsidP="00364215">
      <w:pPr>
        <w:pStyle w:val="Prrafodelista"/>
        <w:tabs>
          <w:tab w:val="left" w:pos="284"/>
        </w:tabs>
        <w:spacing w:before="120" w:after="120" w:line="312" w:lineRule="auto"/>
        <w:jc w:val="both"/>
        <w:rPr>
          <w:rFonts w:asciiTheme="minorHAnsi" w:hAnsiTheme="minorHAnsi" w:cstheme="minorHAnsi"/>
          <w:szCs w:val="24"/>
        </w:rPr>
      </w:pPr>
      <w:r w:rsidRPr="00364215">
        <w:rPr>
          <w:rFonts w:asciiTheme="minorHAnsi" w:hAnsiTheme="minorHAnsi" w:cstheme="minorHAnsi"/>
          <w:szCs w:val="24"/>
        </w:rPr>
        <w:t xml:space="preserve">Señala la </w:t>
      </w:r>
      <w:r>
        <w:rPr>
          <w:rFonts w:asciiTheme="minorHAnsi" w:hAnsiTheme="minorHAnsi" w:cstheme="minorHAnsi"/>
          <w:szCs w:val="24"/>
        </w:rPr>
        <w:t>CNMV</w:t>
      </w:r>
      <w:r w:rsidRPr="00364215">
        <w:rPr>
          <w:rFonts w:asciiTheme="minorHAnsi" w:hAnsiTheme="minorHAnsi" w:cstheme="minorHAnsi"/>
          <w:szCs w:val="24"/>
        </w:rPr>
        <w:t xml:space="preserve"> que el criterio que mantiene sobre esta cuestión es publicar la información </w:t>
      </w:r>
      <w:r>
        <w:rPr>
          <w:rFonts w:asciiTheme="minorHAnsi" w:hAnsiTheme="minorHAnsi" w:cstheme="minorHAnsi"/>
          <w:szCs w:val="24"/>
        </w:rPr>
        <w:t>conjuntamente con las cuentas anuales</w:t>
      </w:r>
      <w:r w:rsidRPr="00364215">
        <w:rPr>
          <w:rFonts w:asciiTheme="minorHAnsi" w:hAnsiTheme="minorHAnsi" w:cstheme="minorHAnsi"/>
          <w:szCs w:val="24"/>
        </w:rPr>
        <w:t xml:space="preserve">. El problema es que este criterio de publicación implica que la información se encuentre desactualizada, más de un año en el momento en que se efectuó la evaluación. </w:t>
      </w:r>
    </w:p>
    <w:p w:rsidR="00364215" w:rsidRDefault="00364215" w:rsidP="00364215">
      <w:pPr>
        <w:pStyle w:val="Prrafodelista"/>
        <w:tabs>
          <w:tab w:val="left" w:pos="284"/>
        </w:tabs>
        <w:spacing w:before="120" w:after="120" w:line="312" w:lineRule="auto"/>
        <w:jc w:val="both"/>
        <w:rPr>
          <w:rFonts w:asciiTheme="minorHAnsi" w:hAnsiTheme="minorHAnsi" w:cstheme="minorHAnsi"/>
          <w:szCs w:val="24"/>
        </w:rPr>
      </w:pPr>
    </w:p>
    <w:p w:rsidR="00434AE3" w:rsidRDefault="00364215" w:rsidP="0036421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w:t>
      </w:r>
      <w:r w:rsidR="00AF5C68">
        <w:rPr>
          <w:rFonts w:asciiTheme="minorHAnsi" w:hAnsiTheme="minorHAnsi" w:cstheme="minorHAnsi"/>
          <w:szCs w:val="24"/>
        </w:rPr>
        <w:t>,</w:t>
      </w:r>
      <w:r>
        <w:rPr>
          <w:rFonts w:asciiTheme="minorHAnsi" w:hAnsiTheme="minorHAnsi" w:cstheme="minorHAnsi"/>
          <w:szCs w:val="24"/>
        </w:rPr>
        <w:t xml:space="preserve"> la publicación de las retribuciones anuales constituye una obligación de publicidad activa diferenciada de la </w:t>
      </w:r>
      <w:r w:rsidR="00F82E72">
        <w:rPr>
          <w:rFonts w:asciiTheme="minorHAnsi" w:hAnsiTheme="minorHAnsi" w:cstheme="minorHAnsi"/>
          <w:szCs w:val="24"/>
        </w:rPr>
        <w:t>relativa a</w:t>
      </w:r>
      <w:r>
        <w:rPr>
          <w:rFonts w:asciiTheme="minorHAnsi" w:hAnsiTheme="minorHAnsi" w:cstheme="minorHAnsi"/>
          <w:szCs w:val="24"/>
        </w:rPr>
        <w:t xml:space="preserve"> las cuentas anuales y por lo tanto</w:t>
      </w:r>
      <w:r w:rsidR="00532B7B">
        <w:rPr>
          <w:rFonts w:asciiTheme="minorHAnsi" w:hAnsiTheme="minorHAnsi" w:cstheme="minorHAnsi"/>
          <w:szCs w:val="24"/>
        </w:rPr>
        <w:t>,</w:t>
      </w:r>
      <w:r>
        <w:rPr>
          <w:rFonts w:asciiTheme="minorHAnsi" w:hAnsiTheme="minorHAnsi" w:cstheme="minorHAnsi"/>
          <w:szCs w:val="24"/>
        </w:rPr>
        <w:t xml:space="preserve"> debe publicarse de manera </w:t>
      </w:r>
      <w:r w:rsidR="00AF5C68">
        <w:rPr>
          <w:rFonts w:asciiTheme="minorHAnsi" w:hAnsiTheme="minorHAnsi" w:cstheme="minorHAnsi"/>
          <w:szCs w:val="24"/>
        </w:rPr>
        <w:t>individualizada</w:t>
      </w:r>
      <w:r>
        <w:rPr>
          <w:rFonts w:asciiTheme="minorHAnsi" w:hAnsiTheme="minorHAnsi" w:cstheme="minorHAnsi"/>
          <w:szCs w:val="24"/>
        </w:rPr>
        <w:t xml:space="preserve">. </w:t>
      </w:r>
      <w:r w:rsidR="00434AE3">
        <w:rPr>
          <w:rFonts w:asciiTheme="minorHAnsi" w:hAnsiTheme="minorHAnsi" w:cstheme="minorHAnsi"/>
          <w:szCs w:val="24"/>
        </w:rPr>
        <w:t xml:space="preserve">Esta misma circunstancia se da en relación con la </w:t>
      </w:r>
      <w:r w:rsidR="00F82E72">
        <w:rPr>
          <w:rFonts w:asciiTheme="minorHAnsi" w:hAnsiTheme="minorHAnsi" w:cstheme="minorHAnsi"/>
          <w:szCs w:val="24"/>
        </w:rPr>
        <w:t>información</w:t>
      </w:r>
      <w:r w:rsidR="00434AE3">
        <w:rPr>
          <w:rFonts w:asciiTheme="minorHAnsi" w:hAnsiTheme="minorHAnsi" w:cstheme="minorHAnsi"/>
          <w:szCs w:val="24"/>
        </w:rPr>
        <w:t xml:space="preserve"> </w:t>
      </w:r>
      <w:r w:rsidR="00F82E72">
        <w:rPr>
          <w:rFonts w:asciiTheme="minorHAnsi" w:hAnsiTheme="minorHAnsi" w:cstheme="minorHAnsi"/>
          <w:szCs w:val="24"/>
        </w:rPr>
        <w:t>sobre</w:t>
      </w:r>
      <w:r w:rsidR="00434AE3">
        <w:rPr>
          <w:rFonts w:asciiTheme="minorHAnsi" w:hAnsiTheme="minorHAnsi" w:cstheme="minorHAnsi"/>
          <w:szCs w:val="24"/>
        </w:rPr>
        <w:t xml:space="preserve"> las indemnizaciones percibidas por altos cargos con ocasión del cese, cuya publicación según indica la CNMV en su informe de observaciones se efectuaría al igual que las retribuciones</w:t>
      </w:r>
      <w:r w:rsidR="00F82E72">
        <w:rPr>
          <w:rFonts w:asciiTheme="minorHAnsi" w:hAnsiTheme="minorHAnsi" w:cstheme="minorHAnsi"/>
          <w:szCs w:val="24"/>
        </w:rPr>
        <w:t>,</w:t>
      </w:r>
      <w:r w:rsidR="00434AE3">
        <w:rPr>
          <w:rFonts w:asciiTheme="minorHAnsi" w:hAnsiTheme="minorHAnsi" w:cstheme="minorHAnsi"/>
          <w:szCs w:val="24"/>
        </w:rPr>
        <w:t xml:space="preserve"> junto con las cuentas anuales.</w:t>
      </w:r>
    </w:p>
    <w:p w:rsidR="00434AE3" w:rsidRDefault="00434AE3" w:rsidP="00364215">
      <w:pPr>
        <w:pStyle w:val="Prrafodelista"/>
        <w:tabs>
          <w:tab w:val="left" w:pos="284"/>
        </w:tabs>
        <w:spacing w:before="120" w:after="120" w:line="312" w:lineRule="auto"/>
        <w:jc w:val="both"/>
        <w:rPr>
          <w:rFonts w:asciiTheme="minorHAnsi" w:hAnsiTheme="minorHAnsi" w:cstheme="minorHAnsi"/>
          <w:szCs w:val="24"/>
        </w:rPr>
      </w:pPr>
    </w:p>
    <w:p w:rsidR="00364215" w:rsidRDefault="00364215" w:rsidP="0036421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Además,</w:t>
      </w:r>
      <w:r w:rsidR="00434AE3">
        <w:rPr>
          <w:rFonts w:asciiTheme="minorHAnsi" w:hAnsiTheme="minorHAnsi" w:cstheme="minorHAnsi"/>
          <w:szCs w:val="24"/>
        </w:rPr>
        <w:t xml:space="preserve"> y volviendo a las retribuciones, éstas</w:t>
      </w:r>
      <w:r>
        <w:rPr>
          <w:rFonts w:asciiTheme="minorHAnsi" w:hAnsiTheme="minorHAnsi" w:cstheme="minorHAnsi"/>
          <w:szCs w:val="24"/>
        </w:rPr>
        <w:t xml:space="preserve"> se fijan anualmente </w:t>
      </w:r>
      <w:r w:rsidR="00AF5C68">
        <w:rPr>
          <w:rFonts w:asciiTheme="minorHAnsi" w:hAnsiTheme="minorHAnsi" w:cstheme="minorHAnsi"/>
          <w:szCs w:val="24"/>
        </w:rPr>
        <w:t xml:space="preserve">por la Secretaría de Estado de Presupuestos y Gastos, por lo que no es necesario esperar al cierre de las cuentas anuales para proporcionar esta información obligatoria. </w:t>
      </w:r>
    </w:p>
    <w:p w:rsidR="00434AE3" w:rsidRPr="00364215" w:rsidRDefault="00434AE3" w:rsidP="00364215">
      <w:pPr>
        <w:pStyle w:val="Prrafodelista"/>
        <w:tabs>
          <w:tab w:val="left" w:pos="284"/>
        </w:tabs>
        <w:spacing w:before="120" w:after="120" w:line="312" w:lineRule="auto"/>
        <w:jc w:val="both"/>
        <w:rPr>
          <w:rFonts w:asciiTheme="minorHAnsi" w:hAnsiTheme="minorHAnsi" w:cstheme="minorHAnsi"/>
          <w:szCs w:val="24"/>
        </w:rPr>
      </w:pPr>
    </w:p>
    <w:p w:rsidR="00AF4D45" w:rsidRDefault="00AF4D45" w:rsidP="00AF4D45">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AF4D45">
        <w:rPr>
          <w:rFonts w:asciiTheme="minorHAnsi" w:hAnsiTheme="minorHAnsi" w:cstheme="minorHAnsi"/>
          <w:szCs w:val="24"/>
        </w:rPr>
        <w:t xml:space="preserve">Sobre la observación relativa a la </w:t>
      </w:r>
      <w:r w:rsidRPr="00434AE3">
        <w:rPr>
          <w:rFonts w:asciiTheme="minorHAnsi" w:hAnsiTheme="minorHAnsi" w:cstheme="minorHAnsi"/>
          <w:b/>
          <w:szCs w:val="24"/>
        </w:rPr>
        <w:t xml:space="preserve">publicación de información sobre autorizaciones de compatibilidad </w:t>
      </w:r>
      <w:r w:rsidRPr="00AF4D45">
        <w:rPr>
          <w:rFonts w:asciiTheme="minorHAnsi" w:hAnsiTheme="minorHAnsi" w:cstheme="minorHAnsi"/>
          <w:szCs w:val="24"/>
        </w:rPr>
        <w:t>al cese de Altos Cargos.</w:t>
      </w:r>
    </w:p>
    <w:p w:rsidR="00532B7B" w:rsidRPr="00AF4D45" w:rsidRDefault="00532B7B" w:rsidP="00532B7B">
      <w:pPr>
        <w:pStyle w:val="Prrafodelista"/>
        <w:tabs>
          <w:tab w:val="left" w:pos="284"/>
        </w:tabs>
        <w:spacing w:before="120" w:after="120" w:line="312" w:lineRule="auto"/>
        <w:jc w:val="both"/>
        <w:rPr>
          <w:rFonts w:asciiTheme="minorHAnsi" w:hAnsiTheme="minorHAnsi" w:cstheme="minorHAnsi"/>
          <w:szCs w:val="24"/>
        </w:rPr>
      </w:pPr>
    </w:p>
    <w:p w:rsidR="00AF4D45" w:rsidRDefault="00AF4D45" w:rsidP="00AF4D45">
      <w:pPr>
        <w:pStyle w:val="Prrafodelista"/>
        <w:tabs>
          <w:tab w:val="left" w:pos="284"/>
        </w:tabs>
        <w:spacing w:before="120" w:after="120" w:line="312" w:lineRule="auto"/>
        <w:jc w:val="both"/>
        <w:rPr>
          <w:rFonts w:asciiTheme="minorHAnsi" w:hAnsiTheme="minorHAnsi" w:cstheme="minorHAnsi"/>
          <w:szCs w:val="24"/>
        </w:rPr>
      </w:pPr>
      <w:r w:rsidRPr="00434AE3">
        <w:rPr>
          <w:rFonts w:asciiTheme="minorHAnsi" w:hAnsiTheme="minorHAnsi" w:cstheme="minorHAnsi"/>
          <w:szCs w:val="24"/>
        </w:rPr>
        <w:t xml:space="preserve">Indica </w:t>
      </w:r>
      <w:r w:rsidR="00434AE3">
        <w:rPr>
          <w:rFonts w:asciiTheme="minorHAnsi" w:hAnsiTheme="minorHAnsi" w:cstheme="minorHAnsi"/>
          <w:szCs w:val="24"/>
        </w:rPr>
        <w:t>la CNMV</w:t>
      </w:r>
      <w:r w:rsidRPr="00434AE3">
        <w:rPr>
          <w:rFonts w:asciiTheme="minorHAnsi" w:hAnsiTheme="minorHAnsi" w:cstheme="minorHAnsi"/>
          <w:szCs w:val="24"/>
        </w:rPr>
        <w:t xml:space="preserve"> en su observación que la competencia sobre esta materia corresponde a la Oficina de Conflictos de Intereses (OCI) y que </w:t>
      </w:r>
      <w:r w:rsidR="00434AE3">
        <w:rPr>
          <w:rFonts w:asciiTheme="minorHAnsi" w:hAnsiTheme="minorHAnsi" w:cstheme="minorHAnsi"/>
          <w:szCs w:val="24"/>
        </w:rPr>
        <w:t>es a la OCI a quien corresponde la publicación de esta información.</w:t>
      </w:r>
    </w:p>
    <w:p w:rsidR="00434AE3" w:rsidRPr="00434AE3" w:rsidRDefault="00434AE3" w:rsidP="00AF4D45">
      <w:pPr>
        <w:pStyle w:val="Prrafodelista"/>
        <w:tabs>
          <w:tab w:val="left" w:pos="284"/>
        </w:tabs>
        <w:spacing w:before="120" w:after="120" w:line="312" w:lineRule="auto"/>
        <w:jc w:val="both"/>
        <w:rPr>
          <w:rFonts w:asciiTheme="minorHAnsi" w:hAnsiTheme="minorHAnsi" w:cstheme="minorHAnsi"/>
          <w:szCs w:val="24"/>
        </w:rPr>
      </w:pPr>
    </w:p>
    <w:p w:rsidR="00AF4D45" w:rsidRDefault="00AF4D45" w:rsidP="00AF4D45">
      <w:pPr>
        <w:pStyle w:val="Prrafodelista"/>
        <w:tabs>
          <w:tab w:val="left" w:pos="284"/>
        </w:tabs>
        <w:spacing w:before="120" w:after="120" w:line="312" w:lineRule="auto"/>
        <w:jc w:val="both"/>
        <w:rPr>
          <w:rFonts w:asciiTheme="minorHAnsi" w:hAnsiTheme="minorHAnsi" w:cstheme="minorHAnsi"/>
          <w:szCs w:val="24"/>
        </w:rPr>
      </w:pPr>
      <w:r w:rsidRPr="00434AE3">
        <w:rPr>
          <w:rFonts w:asciiTheme="minorHAnsi" w:hAnsiTheme="minorHAnsi" w:cstheme="minorHAnsi"/>
          <w:szCs w:val="24"/>
        </w:rPr>
        <w:t>En este sentido cabe recordar</w:t>
      </w:r>
      <w:r w:rsidRPr="00AF4D45">
        <w:rPr>
          <w:rFonts w:asciiTheme="minorHAnsi" w:hAnsiTheme="minorHAnsi" w:cstheme="minorHAnsi"/>
          <w:szCs w:val="24"/>
        </w:rPr>
        <w:t xml:space="preserve"> que el artículo 5.4 de la LTAIBG señala que la información sujeta a las obligaciones de transparencia será publicada en las correspondientes sedes electrónicas o páginas web de los sujetos obligados. Se trata de una situación análoga a la correspondiente a las compatibilidades de empleados públicos para las que también es únicamente competente la OCI, información </w:t>
      </w:r>
      <w:r w:rsidR="00434AE3">
        <w:rPr>
          <w:rFonts w:asciiTheme="minorHAnsi" w:hAnsiTheme="minorHAnsi" w:cstheme="minorHAnsi"/>
          <w:szCs w:val="24"/>
        </w:rPr>
        <w:t>que si se publica por la CNMV</w:t>
      </w:r>
      <w:r w:rsidRPr="00AF4D45">
        <w:rPr>
          <w:rFonts w:asciiTheme="minorHAnsi" w:hAnsiTheme="minorHAnsi" w:cstheme="minorHAnsi"/>
          <w:szCs w:val="24"/>
        </w:rPr>
        <w:t>.</w:t>
      </w:r>
    </w:p>
    <w:p w:rsidR="007B024C" w:rsidRPr="00AF4D45" w:rsidRDefault="007B024C" w:rsidP="00AF4D45">
      <w:pPr>
        <w:pStyle w:val="Prrafodelista"/>
        <w:tabs>
          <w:tab w:val="left" w:pos="284"/>
        </w:tabs>
        <w:spacing w:before="120" w:after="120" w:line="312" w:lineRule="auto"/>
        <w:jc w:val="both"/>
        <w:rPr>
          <w:rFonts w:asciiTheme="minorHAnsi" w:hAnsiTheme="minorHAnsi" w:cstheme="minorHAnsi"/>
          <w:szCs w:val="24"/>
        </w:rPr>
      </w:pPr>
    </w:p>
    <w:p w:rsidR="00AF4D45" w:rsidRPr="00AF4D45" w:rsidRDefault="00AF4D45" w:rsidP="00AF4D45">
      <w:pPr>
        <w:pStyle w:val="Prrafodelista"/>
        <w:tabs>
          <w:tab w:val="left" w:pos="284"/>
        </w:tabs>
        <w:spacing w:before="120" w:after="120" w:line="312" w:lineRule="auto"/>
        <w:jc w:val="both"/>
        <w:rPr>
          <w:rFonts w:asciiTheme="minorHAnsi" w:hAnsiTheme="minorHAnsi" w:cstheme="minorHAnsi"/>
          <w:szCs w:val="24"/>
        </w:rPr>
      </w:pPr>
      <w:r w:rsidRPr="00AF4D45">
        <w:rPr>
          <w:rFonts w:asciiTheme="minorHAnsi" w:hAnsiTheme="minorHAnsi" w:cstheme="minorHAnsi"/>
          <w:szCs w:val="24"/>
        </w:rPr>
        <w:t xml:space="preserve">El hecho de que quien tiene la competencia para otorgar la autorización sea un órgano diferente, no implica que pueda obviarse la publicación de esta información por parte del órgano en el que la persona autorizada prestó sus servicios. </w:t>
      </w:r>
    </w:p>
    <w:p w:rsidR="006C0214" w:rsidRDefault="006C0214"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Se </w:t>
      </w:r>
      <w:r w:rsidR="007B024C">
        <w:rPr>
          <w:rFonts w:asciiTheme="minorHAnsi" w:hAnsiTheme="minorHAnsi" w:cstheme="minorHAnsi"/>
          <w:szCs w:val="24"/>
        </w:rPr>
        <w:t xml:space="preserve">ha </w:t>
      </w:r>
      <w:r w:rsidRPr="00C94C61">
        <w:rPr>
          <w:rFonts w:asciiTheme="minorHAnsi" w:hAnsiTheme="minorHAnsi" w:cstheme="minorHAnsi"/>
          <w:b/>
          <w:szCs w:val="24"/>
        </w:rPr>
        <w:t>modifica</w:t>
      </w:r>
      <w:r w:rsidR="007B024C">
        <w:rPr>
          <w:rFonts w:asciiTheme="minorHAnsi" w:hAnsiTheme="minorHAnsi" w:cstheme="minorHAnsi"/>
          <w:b/>
          <w:szCs w:val="24"/>
        </w:rPr>
        <w:t>do de oficio</w:t>
      </w:r>
      <w:r w:rsidRPr="00C94C61">
        <w:rPr>
          <w:rFonts w:asciiTheme="minorHAnsi" w:hAnsiTheme="minorHAnsi" w:cstheme="minorHAnsi"/>
          <w:b/>
          <w:szCs w:val="24"/>
        </w:rPr>
        <w:t xml:space="preserve"> la valoración del criterio de publicación en formatos reutilizables</w:t>
      </w:r>
      <w:r>
        <w:rPr>
          <w:rFonts w:asciiTheme="minorHAnsi" w:hAnsiTheme="minorHAnsi" w:cstheme="minorHAnsi"/>
          <w:szCs w:val="24"/>
        </w:rPr>
        <w:t xml:space="preserve"> y en consecuencia se evalúan nuevamente aquellas informaciones que inicialment</w:t>
      </w:r>
      <w:r w:rsidR="007B024C">
        <w:rPr>
          <w:rFonts w:asciiTheme="minorHAnsi" w:hAnsiTheme="minorHAnsi" w:cstheme="minorHAnsi"/>
          <w:szCs w:val="24"/>
        </w:rPr>
        <w:t xml:space="preserve">e no cumplían con este criterio, </w:t>
      </w:r>
      <w:r>
        <w:rPr>
          <w:rFonts w:asciiTheme="minorHAnsi" w:hAnsiTheme="minorHAnsi" w:cstheme="minorHAnsi"/>
          <w:szCs w:val="24"/>
        </w:rPr>
        <w:t xml:space="preserve"> </w:t>
      </w:r>
      <w:r w:rsidR="00C94C61">
        <w:rPr>
          <w:rFonts w:asciiTheme="minorHAnsi" w:hAnsiTheme="minorHAnsi" w:cstheme="minorHAnsi"/>
          <w:szCs w:val="24"/>
        </w:rPr>
        <w:t xml:space="preserve">al haberse constatado que el Portal de Transparencia de la </w:t>
      </w:r>
      <w:r w:rsidR="007B024C">
        <w:rPr>
          <w:rFonts w:asciiTheme="minorHAnsi" w:hAnsiTheme="minorHAnsi" w:cstheme="minorHAnsi"/>
          <w:szCs w:val="24"/>
        </w:rPr>
        <w:t>CNMV</w:t>
      </w:r>
      <w:r w:rsidR="00C94C61">
        <w:rPr>
          <w:rFonts w:asciiTheme="minorHAnsi" w:hAnsiTheme="minorHAnsi" w:cstheme="minorHAnsi"/>
          <w:szCs w:val="24"/>
        </w:rPr>
        <w:t xml:space="preserve"> permite la posibilidad de copia de la información que se publica sobre la web y que el formato HTML, que es el utilizado por la </w:t>
      </w:r>
      <w:r w:rsidR="007B024C">
        <w:rPr>
          <w:rFonts w:asciiTheme="minorHAnsi" w:hAnsiTheme="minorHAnsi" w:cstheme="minorHAnsi"/>
          <w:szCs w:val="24"/>
        </w:rPr>
        <w:t>CNMV</w:t>
      </w:r>
      <w:r w:rsidR="00C94C61">
        <w:rPr>
          <w:rFonts w:asciiTheme="minorHAnsi" w:hAnsiTheme="minorHAnsi" w:cstheme="minorHAnsi"/>
          <w:szCs w:val="24"/>
        </w:rPr>
        <w:t xml:space="preserve"> en su web Institucional</w:t>
      </w:r>
      <w:r w:rsidR="00E90B21">
        <w:rPr>
          <w:rFonts w:asciiTheme="minorHAnsi" w:hAnsiTheme="minorHAnsi" w:cstheme="minorHAnsi"/>
          <w:szCs w:val="24"/>
        </w:rPr>
        <w:t xml:space="preserve"> es un formato reutilizable</w:t>
      </w:r>
      <w:r w:rsidR="00C94C61">
        <w:rPr>
          <w:rFonts w:asciiTheme="minorHAnsi" w:hAnsiTheme="minorHAnsi" w:cstheme="minorHAnsi"/>
          <w:szCs w:val="24"/>
        </w:rPr>
        <w:t>.</w:t>
      </w:r>
    </w:p>
    <w:p w:rsidR="00C94C61" w:rsidRDefault="00C94C61" w:rsidP="00C94C61">
      <w:pPr>
        <w:pStyle w:val="Prrafodelista"/>
        <w:tabs>
          <w:tab w:val="left" w:pos="284"/>
        </w:tabs>
        <w:spacing w:before="120" w:after="120" w:line="312" w:lineRule="auto"/>
        <w:jc w:val="both"/>
        <w:rPr>
          <w:rFonts w:asciiTheme="minorHAnsi" w:hAnsiTheme="minorHAnsi" w:cstheme="minorHAnsi"/>
          <w:szCs w:val="24"/>
        </w:rPr>
      </w:pPr>
    </w:p>
    <w:p w:rsidR="00855ECA" w:rsidRDefault="003D0DAF"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b/>
          <w:szCs w:val="24"/>
        </w:rPr>
        <w:t xml:space="preserve">Respecto de las recomendaciones derivadas de la evaluación y aplicadas por la </w:t>
      </w:r>
      <w:r w:rsidR="007B024C">
        <w:rPr>
          <w:rFonts w:asciiTheme="minorHAnsi" w:hAnsiTheme="minorHAnsi" w:cstheme="minorHAnsi"/>
          <w:b/>
          <w:szCs w:val="24"/>
        </w:rPr>
        <w:t>CNMV</w:t>
      </w:r>
      <w:r>
        <w:rPr>
          <w:rFonts w:asciiTheme="minorHAnsi" w:hAnsiTheme="minorHAnsi" w:cstheme="minorHAnsi"/>
          <w:b/>
          <w:szCs w:val="24"/>
        </w:rPr>
        <w:t xml:space="preserve"> durante el periodo de observaciones</w:t>
      </w:r>
      <w:r w:rsidR="00194E05">
        <w:rPr>
          <w:rFonts w:asciiTheme="minorHAnsi" w:hAnsiTheme="minorHAnsi" w:cstheme="minorHAnsi"/>
          <w:szCs w:val="24"/>
        </w:rPr>
        <w:t>.</w:t>
      </w:r>
    </w:p>
    <w:p w:rsidR="00F17B00" w:rsidRDefault="00F17B00" w:rsidP="00194E05">
      <w:pPr>
        <w:pStyle w:val="Prrafodelista"/>
        <w:tabs>
          <w:tab w:val="left" w:pos="284"/>
        </w:tabs>
        <w:spacing w:before="120" w:after="120" w:line="312" w:lineRule="auto"/>
        <w:jc w:val="both"/>
        <w:rPr>
          <w:rFonts w:asciiTheme="minorHAnsi" w:hAnsiTheme="minorHAnsi" w:cstheme="minorHAnsi"/>
          <w:szCs w:val="24"/>
        </w:rPr>
      </w:pPr>
    </w:p>
    <w:p w:rsidR="00194E05" w:rsidRDefault="003D0DAF" w:rsidP="00194E05">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muy positivamente la </w:t>
      </w:r>
      <w:proofErr w:type="spellStart"/>
      <w:r>
        <w:rPr>
          <w:rFonts w:asciiTheme="minorHAnsi" w:hAnsiTheme="minorHAnsi" w:cstheme="minorHAnsi"/>
          <w:szCs w:val="24"/>
        </w:rPr>
        <w:t>proactividad</w:t>
      </w:r>
      <w:proofErr w:type="spellEnd"/>
      <w:r>
        <w:rPr>
          <w:rFonts w:asciiTheme="minorHAnsi" w:hAnsiTheme="minorHAnsi" w:cstheme="minorHAnsi"/>
          <w:szCs w:val="24"/>
        </w:rPr>
        <w:t xml:space="preserve"> de la </w:t>
      </w:r>
      <w:r w:rsidR="007B024C">
        <w:rPr>
          <w:rFonts w:asciiTheme="minorHAnsi" w:hAnsiTheme="minorHAnsi" w:cstheme="minorHAnsi"/>
          <w:szCs w:val="24"/>
        </w:rPr>
        <w:t>CNMV</w:t>
      </w:r>
      <w:r>
        <w:rPr>
          <w:rFonts w:asciiTheme="minorHAnsi" w:hAnsiTheme="minorHAnsi" w:cstheme="minorHAnsi"/>
          <w:szCs w:val="24"/>
        </w:rPr>
        <w:t xml:space="preserve"> en la aplicación de la mayoría de las recomendaciones efectuadas.</w:t>
      </w:r>
      <w:r w:rsidR="00194E05">
        <w:rPr>
          <w:rFonts w:asciiTheme="minorHAnsi" w:hAnsiTheme="minorHAnsi" w:cstheme="minorHAnsi"/>
          <w:szCs w:val="24"/>
        </w:rPr>
        <w:t xml:space="preserve"> </w:t>
      </w:r>
      <w:r>
        <w:rPr>
          <w:rFonts w:asciiTheme="minorHAnsi" w:hAnsiTheme="minorHAnsi" w:cstheme="minorHAnsi"/>
          <w:szCs w:val="24"/>
        </w:rPr>
        <w:t xml:space="preserve">No obstante el alcance temporal de la evaluación se limita al periodo comprendido entre 1 de enero y 31 de diciembre de 2020, </w:t>
      </w:r>
      <w:r w:rsidRPr="003D0DAF">
        <w:rPr>
          <w:rFonts w:asciiTheme="minorHAnsi" w:hAnsiTheme="minorHAnsi" w:cstheme="minorHAnsi"/>
          <w:szCs w:val="24"/>
        </w:rPr>
        <w:t xml:space="preserve">por lo que las recomendaciones implantadas como consecuencia de la evaluación no serán tenidas en cuenta para proceder a una nueva valoración del cumplimiento de las obligaciones de publicidad activa. Si lo serán, cuando en </w:t>
      </w:r>
      <w:r>
        <w:rPr>
          <w:rFonts w:asciiTheme="minorHAnsi" w:hAnsiTheme="minorHAnsi" w:cstheme="minorHAnsi"/>
          <w:szCs w:val="24"/>
        </w:rPr>
        <w:t>2022</w:t>
      </w:r>
      <w:r w:rsidRPr="003D0DAF">
        <w:rPr>
          <w:rFonts w:asciiTheme="minorHAnsi" w:hAnsiTheme="minorHAnsi" w:cstheme="minorHAnsi"/>
          <w:szCs w:val="24"/>
        </w:rPr>
        <w:t xml:space="preserve"> se efectúe por parte de este Consejo un </w:t>
      </w:r>
      <w:r>
        <w:rPr>
          <w:rFonts w:asciiTheme="minorHAnsi" w:hAnsiTheme="minorHAnsi" w:cstheme="minorHAnsi"/>
          <w:szCs w:val="24"/>
        </w:rPr>
        <w:t>seguimiento</w:t>
      </w:r>
      <w:r w:rsidRPr="003D0DAF">
        <w:rPr>
          <w:rFonts w:asciiTheme="minorHAnsi" w:hAnsiTheme="minorHAnsi" w:cstheme="minorHAnsi"/>
          <w:szCs w:val="24"/>
        </w:rPr>
        <w:t xml:space="preserve"> de la aplicación de las recomendaciones efectuadas.</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D44E9D" w:rsidRDefault="00D44E9D" w:rsidP="00D44E9D">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D44E9D">
        <w:rPr>
          <w:rFonts w:asciiTheme="minorHAnsi" w:hAnsiTheme="minorHAnsi" w:cstheme="minorHAnsi"/>
          <w:szCs w:val="24"/>
        </w:rPr>
        <w:t xml:space="preserve">Tras la revisión efectuada por parte de este Consejo, el Indicador de Cumplimiento Información Obligatoria correspondiente </w:t>
      </w:r>
      <w:r w:rsidR="000324D2">
        <w:rPr>
          <w:rFonts w:asciiTheme="minorHAnsi" w:hAnsiTheme="minorHAnsi" w:cstheme="minorHAnsi"/>
          <w:szCs w:val="24"/>
        </w:rPr>
        <w:t xml:space="preserve">a la </w:t>
      </w:r>
      <w:r w:rsidR="00F82E72">
        <w:rPr>
          <w:rFonts w:asciiTheme="minorHAnsi" w:hAnsiTheme="minorHAnsi" w:cstheme="minorHAnsi"/>
          <w:szCs w:val="24"/>
        </w:rPr>
        <w:t>CNMV</w:t>
      </w:r>
      <w:r w:rsidRPr="00D44E9D">
        <w:rPr>
          <w:rFonts w:asciiTheme="minorHAnsi" w:hAnsiTheme="minorHAnsi" w:cstheme="minorHAnsi"/>
          <w:szCs w:val="24"/>
        </w:rPr>
        <w:t xml:space="preserve"> se sitúa en el </w:t>
      </w:r>
      <w:r w:rsidR="007B024C">
        <w:rPr>
          <w:rFonts w:asciiTheme="minorHAnsi" w:hAnsiTheme="minorHAnsi" w:cstheme="minorHAnsi"/>
          <w:szCs w:val="24"/>
        </w:rPr>
        <w:t>72,4</w:t>
      </w:r>
      <w:r w:rsidRPr="00D44E9D">
        <w:rPr>
          <w:rFonts w:asciiTheme="minorHAnsi" w:hAnsiTheme="minorHAnsi" w:cstheme="minorHAnsi"/>
          <w:szCs w:val="24"/>
        </w:rPr>
        <w:t>%.</w:t>
      </w: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bookmarkStart w:id="0" w:name="_GoBack"/>
      <w:bookmarkEnd w:id="0"/>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90B21">
        <w:rPr>
          <w:rFonts w:asciiTheme="minorHAnsi" w:hAnsiTheme="minorHAnsi" w:cstheme="minorHAnsi"/>
          <w:szCs w:val="24"/>
        </w:rPr>
        <w:t>marzo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F7" w:rsidRDefault="00A802F7" w:rsidP="00344FE7">
      <w:pPr>
        <w:spacing w:after="0" w:line="240" w:lineRule="auto"/>
      </w:pPr>
      <w:r>
        <w:separator/>
      </w:r>
    </w:p>
  </w:endnote>
  <w:endnote w:type="continuationSeparator" w:id="0">
    <w:p w:rsidR="00A802F7" w:rsidRDefault="00A802F7"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802F7" w:rsidRPr="00C23F36" w:rsidRDefault="00A802F7"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4E7ED1">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F7" w:rsidRDefault="00A802F7" w:rsidP="00344FE7">
      <w:pPr>
        <w:spacing w:after="0" w:line="240" w:lineRule="auto"/>
      </w:pPr>
      <w:r>
        <w:separator/>
      </w:r>
    </w:p>
  </w:footnote>
  <w:footnote w:type="continuationSeparator" w:id="0">
    <w:p w:rsidR="00A802F7" w:rsidRDefault="00A802F7"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F7" w:rsidRDefault="00A802F7">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802F7" w:rsidRDefault="00A802F7">
    <w:pPr>
      <w:pStyle w:val="Encabezado"/>
    </w:pPr>
  </w:p>
  <w:p w:rsidR="00A802F7" w:rsidRDefault="00A802F7" w:rsidP="00344FE7">
    <w:pPr>
      <w:pStyle w:val="Encabezado"/>
    </w:pPr>
  </w:p>
  <w:p w:rsidR="00A802F7" w:rsidRDefault="00A802F7" w:rsidP="00344FE7">
    <w:pPr>
      <w:pStyle w:val="Encabezado"/>
    </w:pPr>
  </w:p>
  <w:p w:rsidR="00A802F7" w:rsidRDefault="00A802F7"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2F7" w:rsidRDefault="00A802F7"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24D2"/>
    <w:rsid w:val="00033E75"/>
    <w:rsid w:val="00036A5D"/>
    <w:rsid w:val="00074030"/>
    <w:rsid w:val="001257F9"/>
    <w:rsid w:val="0014196C"/>
    <w:rsid w:val="001620F0"/>
    <w:rsid w:val="001750A8"/>
    <w:rsid w:val="00175D6C"/>
    <w:rsid w:val="0018324C"/>
    <w:rsid w:val="00194E05"/>
    <w:rsid w:val="001B02FE"/>
    <w:rsid w:val="001B16D9"/>
    <w:rsid w:val="001E44BC"/>
    <w:rsid w:val="00226CA0"/>
    <w:rsid w:val="00235A40"/>
    <w:rsid w:val="00251194"/>
    <w:rsid w:val="00292806"/>
    <w:rsid w:val="002A4771"/>
    <w:rsid w:val="002C000A"/>
    <w:rsid w:val="002F2730"/>
    <w:rsid w:val="002F5D0B"/>
    <w:rsid w:val="003259B9"/>
    <w:rsid w:val="00344FE7"/>
    <w:rsid w:val="00351475"/>
    <w:rsid w:val="00364215"/>
    <w:rsid w:val="003656B1"/>
    <w:rsid w:val="003B5DE7"/>
    <w:rsid w:val="003D01AF"/>
    <w:rsid w:val="003D0DAF"/>
    <w:rsid w:val="003F0972"/>
    <w:rsid w:val="003F38BD"/>
    <w:rsid w:val="004108BB"/>
    <w:rsid w:val="00434AE3"/>
    <w:rsid w:val="0045134F"/>
    <w:rsid w:val="004B15B8"/>
    <w:rsid w:val="004D4EF1"/>
    <w:rsid w:val="004E7ED1"/>
    <w:rsid w:val="00532B7B"/>
    <w:rsid w:val="005B1C12"/>
    <w:rsid w:val="005E3D42"/>
    <w:rsid w:val="00614890"/>
    <w:rsid w:val="006C0214"/>
    <w:rsid w:val="006F17B5"/>
    <w:rsid w:val="006F5890"/>
    <w:rsid w:val="0071472F"/>
    <w:rsid w:val="007342F2"/>
    <w:rsid w:val="007467AA"/>
    <w:rsid w:val="007A662D"/>
    <w:rsid w:val="007B024C"/>
    <w:rsid w:val="007C00E5"/>
    <w:rsid w:val="007C0642"/>
    <w:rsid w:val="007C1C6F"/>
    <w:rsid w:val="007D24E2"/>
    <w:rsid w:val="00815DA2"/>
    <w:rsid w:val="00855ECA"/>
    <w:rsid w:val="0089717A"/>
    <w:rsid w:val="008B79BD"/>
    <w:rsid w:val="00901F1F"/>
    <w:rsid w:val="009029E0"/>
    <w:rsid w:val="009557B1"/>
    <w:rsid w:val="009B753B"/>
    <w:rsid w:val="009B7ADA"/>
    <w:rsid w:val="009C2E55"/>
    <w:rsid w:val="009D2560"/>
    <w:rsid w:val="009D6677"/>
    <w:rsid w:val="009E16B5"/>
    <w:rsid w:val="009E30AA"/>
    <w:rsid w:val="009E35FF"/>
    <w:rsid w:val="00A24192"/>
    <w:rsid w:val="00A26523"/>
    <w:rsid w:val="00A603C7"/>
    <w:rsid w:val="00A62936"/>
    <w:rsid w:val="00A802F7"/>
    <w:rsid w:val="00AE5BF4"/>
    <w:rsid w:val="00AF4D45"/>
    <w:rsid w:val="00AF5C68"/>
    <w:rsid w:val="00B2797F"/>
    <w:rsid w:val="00B31F84"/>
    <w:rsid w:val="00B35A53"/>
    <w:rsid w:val="00B75881"/>
    <w:rsid w:val="00B81EE6"/>
    <w:rsid w:val="00BC7A82"/>
    <w:rsid w:val="00C01613"/>
    <w:rsid w:val="00C0201F"/>
    <w:rsid w:val="00C05003"/>
    <w:rsid w:val="00C119CE"/>
    <w:rsid w:val="00C23F36"/>
    <w:rsid w:val="00C305B6"/>
    <w:rsid w:val="00C3135F"/>
    <w:rsid w:val="00C736B9"/>
    <w:rsid w:val="00C82AB2"/>
    <w:rsid w:val="00C87BC3"/>
    <w:rsid w:val="00C94C61"/>
    <w:rsid w:val="00CF0704"/>
    <w:rsid w:val="00D23111"/>
    <w:rsid w:val="00D445A4"/>
    <w:rsid w:val="00D44E9D"/>
    <w:rsid w:val="00D72EF9"/>
    <w:rsid w:val="00DB21EC"/>
    <w:rsid w:val="00DB2CB4"/>
    <w:rsid w:val="00DB2CCC"/>
    <w:rsid w:val="00DD07B5"/>
    <w:rsid w:val="00DF5982"/>
    <w:rsid w:val="00E03C82"/>
    <w:rsid w:val="00E35741"/>
    <w:rsid w:val="00E4386D"/>
    <w:rsid w:val="00E43D90"/>
    <w:rsid w:val="00E5135F"/>
    <w:rsid w:val="00E64F85"/>
    <w:rsid w:val="00E90B21"/>
    <w:rsid w:val="00EB7058"/>
    <w:rsid w:val="00EC3AAE"/>
    <w:rsid w:val="00ED6FD3"/>
    <w:rsid w:val="00EF5F68"/>
    <w:rsid w:val="00F17B00"/>
    <w:rsid w:val="00F5121D"/>
    <w:rsid w:val="00F777C2"/>
    <w:rsid w:val="00F82E72"/>
    <w:rsid w:val="00FD4B61"/>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2021-04-10T11:16:00Z</dcterms:created>
  <dcterms:modified xsi:type="dcterms:W3CDTF">2021-04-10T11:16:00Z</dcterms:modified>
</cp:coreProperties>
</file>