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6D9827C4" wp14:editId="013A8B75">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9038AB" w:rsidRPr="00006957" w:rsidRDefault="009038A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Content>
                        <w:p w:rsidR="001D390A" w:rsidRPr="00006957" w:rsidRDefault="001D390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14:anchorId="3E04C7B8" wp14:editId="586EAADF">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9038AB" w:rsidRDefault="009038AB" w:rsidP="00B40246">
                            <w:pPr>
                              <w:pStyle w:val="Ttulo2"/>
                              <w:tabs>
                                <w:tab w:val="left" w:pos="142"/>
                              </w:tabs>
                              <w:ind w:left="567"/>
                            </w:pPr>
                            <w:r>
                              <w:rPr>
                                <w:noProof/>
                              </w:rPr>
                              <w:drawing>
                                <wp:inline distT="0" distB="0" distL="0" distR="0" wp14:anchorId="7659A74E" wp14:editId="6874593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1D390A" w:rsidRDefault="001D390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289E07D4" wp14:editId="519F092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1E5C54">
            <w:pPr>
              <w:rPr>
                <w:sz w:val="24"/>
                <w:szCs w:val="24"/>
              </w:rPr>
            </w:pPr>
            <w:r>
              <w:rPr>
                <w:sz w:val="24"/>
                <w:szCs w:val="24"/>
              </w:rPr>
              <w:t>Consejo de Seguridad Nuclear</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00308F">
            <w:pPr>
              <w:rPr>
                <w:sz w:val="24"/>
                <w:szCs w:val="24"/>
              </w:rPr>
            </w:pPr>
            <w:r>
              <w:rPr>
                <w:sz w:val="24"/>
                <w:szCs w:val="24"/>
              </w:rPr>
              <w:t>12/02/2021</w:t>
            </w:r>
          </w:p>
        </w:tc>
      </w:tr>
    </w:tbl>
    <w:p w:rsidR="000C6CFF" w:rsidRDefault="000C6CFF"/>
    <w:p w:rsidR="00561402" w:rsidRPr="0012783F" w:rsidRDefault="00322B09">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E74F50" w:rsidRDefault="001E3415" w:rsidP="009038AB">
      <w:pPr>
        <w:ind w:left="426"/>
        <w:jc w:val="both"/>
      </w:pPr>
      <w:r>
        <w:t xml:space="preserve">Según indica el CSN en su sede electrónica la unidad responsable de la gestión de las solicitudes de acceso es el Gabinete Técnico de la Presidencia. </w:t>
      </w:r>
    </w:p>
    <w:p w:rsidR="001E3415" w:rsidRDefault="00E74F50" w:rsidP="009038AB">
      <w:pPr>
        <w:ind w:left="426"/>
        <w:jc w:val="both"/>
        <w:rPr>
          <w:rStyle w:val="Ttulo2Car"/>
          <w:color w:val="00642D"/>
          <w:lang w:bidi="es-ES"/>
        </w:rPr>
      </w:pPr>
      <w:r>
        <w:rPr>
          <w:rStyle w:val="Ttulo2Car"/>
          <w:b w:val="0"/>
          <w:color w:val="auto"/>
          <w:sz w:val="22"/>
          <w:szCs w:val="22"/>
          <w:lang w:bidi="es-ES"/>
        </w:rPr>
        <w:t>No se ha proporcionado información sobre el número de personas que asumen tareas de gestión de las solicitudes de acceso a la información.</w:t>
      </w:r>
    </w:p>
    <w:p w:rsidR="00B812AB" w:rsidRPr="0012783F" w:rsidRDefault="00322B09" w:rsidP="00B812AB">
      <w:pPr>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 xml:space="preserve">Actividad generada en 2020 por las solicitudes de acceso a información pública  </w:t>
          </w:r>
        </w:sdtContent>
      </w:sdt>
    </w:p>
    <w:p w:rsidR="00E74F50" w:rsidRDefault="00E74F50" w:rsidP="00E74F50">
      <w:pPr>
        <w:ind w:left="426"/>
        <w:jc w:val="both"/>
      </w:pPr>
      <w:r>
        <w:t>No se ha aportado información por parte del CSN sobre la actividad generada por las solicitudes de acceso a la información en 2020.</w:t>
      </w:r>
    </w:p>
    <w:p w:rsidR="00E74F50" w:rsidRPr="009079EA" w:rsidRDefault="00E74F50" w:rsidP="00E74F50">
      <w:pPr>
        <w:pStyle w:val="Cuerpodelboletn"/>
        <w:spacing w:before="120" w:after="120" w:line="276" w:lineRule="auto"/>
        <w:ind w:left="426"/>
        <w:rPr>
          <w:rStyle w:val="Ttulo2Car"/>
          <w:b w:val="0"/>
          <w:color w:val="auto"/>
          <w:sz w:val="22"/>
          <w:szCs w:val="22"/>
          <w:lang w:bidi="es-ES"/>
        </w:rPr>
      </w:pPr>
      <w:r w:rsidRPr="009079EA">
        <w:rPr>
          <w:rStyle w:val="Ttulo2Car"/>
          <w:b w:val="0"/>
          <w:color w:val="auto"/>
          <w:sz w:val="22"/>
          <w:szCs w:val="22"/>
          <w:lang w:bidi="es-ES"/>
        </w:rPr>
        <w:t>No</w:t>
      </w:r>
      <w:r>
        <w:rPr>
          <w:rStyle w:val="Ttulo2Car"/>
          <w:b w:val="0"/>
          <w:color w:val="auto"/>
          <w:sz w:val="22"/>
          <w:szCs w:val="22"/>
          <w:lang w:bidi="es-ES"/>
        </w:rPr>
        <w:t xml:space="preserve"> </w:t>
      </w:r>
      <w:r w:rsidRPr="009079EA">
        <w:rPr>
          <w:rStyle w:val="Ttulo2Car"/>
          <w:b w:val="0"/>
          <w:color w:val="auto"/>
          <w:sz w:val="22"/>
          <w:szCs w:val="22"/>
          <w:lang w:bidi="es-ES"/>
        </w:rPr>
        <w:t>se ha</w:t>
      </w:r>
      <w:r>
        <w:rPr>
          <w:rStyle w:val="Ttulo2Car"/>
          <w:b w:val="0"/>
          <w:color w:val="auto"/>
          <w:sz w:val="22"/>
          <w:szCs w:val="22"/>
          <w:lang w:bidi="es-ES"/>
        </w:rPr>
        <w:t xml:space="preserve"> </w:t>
      </w:r>
      <w:r w:rsidRPr="009079EA">
        <w:rPr>
          <w:rStyle w:val="Ttulo2Car"/>
          <w:b w:val="0"/>
          <w:color w:val="auto"/>
          <w:sz w:val="22"/>
          <w:szCs w:val="22"/>
          <w:lang w:bidi="es-ES"/>
        </w:rPr>
        <w:t>localizado en la web de</w:t>
      </w:r>
      <w:r>
        <w:rPr>
          <w:rStyle w:val="Ttulo2Car"/>
          <w:b w:val="0"/>
          <w:color w:val="auto"/>
          <w:sz w:val="22"/>
          <w:szCs w:val="22"/>
          <w:lang w:bidi="es-ES"/>
        </w:rPr>
        <w:t>l CSN</w:t>
      </w:r>
      <w:r w:rsidRPr="009079EA">
        <w:rPr>
          <w:rStyle w:val="Ttulo2Car"/>
          <w:b w:val="0"/>
          <w:color w:val="auto"/>
          <w:sz w:val="22"/>
          <w:szCs w:val="22"/>
          <w:lang w:bidi="es-ES"/>
        </w:rPr>
        <w:t xml:space="preserve">, </w:t>
      </w:r>
      <w:r>
        <w:rPr>
          <w:rStyle w:val="Ttulo2Car"/>
          <w:b w:val="0"/>
          <w:color w:val="auto"/>
          <w:sz w:val="22"/>
          <w:szCs w:val="22"/>
          <w:lang w:bidi="es-ES"/>
        </w:rPr>
        <w:t>información sobre las solicitudes denegadas por aplicación de los límites del artículo 14 de la LTAIBG, tal y como establece el artículo 14.3 de la norma, que obliga a la publicación de estas resoluciones previa disociación de los datos de carácter personal. S</w:t>
      </w:r>
      <w:r w:rsidR="00DD6391">
        <w:rPr>
          <w:rStyle w:val="Ttulo2Car"/>
          <w:b w:val="0"/>
          <w:color w:val="auto"/>
          <w:sz w:val="22"/>
          <w:szCs w:val="22"/>
          <w:lang w:bidi="es-ES"/>
        </w:rPr>
        <w:t>í</w:t>
      </w:r>
      <w:r>
        <w:rPr>
          <w:rStyle w:val="Ttulo2Car"/>
          <w:b w:val="0"/>
          <w:color w:val="auto"/>
          <w:sz w:val="22"/>
          <w:szCs w:val="22"/>
          <w:lang w:bidi="es-ES"/>
        </w:rPr>
        <w:t xml:space="preserve"> se publican las resoluciones del CTBG </w:t>
      </w:r>
      <w:r w:rsidR="009038AB">
        <w:rPr>
          <w:rStyle w:val="Ttulo2Car"/>
          <w:b w:val="0"/>
          <w:color w:val="auto"/>
          <w:sz w:val="22"/>
          <w:szCs w:val="22"/>
          <w:lang w:bidi="es-ES"/>
        </w:rPr>
        <w:t xml:space="preserve">adoptadas en las reclamaciones  </w:t>
      </w:r>
      <w:r>
        <w:rPr>
          <w:rStyle w:val="Ttulo2Car"/>
          <w:b w:val="0"/>
          <w:color w:val="auto"/>
          <w:sz w:val="22"/>
          <w:szCs w:val="22"/>
          <w:lang w:bidi="es-ES"/>
        </w:rPr>
        <w:t>que afectan al CSN.</w:t>
      </w:r>
    </w:p>
    <w:p w:rsidR="008C0A9A" w:rsidRDefault="008C0A9A" w:rsidP="00B812AB"/>
    <w:p w:rsidR="00B812AB" w:rsidRPr="00E34195" w:rsidRDefault="00322B09" w:rsidP="00B812AB">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  ejercicio del derecho de acceso</w:t>
          </w:r>
        </w:sdtContent>
      </w:sdt>
    </w:p>
    <w:p w:rsidR="000D5E0B" w:rsidRDefault="000D5E0B" w:rsidP="000D5E0B">
      <w:pPr>
        <w:ind w:left="426"/>
        <w:jc w:val="both"/>
      </w:pPr>
      <w:r>
        <w:t xml:space="preserve">El CSN dispone en su sede electrónica de un espacio específico para el ejercicio del derecho de acceso a la información pública de la institución, al que se accede a través de </w:t>
      </w:r>
      <w:r w:rsidRPr="000D5E0B">
        <w:t xml:space="preserve">un enlace en el carrusel situado debajo del apartado otros trámites. La denominación del enlace “Solicitud de información del Portal de Transparencia” </w:t>
      </w:r>
      <w:r>
        <w:t>puede resultar</w:t>
      </w:r>
      <w:r w:rsidRPr="000D5E0B">
        <w:t xml:space="preserve"> confusa.</w:t>
      </w:r>
    </w:p>
    <w:p w:rsidR="000D5E0B" w:rsidRDefault="000D5E0B" w:rsidP="000D5E0B">
      <w:pPr>
        <w:ind w:left="426"/>
        <w:jc w:val="both"/>
      </w:pPr>
      <w:r>
        <w:lastRenderedPageBreak/>
        <w:t xml:space="preserve">En este espacio se hace referencia expresa a la posibilidad que tienen los ciudadanos de solicitar información pública del organismo al amparo de la LTAIBG. </w:t>
      </w:r>
      <w:r w:rsidR="007B142B">
        <w:t xml:space="preserve">No se informa sobre los </w:t>
      </w:r>
      <w:r>
        <w:t xml:space="preserve">medios </w:t>
      </w:r>
      <w:r w:rsidR="007B142B">
        <w:t xml:space="preserve">existentes </w:t>
      </w:r>
      <w:r>
        <w:t xml:space="preserve">para la presentación de solicitudes de </w:t>
      </w:r>
      <w:r w:rsidR="00E7218B">
        <w:t>información, só</w:t>
      </w:r>
      <w:r w:rsidR="007B142B">
        <w:t xml:space="preserve">lo se </w:t>
      </w:r>
      <w:r w:rsidR="00C03463">
        <w:t>contempla</w:t>
      </w:r>
      <w:r w:rsidR="007B142B">
        <w:t xml:space="preserve"> la presentación a través de </w:t>
      </w:r>
      <w:r w:rsidR="009038AB">
        <w:t>su</w:t>
      </w:r>
      <w:r w:rsidR="007B142B">
        <w:t xml:space="preserve"> sede </w:t>
      </w:r>
      <w:r w:rsidR="00C03463">
        <w:t>electrónica</w:t>
      </w:r>
      <w:r w:rsidR="00E7218B">
        <w:t>, lo que implica que la identificación obligatoriamente se efectúe mediante certificado digital.</w:t>
      </w:r>
      <w:r w:rsidR="000E7F86">
        <w:t xml:space="preserve"> Además del certificado es preciso proporciona</w:t>
      </w:r>
      <w:r w:rsidR="009038AB">
        <w:t>r</w:t>
      </w:r>
      <w:r w:rsidR="000E7F86">
        <w:t xml:space="preserve"> el n</w:t>
      </w:r>
      <w:r w:rsidR="000E7F86" w:rsidRPr="000E7F86">
        <w:t>ombre, apellidos, correo electrónico, teléfono</w:t>
      </w:r>
      <w:r w:rsidR="000E7F86">
        <w:t xml:space="preserve"> y</w:t>
      </w:r>
      <w:r w:rsidR="000E7F86" w:rsidRPr="000E7F86">
        <w:t xml:space="preserve"> medio de comunicación</w:t>
      </w:r>
      <w:r w:rsidR="009038AB">
        <w:t>.</w:t>
      </w:r>
    </w:p>
    <w:p w:rsidR="000D5E0B" w:rsidRDefault="000D5E0B" w:rsidP="000D5E0B">
      <w:pPr>
        <w:ind w:left="426"/>
        <w:jc w:val="both"/>
      </w:pPr>
      <w:r>
        <w:t xml:space="preserve">El </w:t>
      </w:r>
      <w:r w:rsidR="00E7218B">
        <w:t>CSN</w:t>
      </w:r>
      <w:r>
        <w:t xml:space="preserve"> además de un formulario web para la presentación de las solicitudes de acceso, informa sobre el órgano competente para resolver y </w:t>
      </w:r>
      <w:r w:rsidR="00E7218B">
        <w:t>sobre las normas de acceso.</w:t>
      </w:r>
      <w:r>
        <w:t xml:space="preserve"> </w:t>
      </w:r>
    </w:p>
    <w:p w:rsidR="00561402" w:rsidRPr="00BB6799" w:rsidRDefault="00561402">
      <w:pPr>
        <w:rPr>
          <w:b/>
          <w:color w:val="00642D"/>
          <w:sz w:val="30"/>
          <w:szCs w:val="30"/>
        </w:rPr>
      </w:pPr>
    </w:p>
    <w:p w:rsidR="00B40246" w:rsidRPr="00E34195" w:rsidRDefault="00322B09"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932008" w:rsidRDefault="00E3088D" w:rsidP="00E3088D">
      <w:pPr>
        <w:pStyle w:val="Cuerpodelboletn"/>
        <w:spacing w:before="120" w:after="120" w:line="312" w:lineRule="auto"/>
        <w:ind w:left="360"/>
        <w:rPr>
          <w:color w:val="00642D"/>
          <w:lang w:bidi="es-ES"/>
        </w:rPr>
      </w:pPr>
      <w:r w:rsidRPr="00C33A23">
        <w:rPr>
          <w:color w:val="00642D"/>
          <w:lang w:bidi="es-ES"/>
        </w:rPr>
        <w:t xml:space="preserve"> </w:t>
      </w:r>
    </w:p>
    <w:p w:rsidR="00E7218B" w:rsidRDefault="00E7218B" w:rsidP="00E7218B">
      <w:pPr>
        <w:pStyle w:val="Cuerpodelboletn"/>
        <w:tabs>
          <w:tab w:val="left" w:pos="8640"/>
        </w:tabs>
        <w:spacing w:before="120" w:after="120" w:line="312" w:lineRule="auto"/>
        <w:ind w:left="426"/>
        <w:rPr>
          <w:color w:val="auto"/>
          <w:lang w:bidi="es-ES"/>
        </w:rPr>
      </w:pPr>
      <w:r w:rsidRPr="001276B2">
        <w:rPr>
          <w:rStyle w:val="Ttulo2Car"/>
          <w:sz w:val="22"/>
          <w:szCs w:val="22"/>
        </w:rPr>
        <w:t>Inicio del procedimiento</w:t>
      </w:r>
      <w:r>
        <w:rPr>
          <w:color w:val="auto"/>
          <w:lang w:bidi="es-ES"/>
        </w:rPr>
        <w:t xml:space="preserve">. </w:t>
      </w:r>
      <w:r>
        <w:rPr>
          <w:color w:val="auto"/>
          <w:lang w:bidi="es-ES"/>
        </w:rPr>
        <w:tab/>
      </w:r>
    </w:p>
    <w:p w:rsidR="00E7218B" w:rsidRPr="009038AB" w:rsidRDefault="00E7218B" w:rsidP="00E7218B">
      <w:pPr>
        <w:pStyle w:val="Cuerpodelboletn"/>
        <w:spacing w:before="120" w:after="120" w:line="312" w:lineRule="auto"/>
        <w:ind w:left="426"/>
        <w:rPr>
          <w:color w:val="auto"/>
          <w:lang w:bidi="es-ES"/>
        </w:rPr>
      </w:pPr>
      <w:r w:rsidRPr="005C4D89">
        <w:rPr>
          <w:color w:val="auto"/>
          <w:lang w:bidi="es-ES"/>
        </w:rPr>
        <w:t xml:space="preserve">Con fecha </w:t>
      </w:r>
      <w:r>
        <w:rPr>
          <w:color w:val="auto"/>
          <w:lang w:bidi="es-ES"/>
        </w:rPr>
        <w:t>12/02/2021 se presentó</w:t>
      </w:r>
      <w:r w:rsidR="008C514B">
        <w:rPr>
          <w:color w:val="auto"/>
          <w:lang w:bidi="es-ES"/>
        </w:rPr>
        <w:t xml:space="preserve"> mediante el formulario disponible y</w:t>
      </w:r>
      <w:r>
        <w:rPr>
          <w:color w:val="auto"/>
          <w:lang w:bidi="es-ES"/>
        </w:rPr>
        <w:t xml:space="preserve"> a través de la sede electrónica del CSN una solicitud de acceso a información pública. </w:t>
      </w:r>
      <w:r w:rsidR="000E7F86" w:rsidRPr="000E7F86">
        <w:rPr>
          <w:color w:val="auto"/>
          <w:lang w:bidi="es-ES"/>
        </w:rPr>
        <w:t xml:space="preserve">Sí. </w:t>
      </w:r>
      <w:r w:rsidR="000E7F86">
        <w:rPr>
          <w:color w:val="auto"/>
          <w:lang w:bidi="es-ES"/>
        </w:rPr>
        <w:t>En el momento de presentación de la solicitud se emite</w:t>
      </w:r>
      <w:r w:rsidR="000E7F86" w:rsidRPr="000E7F86">
        <w:rPr>
          <w:color w:val="auto"/>
          <w:lang w:bidi="es-ES"/>
        </w:rPr>
        <w:t xml:space="preserve"> </w:t>
      </w:r>
      <w:r w:rsidR="000E7F86">
        <w:rPr>
          <w:color w:val="auto"/>
          <w:lang w:bidi="es-ES"/>
        </w:rPr>
        <w:t>un</w:t>
      </w:r>
      <w:r w:rsidR="000E7F86" w:rsidRPr="000E7F86">
        <w:rPr>
          <w:color w:val="auto"/>
          <w:lang w:bidi="es-ES"/>
        </w:rPr>
        <w:t xml:space="preserve"> acuse de recibo (descargable) y </w:t>
      </w:r>
      <w:r w:rsidR="000E7F86">
        <w:rPr>
          <w:color w:val="auto"/>
          <w:lang w:bidi="es-ES"/>
        </w:rPr>
        <w:t xml:space="preserve">también se comunica </w:t>
      </w:r>
      <w:r w:rsidR="009038AB">
        <w:rPr>
          <w:color w:val="auto"/>
          <w:lang w:bidi="es-ES"/>
        </w:rPr>
        <w:t xml:space="preserve">su recepción </w:t>
      </w:r>
      <w:r w:rsidR="000E7F86">
        <w:rPr>
          <w:color w:val="auto"/>
          <w:lang w:bidi="es-ES"/>
        </w:rPr>
        <w:t>a través</w:t>
      </w:r>
      <w:r w:rsidR="000E7F86" w:rsidRPr="000E7F86">
        <w:rPr>
          <w:color w:val="auto"/>
          <w:lang w:bidi="es-ES"/>
        </w:rPr>
        <w:t xml:space="preserve"> </w:t>
      </w:r>
      <w:r w:rsidR="000E7F86">
        <w:rPr>
          <w:color w:val="auto"/>
          <w:lang w:bidi="es-ES"/>
        </w:rPr>
        <w:t>d</w:t>
      </w:r>
      <w:r w:rsidR="000E7F86" w:rsidRPr="000E7F86">
        <w:rPr>
          <w:color w:val="auto"/>
          <w:lang w:bidi="es-ES"/>
        </w:rPr>
        <w:t>el correo electrónico de contacto facilitado en la solicitud</w:t>
      </w:r>
      <w:r w:rsidR="000E7F86">
        <w:rPr>
          <w:color w:val="auto"/>
          <w:lang w:bidi="es-ES"/>
        </w:rPr>
        <w:t>.</w:t>
      </w:r>
      <w:r w:rsidR="009038AB">
        <w:rPr>
          <w:color w:val="auto"/>
          <w:lang w:bidi="es-ES"/>
        </w:rPr>
        <w:t xml:space="preserve"> </w:t>
      </w:r>
      <w:r w:rsidR="009038AB" w:rsidRPr="009038AB">
        <w:rPr>
          <w:color w:val="auto"/>
          <w:lang w:bidi="es-ES"/>
        </w:rPr>
        <w:t xml:space="preserve">En el </w:t>
      </w:r>
      <w:r w:rsidR="00DD6391">
        <w:rPr>
          <w:color w:val="auto"/>
          <w:lang w:bidi="es-ES"/>
        </w:rPr>
        <w:t>a</w:t>
      </w:r>
      <w:r w:rsidR="009038AB" w:rsidRPr="009038AB">
        <w:rPr>
          <w:color w:val="auto"/>
          <w:lang w:bidi="es-ES"/>
        </w:rPr>
        <w:t>cuse de recibo se i</w:t>
      </w:r>
      <w:r w:rsidR="00DD6391">
        <w:rPr>
          <w:color w:val="auto"/>
          <w:lang w:bidi="es-ES"/>
        </w:rPr>
        <w:t>ndica</w:t>
      </w:r>
      <w:r w:rsidR="001A7F15">
        <w:rPr>
          <w:color w:val="auto"/>
          <w:lang w:bidi="es-ES"/>
        </w:rPr>
        <w:t xml:space="preserve"> </w:t>
      </w:r>
      <w:r w:rsidR="009038AB" w:rsidRPr="009038AB">
        <w:rPr>
          <w:color w:val="auto"/>
          <w:lang w:bidi="es-ES"/>
        </w:rPr>
        <w:t>el número de registro de entrada y además, el número asignado a la solicitud.</w:t>
      </w:r>
      <w:r w:rsidR="009038AB" w:rsidRPr="009038AB">
        <w:rPr>
          <w:rFonts w:cs="CIDFont+F4"/>
          <w:sz w:val="24"/>
        </w:rPr>
        <w:t xml:space="preserve"> También se informa que se contestará n un plazo máximo de 10 </w:t>
      </w:r>
      <w:r w:rsidR="00DD6391">
        <w:rPr>
          <w:rFonts w:cs="CIDFont+F4"/>
          <w:sz w:val="24"/>
        </w:rPr>
        <w:t xml:space="preserve">días </w:t>
      </w:r>
      <w:r w:rsidR="009038AB" w:rsidRPr="009038AB">
        <w:rPr>
          <w:rFonts w:cs="CIDFont+F4"/>
          <w:sz w:val="24"/>
        </w:rPr>
        <w:t>y de forma telem</w:t>
      </w:r>
      <w:r w:rsidR="009038AB">
        <w:rPr>
          <w:rFonts w:cs="CIDFont+F4"/>
          <w:sz w:val="24"/>
        </w:rPr>
        <w:t>ática</w:t>
      </w:r>
      <w:r w:rsidR="009038AB" w:rsidRPr="009038AB">
        <w:rPr>
          <w:rFonts w:cs="CIDFont+F4"/>
          <w:sz w:val="24"/>
        </w:rPr>
        <w:t xml:space="preserve"> a tr</w:t>
      </w:r>
      <w:r w:rsidR="009038AB">
        <w:rPr>
          <w:rFonts w:cs="CIDFont+F4"/>
          <w:sz w:val="24"/>
        </w:rPr>
        <w:t>a</w:t>
      </w:r>
      <w:r w:rsidR="009038AB" w:rsidRPr="009038AB">
        <w:rPr>
          <w:rFonts w:cs="CIDFont+F4"/>
          <w:sz w:val="24"/>
        </w:rPr>
        <w:t>vés de la</w:t>
      </w:r>
      <w:r w:rsidR="009038AB">
        <w:rPr>
          <w:rFonts w:cs="CIDFont+F4"/>
          <w:sz w:val="24"/>
        </w:rPr>
        <w:t xml:space="preserve"> </w:t>
      </w:r>
      <w:r w:rsidR="009038AB" w:rsidRPr="009038AB">
        <w:rPr>
          <w:rFonts w:cs="CIDFont+F4"/>
          <w:sz w:val="24"/>
        </w:rPr>
        <w:t>sede el</w:t>
      </w:r>
      <w:r w:rsidR="009038AB">
        <w:rPr>
          <w:rFonts w:cs="CIDFont+F4"/>
          <w:sz w:val="24"/>
        </w:rPr>
        <w:t>e</w:t>
      </w:r>
      <w:r w:rsidR="009038AB" w:rsidRPr="009038AB">
        <w:rPr>
          <w:rFonts w:cs="CIDFont+F4"/>
          <w:sz w:val="24"/>
        </w:rPr>
        <w:t>ctr</w:t>
      </w:r>
      <w:r w:rsidR="009038AB">
        <w:rPr>
          <w:rFonts w:cs="CIDFont+F4"/>
          <w:sz w:val="24"/>
        </w:rPr>
        <w:t>ónica</w:t>
      </w:r>
      <w:r w:rsidR="009038AB" w:rsidRPr="009038AB">
        <w:rPr>
          <w:rFonts w:cs="CIDFont+F4"/>
          <w:sz w:val="24"/>
        </w:rPr>
        <w:t xml:space="preserve"> (medio elegido p</w:t>
      </w:r>
      <w:r w:rsidR="009038AB">
        <w:rPr>
          <w:rFonts w:cs="CIDFont+F4"/>
          <w:sz w:val="24"/>
        </w:rPr>
        <w:t>or la persona solicitante</w:t>
      </w:r>
      <w:r w:rsidR="009038AB" w:rsidRPr="009038AB">
        <w:rPr>
          <w:rFonts w:cs="CIDFont+F4"/>
          <w:sz w:val="24"/>
        </w:rPr>
        <w:t>)</w:t>
      </w:r>
      <w:r w:rsidR="009038AB">
        <w:rPr>
          <w:rFonts w:cs="CIDFont+F4"/>
          <w:sz w:val="24"/>
        </w:rPr>
        <w:t>.</w:t>
      </w:r>
    </w:p>
    <w:p w:rsidR="00E7218B" w:rsidRDefault="00E7218B" w:rsidP="00E7218B">
      <w:pPr>
        <w:pStyle w:val="Cuerpodelboletn"/>
        <w:spacing w:before="120" w:after="120" w:line="312" w:lineRule="auto"/>
        <w:ind w:left="426"/>
        <w:rPr>
          <w:rStyle w:val="Ttulo2Car"/>
          <w:sz w:val="22"/>
          <w:szCs w:val="22"/>
        </w:rPr>
      </w:pPr>
    </w:p>
    <w:p w:rsidR="00E7218B" w:rsidRDefault="00E7218B" w:rsidP="00E7218B">
      <w:pPr>
        <w:pStyle w:val="Cuerpodelboletn"/>
        <w:spacing w:before="120" w:after="120" w:line="312" w:lineRule="auto"/>
        <w:ind w:left="426"/>
        <w:rPr>
          <w:color w:val="auto"/>
          <w:lang w:bidi="es-ES"/>
        </w:rPr>
      </w:pPr>
      <w:r>
        <w:rPr>
          <w:rStyle w:val="Ttulo2Car"/>
          <w:sz w:val="22"/>
          <w:szCs w:val="22"/>
        </w:rPr>
        <w:t>Tramitación</w:t>
      </w:r>
    </w:p>
    <w:p w:rsidR="00E7218B" w:rsidRDefault="00E7218B" w:rsidP="00E7218B">
      <w:pPr>
        <w:pStyle w:val="Cuerpodelboletn"/>
        <w:spacing w:before="120" w:after="120" w:line="312" w:lineRule="auto"/>
        <w:ind w:left="426"/>
        <w:rPr>
          <w:rStyle w:val="Ttulo2Car"/>
          <w:sz w:val="22"/>
          <w:szCs w:val="22"/>
        </w:rPr>
      </w:pPr>
      <w:r w:rsidRPr="00565C09">
        <w:rPr>
          <w:color w:val="auto"/>
          <w:lang w:bidi="es-ES"/>
        </w:rPr>
        <w:t xml:space="preserve">No se ha recibido comunicación del inicio de </w:t>
      </w:r>
      <w:r w:rsidR="00DE2A2D">
        <w:rPr>
          <w:color w:val="auto"/>
          <w:lang w:bidi="es-ES"/>
        </w:rPr>
        <w:t xml:space="preserve">la tramitación de la solicitud. </w:t>
      </w:r>
      <w:r w:rsidR="00DE2A2D" w:rsidRPr="00DE2A2D">
        <w:rPr>
          <w:color w:val="auto"/>
          <w:lang w:bidi="es-ES"/>
        </w:rPr>
        <w:t xml:space="preserve">El 16/02/2021 contactan </w:t>
      </w:r>
      <w:r w:rsidR="009038AB">
        <w:rPr>
          <w:color w:val="auto"/>
          <w:lang w:bidi="es-ES"/>
        </w:rPr>
        <w:t xml:space="preserve">telefónicamente con la persona solicitante </w:t>
      </w:r>
      <w:r w:rsidR="00DE2A2D" w:rsidRPr="00DE2A2D">
        <w:rPr>
          <w:color w:val="auto"/>
          <w:lang w:bidi="es-ES"/>
        </w:rPr>
        <w:t>desde el Gabinete de la Presidencia de CSN ya que creen que puede haber un error en el envío, pues no les queda claro a qué tipo de información se refiere la solicitud</w:t>
      </w:r>
      <w:r w:rsidR="009038AB">
        <w:rPr>
          <w:color w:val="auto"/>
          <w:lang w:bidi="es-ES"/>
        </w:rPr>
        <w:t>; al parecer,</w:t>
      </w:r>
      <w:r w:rsidR="00DE2A2D" w:rsidRPr="00DE2A2D">
        <w:rPr>
          <w:color w:val="auto"/>
          <w:lang w:bidi="es-ES"/>
        </w:rPr>
        <w:t xml:space="preserve"> el CSN no discrimina las solicitudes de información general de las formuladas al amparo de la LTAIBG (</w:t>
      </w:r>
      <w:r w:rsidR="00DE2A2D">
        <w:rPr>
          <w:color w:val="auto"/>
          <w:lang w:bidi="es-ES"/>
        </w:rPr>
        <w:t xml:space="preserve">a pesar de </w:t>
      </w:r>
      <w:r w:rsidR="00DE2A2D" w:rsidRPr="00DE2A2D">
        <w:rPr>
          <w:color w:val="auto"/>
          <w:lang w:bidi="es-ES"/>
        </w:rPr>
        <w:t xml:space="preserve">que aparentemente tienen un acceso específico). </w:t>
      </w:r>
      <w:r w:rsidR="00DE2A2D">
        <w:rPr>
          <w:color w:val="auto"/>
          <w:lang w:bidi="es-ES"/>
        </w:rPr>
        <w:t xml:space="preserve">En este contacto también se informa de que clarificarán internamente los contenidos de la solicitud y que probablemente la entrega de la información solicitada se retrasaría.  </w:t>
      </w:r>
    </w:p>
    <w:p w:rsidR="00E7218B" w:rsidRPr="00696607" w:rsidRDefault="00E7218B" w:rsidP="00E7218B">
      <w:pPr>
        <w:pStyle w:val="Cuerpodelboletn"/>
        <w:spacing w:before="120" w:after="120" w:line="312" w:lineRule="auto"/>
        <w:ind w:left="426"/>
        <w:rPr>
          <w:color w:val="auto"/>
          <w:lang w:bidi="es-ES"/>
        </w:rPr>
      </w:pPr>
      <w:r w:rsidRPr="00696607">
        <w:rPr>
          <w:rStyle w:val="Ttulo2Car"/>
          <w:sz w:val="22"/>
          <w:szCs w:val="22"/>
        </w:rPr>
        <w:t>Resolución</w:t>
      </w:r>
    </w:p>
    <w:p w:rsidR="00DE2A2D" w:rsidRPr="00DE2A2D" w:rsidRDefault="00DE2A2D" w:rsidP="00DE2A2D">
      <w:pPr>
        <w:pStyle w:val="Cuerpodelboletn"/>
        <w:spacing w:before="120" w:after="120" w:line="312" w:lineRule="auto"/>
        <w:ind w:left="360"/>
        <w:rPr>
          <w:bCs/>
          <w:color w:val="auto"/>
          <w:lang w:bidi="es-ES"/>
        </w:rPr>
      </w:pPr>
      <w:r w:rsidRPr="00DE2A2D">
        <w:rPr>
          <w:bCs/>
          <w:color w:val="auto"/>
          <w:lang w:bidi="es-ES"/>
        </w:rPr>
        <w:t xml:space="preserve">Ante la falta de resolución expresa y </w:t>
      </w:r>
      <w:r>
        <w:rPr>
          <w:bCs/>
          <w:color w:val="auto"/>
          <w:lang w:bidi="es-ES"/>
        </w:rPr>
        <w:t xml:space="preserve">la </w:t>
      </w:r>
      <w:r w:rsidRPr="00DE2A2D">
        <w:rPr>
          <w:bCs/>
          <w:color w:val="auto"/>
          <w:lang w:bidi="es-ES"/>
        </w:rPr>
        <w:t xml:space="preserve">ausencia en la web del CSN de un medio por el que poder contactar para solicitar información sobre el estado de tramitación de la solicitud de información, el 24 de marzo de 2021 se presenta </w:t>
      </w:r>
      <w:r w:rsidR="009038AB">
        <w:rPr>
          <w:bCs/>
          <w:color w:val="auto"/>
          <w:lang w:bidi="es-ES"/>
        </w:rPr>
        <w:t xml:space="preserve">nuevamente </w:t>
      </w:r>
      <w:r w:rsidRPr="00DE2A2D">
        <w:rPr>
          <w:bCs/>
          <w:color w:val="auto"/>
          <w:lang w:bidi="es-ES"/>
        </w:rPr>
        <w:t xml:space="preserve">por medios electrónicos </w:t>
      </w:r>
      <w:r w:rsidR="009038AB">
        <w:rPr>
          <w:bCs/>
          <w:color w:val="auto"/>
          <w:lang w:bidi="es-ES"/>
        </w:rPr>
        <w:t xml:space="preserve">y </w:t>
      </w:r>
      <w:r w:rsidRPr="00DE2A2D">
        <w:rPr>
          <w:bCs/>
          <w:color w:val="auto"/>
          <w:lang w:bidi="es-ES"/>
        </w:rPr>
        <w:t xml:space="preserve">a través del trámite específico “solicitud de información Portal de Transparencia” un nuevo escrito con el siguiente asunto: “solicitud información presentada el 12 de febrero de 2021. Estado de tramitación” de la que también se acusa recibo, acuse en el que se informa del </w:t>
      </w:r>
      <w:r w:rsidRPr="00DE2A2D">
        <w:rPr>
          <w:bCs/>
          <w:color w:val="auto"/>
          <w:lang w:bidi="es-ES"/>
        </w:rPr>
        <w:lastRenderedPageBreak/>
        <w:t>número de expediente asignado (</w:t>
      </w:r>
      <w:r w:rsidR="009038AB">
        <w:rPr>
          <w:bCs/>
          <w:color w:val="auto"/>
          <w:lang w:bidi="es-ES"/>
        </w:rPr>
        <w:t xml:space="preserve">precisamente, </w:t>
      </w:r>
      <w:r w:rsidRPr="00DE2A2D">
        <w:rPr>
          <w:bCs/>
          <w:color w:val="auto"/>
          <w:lang w:bidi="es-ES"/>
        </w:rPr>
        <w:t xml:space="preserve">el siguiente inmediato a la  anterior </w:t>
      </w:r>
      <w:r>
        <w:rPr>
          <w:bCs/>
          <w:color w:val="auto"/>
          <w:lang w:bidi="es-ES"/>
        </w:rPr>
        <w:t>solicitud</w:t>
      </w:r>
      <w:r w:rsidRPr="00DE2A2D">
        <w:rPr>
          <w:bCs/>
          <w:color w:val="auto"/>
          <w:lang w:bidi="es-ES"/>
        </w:rPr>
        <w:t xml:space="preserve"> de  12 de febrero de 2021).</w:t>
      </w:r>
    </w:p>
    <w:p w:rsidR="009038AB" w:rsidRDefault="00DE2A2D" w:rsidP="00DE2A2D">
      <w:pPr>
        <w:pStyle w:val="Cuerpodelboletn"/>
        <w:spacing w:before="120" w:after="120" w:line="312" w:lineRule="auto"/>
        <w:ind w:left="360"/>
        <w:rPr>
          <w:bCs/>
          <w:color w:val="auto"/>
          <w:lang w:bidi="es-ES"/>
        </w:rPr>
      </w:pPr>
      <w:r w:rsidRPr="00DE2A2D">
        <w:rPr>
          <w:bCs/>
          <w:color w:val="auto"/>
          <w:lang w:bidi="es-ES"/>
        </w:rPr>
        <w:t>El 6 de abril de 2021 se recibe en el email de contacto un correo electrónico con una respuesta que se califica de “respuesta a consulta” tramitada desde el Buzón de Consultas del portal web del CSN con el que se solicita información adicional para poder dar respuesta a la pregunta formulada el 12/02 y reiterada el 24/03. En concreto, y entre otras cuestiones, se pregunta si la solicitud se limita a</w:t>
      </w:r>
      <w:r w:rsidR="001A7F15">
        <w:rPr>
          <w:bCs/>
          <w:color w:val="auto"/>
          <w:lang w:bidi="es-ES"/>
        </w:rPr>
        <w:t xml:space="preserve"> </w:t>
      </w:r>
      <w:r w:rsidRPr="00DE2A2D">
        <w:rPr>
          <w:bCs/>
          <w:color w:val="auto"/>
          <w:lang w:bidi="es-ES"/>
        </w:rPr>
        <w:t>l</w:t>
      </w:r>
      <w:r w:rsidR="001A7F15">
        <w:rPr>
          <w:bCs/>
          <w:color w:val="auto"/>
          <w:lang w:bidi="es-ES"/>
        </w:rPr>
        <w:t>a</w:t>
      </w:r>
      <w:r w:rsidRPr="00DE2A2D">
        <w:rPr>
          <w:bCs/>
          <w:color w:val="auto"/>
          <w:lang w:bidi="es-ES"/>
        </w:rPr>
        <w:t xml:space="preserve"> Ley 19/2013 y en su caso, el período al que se refiere. Para contactar, </w:t>
      </w:r>
      <w:r>
        <w:rPr>
          <w:bCs/>
          <w:color w:val="auto"/>
          <w:lang w:bidi="es-ES"/>
        </w:rPr>
        <w:t xml:space="preserve">se </w:t>
      </w:r>
      <w:r w:rsidRPr="00DE2A2D">
        <w:rPr>
          <w:bCs/>
          <w:color w:val="auto"/>
          <w:lang w:bidi="es-ES"/>
        </w:rPr>
        <w:t xml:space="preserve">remite al formulario del Buzón de Consultas, </w:t>
      </w:r>
      <w:r>
        <w:rPr>
          <w:bCs/>
          <w:color w:val="auto"/>
          <w:lang w:bidi="es-ES"/>
        </w:rPr>
        <w:t>para el</w:t>
      </w:r>
      <w:r w:rsidRPr="00DE2A2D">
        <w:rPr>
          <w:bCs/>
          <w:color w:val="auto"/>
          <w:lang w:bidi="es-ES"/>
        </w:rPr>
        <w:t xml:space="preserve"> que</w:t>
      </w:r>
      <w:r>
        <w:rPr>
          <w:bCs/>
          <w:color w:val="auto"/>
          <w:lang w:bidi="es-ES"/>
        </w:rPr>
        <w:t xml:space="preserve"> se </w:t>
      </w:r>
      <w:r w:rsidRPr="00DE2A2D">
        <w:rPr>
          <w:bCs/>
          <w:color w:val="auto"/>
          <w:lang w:bidi="es-ES"/>
        </w:rPr>
        <w:t xml:space="preserve">proporciona un enlace. </w:t>
      </w:r>
      <w:r>
        <w:rPr>
          <w:bCs/>
          <w:color w:val="auto"/>
          <w:lang w:bidi="es-ES"/>
        </w:rPr>
        <w:t>A</w:t>
      </w:r>
      <w:r w:rsidRPr="00DE2A2D">
        <w:rPr>
          <w:bCs/>
          <w:color w:val="auto"/>
          <w:lang w:bidi="es-ES"/>
        </w:rPr>
        <w:t>l acceder al formulario de consultas</w:t>
      </w:r>
      <w:r w:rsidR="009038AB">
        <w:rPr>
          <w:bCs/>
          <w:color w:val="auto"/>
          <w:lang w:bidi="es-ES"/>
        </w:rPr>
        <w:t xml:space="preserve"> para responder</w:t>
      </w:r>
      <w:r w:rsidRPr="00DE2A2D">
        <w:rPr>
          <w:bCs/>
          <w:color w:val="auto"/>
          <w:lang w:bidi="es-ES"/>
        </w:rPr>
        <w:t xml:space="preserve">, en el apartado de asunto se recoge un listado despegable que no contempla el asunto relativo a solicitudes de información pública.  </w:t>
      </w:r>
      <w:r w:rsidR="009038AB">
        <w:rPr>
          <w:bCs/>
          <w:color w:val="auto"/>
          <w:lang w:bidi="es-ES"/>
        </w:rPr>
        <w:t>No obstante,  se da respuesta el 7 de abril de 2021 y de nuevo, se explica el objeto de la solicitu</w:t>
      </w:r>
      <w:r w:rsidR="001A7F15">
        <w:rPr>
          <w:bCs/>
          <w:color w:val="auto"/>
          <w:lang w:bidi="es-ES"/>
        </w:rPr>
        <w:t>d</w:t>
      </w:r>
      <w:r w:rsidR="009038AB">
        <w:rPr>
          <w:bCs/>
          <w:color w:val="auto"/>
          <w:lang w:bidi="es-ES"/>
        </w:rPr>
        <w:t xml:space="preserve"> de 12/02, reiterada el 24/03.</w:t>
      </w:r>
    </w:p>
    <w:p w:rsidR="00DD6391" w:rsidRDefault="009038AB" w:rsidP="00DD6391">
      <w:pPr>
        <w:pStyle w:val="Cuerpodelboletn"/>
        <w:spacing w:before="120" w:after="120" w:line="312" w:lineRule="auto"/>
        <w:ind w:left="360"/>
        <w:rPr>
          <w:bCs/>
          <w:color w:val="auto"/>
          <w:lang w:bidi="es-ES"/>
        </w:rPr>
      </w:pPr>
      <w:r>
        <w:rPr>
          <w:bCs/>
          <w:color w:val="auto"/>
          <w:lang w:bidi="es-ES"/>
        </w:rPr>
        <w:t xml:space="preserve">En cualquier caso, y con independencia de que </w:t>
      </w:r>
      <w:r w:rsidR="00DD6391">
        <w:rPr>
          <w:bCs/>
          <w:color w:val="auto"/>
          <w:lang w:bidi="es-ES"/>
        </w:rPr>
        <w:t xml:space="preserve">esta </w:t>
      </w:r>
      <w:r w:rsidR="001A7F15">
        <w:rPr>
          <w:bCs/>
          <w:color w:val="auto"/>
          <w:lang w:bidi="es-ES"/>
        </w:rPr>
        <w:t>reiteración</w:t>
      </w:r>
      <w:r w:rsidR="00DD6391">
        <w:rPr>
          <w:bCs/>
          <w:color w:val="auto"/>
          <w:lang w:bidi="es-ES"/>
        </w:rPr>
        <w:t xml:space="preserve"> obtenga respuesta, lo cierto es que no</w:t>
      </w:r>
      <w:r w:rsidR="00DD6391" w:rsidRPr="00DD6391">
        <w:rPr>
          <w:bCs/>
          <w:color w:val="auto"/>
          <w:lang w:bidi="es-ES"/>
        </w:rPr>
        <w:t xml:space="preserve"> </w:t>
      </w:r>
      <w:r w:rsidR="00DD6391">
        <w:rPr>
          <w:bCs/>
          <w:color w:val="auto"/>
          <w:lang w:bidi="es-ES"/>
        </w:rPr>
        <w:t>consta que se haya emitido</w:t>
      </w:r>
      <w:r w:rsidR="00DD6391" w:rsidRPr="0066248D">
        <w:rPr>
          <w:bCs/>
          <w:color w:val="auto"/>
          <w:lang w:bidi="es-ES"/>
        </w:rPr>
        <w:t xml:space="preserve"> </w:t>
      </w:r>
      <w:r w:rsidR="00DD6391">
        <w:rPr>
          <w:bCs/>
          <w:color w:val="auto"/>
          <w:lang w:bidi="es-ES"/>
        </w:rPr>
        <w:t>r</w:t>
      </w:r>
      <w:r w:rsidR="00DD6391" w:rsidRPr="0066248D">
        <w:rPr>
          <w:bCs/>
          <w:color w:val="auto"/>
          <w:lang w:bidi="es-ES"/>
        </w:rPr>
        <w:t>esolución</w:t>
      </w:r>
      <w:r w:rsidR="00DD6391">
        <w:rPr>
          <w:bCs/>
          <w:color w:val="auto"/>
          <w:lang w:bidi="es-ES"/>
        </w:rPr>
        <w:t xml:space="preserve"> a la primera de las solicitudes. Por tanto, hay que entender que la solicitud de 12/02 ha sido denegada por silencio administrativo al haber transcurrido el plazo de un mes sin obtener respuesta.</w:t>
      </w:r>
    </w:p>
    <w:p w:rsidR="001E6CA3" w:rsidRDefault="001E6CA3" w:rsidP="00DE2A2D">
      <w:pPr>
        <w:pStyle w:val="Cuerpodelboletn"/>
        <w:spacing w:before="120" w:after="120" w:line="312" w:lineRule="auto"/>
        <w:ind w:left="360"/>
        <w:rPr>
          <w:bCs/>
          <w:color w:val="auto"/>
          <w:lang w:bidi="es-ES"/>
        </w:rPr>
      </w:pPr>
    </w:p>
    <w:p w:rsidR="001E6CA3" w:rsidRPr="00256215" w:rsidRDefault="00322B09" w:rsidP="001E6CA3">
      <w:pPr>
        <w:pStyle w:val="Cuerpodelboletn"/>
        <w:spacing w:before="120" w:after="120" w:line="312" w:lineRule="auto"/>
        <w:ind w:left="426"/>
        <w:rPr>
          <w:b/>
          <w:color w:val="00642D"/>
          <w:sz w:val="32"/>
        </w:rPr>
      </w:pPr>
      <w:sdt>
        <w:sdtPr>
          <w:rPr>
            <w:rFonts w:eastAsiaTheme="majorEastAsia" w:cstheme="majorBidi"/>
            <w:b/>
            <w:bCs/>
            <w:color w:val="00642D"/>
            <w:sz w:val="30"/>
            <w:szCs w:val="30"/>
          </w:rPr>
          <w:id w:val="219174856"/>
          <w:placeholder>
            <w:docPart w:val="DB5B5D2615924D52AB3024DD8E4C03D0"/>
          </w:placeholder>
        </w:sdtPr>
        <w:sdtEndPr>
          <w:rPr>
            <w:sz w:val="22"/>
            <w:szCs w:val="24"/>
          </w:rPr>
        </w:sdtEndPr>
        <w:sdtContent>
          <w:r w:rsidR="001E6CA3" w:rsidRPr="00256215">
            <w:rPr>
              <w:b/>
              <w:color w:val="00642D"/>
              <w:sz w:val="30"/>
              <w:szCs w:val="30"/>
            </w:rPr>
            <w:t xml:space="preserve">IV. </w:t>
          </w:r>
          <w:r w:rsidR="001E6CA3">
            <w:rPr>
              <w:b/>
              <w:color w:val="00642D"/>
              <w:sz w:val="30"/>
              <w:szCs w:val="30"/>
            </w:rPr>
            <w:t>Reclamaciones ante el Consejo de Transparencia y Buen Gobierno</w:t>
          </w:r>
          <w:r w:rsidR="001E6CA3" w:rsidRPr="00256215">
            <w:rPr>
              <w:b/>
              <w:color w:val="00642D"/>
              <w:sz w:val="30"/>
              <w:szCs w:val="30"/>
            </w:rPr>
            <w:t xml:space="preserve"> </w:t>
          </w:r>
        </w:sdtContent>
      </w:sdt>
    </w:p>
    <w:p w:rsidR="001E6CA3" w:rsidRDefault="001E6CA3" w:rsidP="001E6CA3">
      <w:pPr>
        <w:pStyle w:val="Cuerpodelboletn"/>
        <w:spacing w:line="276" w:lineRule="auto"/>
        <w:ind w:left="426"/>
        <w:rPr>
          <w:color w:val="auto"/>
        </w:rPr>
      </w:pPr>
    </w:p>
    <w:p w:rsidR="001E6CA3" w:rsidRDefault="001E6CA3" w:rsidP="001E6CA3">
      <w:pPr>
        <w:pStyle w:val="Cuerpodelboletn"/>
        <w:spacing w:before="120" w:after="120" w:line="276" w:lineRule="auto"/>
        <w:ind w:left="425"/>
        <w:rPr>
          <w:color w:val="auto"/>
        </w:rPr>
      </w:pPr>
      <w:r>
        <w:rPr>
          <w:color w:val="auto"/>
        </w:rPr>
        <w:t>El CTBG ha recibido</w:t>
      </w:r>
      <w:r w:rsidR="00322B09" w:rsidRPr="00322B09">
        <w:t xml:space="preserve"> </w:t>
      </w:r>
      <w:r w:rsidR="00322B09" w:rsidRPr="00322B09">
        <w:rPr>
          <w:color w:val="auto"/>
        </w:rPr>
        <w:t>en el periodo 2015-2020,</w:t>
      </w:r>
      <w:r>
        <w:rPr>
          <w:color w:val="auto"/>
        </w:rPr>
        <w:t xml:space="preserve"> un total de </w:t>
      </w:r>
      <w:r w:rsidR="001D390A">
        <w:rPr>
          <w:color w:val="auto"/>
        </w:rPr>
        <w:t>8</w:t>
      </w:r>
      <w:r>
        <w:rPr>
          <w:color w:val="auto"/>
        </w:rPr>
        <w:t xml:space="preserve"> reclamaciones contra resoluciones de</w:t>
      </w:r>
      <w:r w:rsidR="001D390A">
        <w:rPr>
          <w:color w:val="auto"/>
        </w:rPr>
        <w:t>l</w:t>
      </w:r>
      <w:r>
        <w:rPr>
          <w:color w:val="auto"/>
        </w:rPr>
        <w:t xml:space="preserve"> </w:t>
      </w:r>
      <w:r w:rsidR="001D390A">
        <w:rPr>
          <w:color w:val="auto"/>
        </w:rPr>
        <w:t>CSN</w:t>
      </w:r>
      <w:r>
        <w:rPr>
          <w:color w:val="auto"/>
        </w:rPr>
        <w:t xml:space="preserve"> en materia de acceso a la </w:t>
      </w:r>
      <w:r w:rsidR="001D390A">
        <w:rPr>
          <w:color w:val="auto"/>
        </w:rPr>
        <w:t xml:space="preserve">información pública. De éstas, </w:t>
      </w:r>
      <w:r>
        <w:rPr>
          <w:color w:val="auto"/>
        </w:rPr>
        <w:t xml:space="preserve">2 fueron estimadas – </w:t>
      </w:r>
      <w:r w:rsidR="001D390A">
        <w:rPr>
          <w:color w:val="auto"/>
        </w:rPr>
        <w:t>1</w:t>
      </w:r>
      <w:r>
        <w:rPr>
          <w:color w:val="auto"/>
        </w:rPr>
        <w:t xml:space="preserve"> de ellas </w:t>
      </w:r>
      <w:r w:rsidR="001D390A">
        <w:rPr>
          <w:color w:val="auto"/>
        </w:rPr>
        <w:t>el CSN</w:t>
      </w:r>
      <w:r>
        <w:rPr>
          <w:color w:val="auto"/>
        </w:rPr>
        <w:t xml:space="preserve"> concedió la información antes de finalizar el procedimiento de reclamación -. Otras</w:t>
      </w:r>
      <w:r w:rsidR="001D390A">
        <w:rPr>
          <w:color w:val="auto"/>
        </w:rPr>
        <w:t xml:space="preserve"> 4</w:t>
      </w:r>
      <w:r>
        <w:rPr>
          <w:color w:val="auto"/>
        </w:rPr>
        <w:t xml:space="preserve"> fueron desestimadas</w:t>
      </w:r>
      <w:r w:rsidR="001D390A">
        <w:rPr>
          <w:color w:val="auto"/>
        </w:rPr>
        <w:t xml:space="preserve"> y</w:t>
      </w:r>
      <w:r>
        <w:rPr>
          <w:color w:val="auto"/>
        </w:rPr>
        <w:t xml:space="preserve"> 2 inadmitidas.</w:t>
      </w:r>
    </w:p>
    <w:p w:rsidR="001E6CA3" w:rsidRDefault="001E6CA3" w:rsidP="001E6CA3">
      <w:pPr>
        <w:pStyle w:val="Cuerpodelboletn"/>
        <w:spacing w:before="120" w:after="120" w:line="276" w:lineRule="auto"/>
        <w:ind w:left="425"/>
        <w:rPr>
          <w:color w:val="auto"/>
        </w:rPr>
      </w:pPr>
      <w:r>
        <w:rPr>
          <w:color w:val="auto"/>
        </w:rPr>
        <w:t xml:space="preserve">Por lo tanto, de las </w:t>
      </w:r>
      <w:r w:rsidR="00BC7988">
        <w:rPr>
          <w:color w:val="auto"/>
        </w:rPr>
        <w:t>6</w:t>
      </w:r>
      <w:r>
        <w:rPr>
          <w:color w:val="auto"/>
        </w:rPr>
        <w:t xml:space="preserve"> reclamaciones admitidas a trámite, un </w:t>
      </w:r>
      <w:r w:rsidR="00BC7988">
        <w:rPr>
          <w:color w:val="auto"/>
        </w:rPr>
        <w:t>66,67</w:t>
      </w:r>
      <w:r>
        <w:rPr>
          <w:color w:val="auto"/>
        </w:rPr>
        <w:t xml:space="preserve">% han sido favorables a la entidad y un </w:t>
      </w:r>
      <w:r w:rsidR="00BC7988">
        <w:rPr>
          <w:color w:val="auto"/>
        </w:rPr>
        <w:t>33,33</w:t>
      </w:r>
      <w:r>
        <w:rPr>
          <w:color w:val="auto"/>
        </w:rPr>
        <w:t xml:space="preserve">% a los reclamantes. </w:t>
      </w:r>
      <w:bookmarkStart w:id="0" w:name="_GoBack"/>
      <w:bookmarkEnd w:id="0"/>
    </w:p>
    <w:p w:rsidR="001E6CA3" w:rsidRDefault="001E6CA3" w:rsidP="001E6CA3">
      <w:pPr>
        <w:pStyle w:val="Cuerpodelboletn"/>
        <w:spacing w:before="120" w:after="120" w:line="276" w:lineRule="auto"/>
        <w:ind w:left="425"/>
        <w:rPr>
          <w:color w:val="auto"/>
        </w:rPr>
      </w:pPr>
      <w:r>
        <w:rPr>
          <w:color w:val="auto"/>
        </w:rPr>
        <w:t xml:space="preserve">La CNMC </w:t>
      </w:r>
      <w:r w:rsidR="00BC7988">
        <w:rPr>
          <w:color w:val="auto"/>
        </w:rPr>
        <w:t xml:space="preserve">no </w:t>
      </w:r>
      <w:r>
        <w:rPr>
          <w:color w:val="auto"/>
        </w:rPr>
        <w:t>ha presentado recurso contencioso-administrativo contra las resoluciones del CTBG</w:t>
      </w:r>
      <w:r w:rsidR="00BC7988">
        <w:rPr>
          <w:color w:val="auto"/>
        </w:rPr>
        <w:t>.</w:t>
      </w:r>
      <w:r>
        <w:rPr>
          <w:color w:val="auto"/>
        </w:rPr>
        <w:t xml:space="preserve"> </w:t>
      </w:r>
    </w:p>
    <w:p w:rsidR="001E6CA3" w:rsidRDefault="001E6CA3" w:rsidP="001E6CA3">
      <w:pPr>
        <w:pStyle w:val="Cuerpodelboletn"/>
        <w:spacing w:before="120" w:after="120" w:line="276" w:lineRule="auto"/>
        <w:ind w:left="425"/>
        <w:rPr>
          <w:color w:val="auto"/>
        </w:rPr>
      </w:pPr>
    </w:p>
    <w:p w:rsidR="001E6CA3" w:rsidRPr="003456B5" w:rsidRDefault="001E6CA3" w:rsidP="001E6CA3">
      <w:pPr>
        <w:pStyle w:val="Epgrafe"/>
        <w:keepNext/>
        <w:ind w:left="426"/>
        <w:jc w:val="both"/>
        <w:rPr>
          <w:rStyle w:val="Ttulo2Car"/>
          <w:b/>
          <w:color w:val="00642D"/>
          <w:sz w:val="22"/>
          <w:szCs w:val="22"/>
          <w:lang w:bidi="es-ES"/>
        </w:rPr>
      </w:pPr>
      <w:r w:rsidRPr="003456B5">
        <w:rPr>
          <w:rStyle w:val="Ttulo2Car"/>
          <w:b/>
          <w:color w:val="00642D"/>
          <w:sz w:val="22"/>
          <w:szCs w:val="22"/>
          <w:lang w:bidi="es-ES"/>
        </w:rPr>
        <w:t xml:space="preserve">Tabla </w:t>
      </w:r>
      <w:r w:rsidRPr="003456B5">
        <w:rPr>
          <w:rStyle w:val="Ttulo2Car"/>
          <w:b/>
          <w:color w:val="00642D"/>
          <w:sz w:val="22"/>
          <w:szCs w:val="22"/>
          <w:lang w:bidi="es-ES"/>
        </w:rPr>
        <w:fldChar w:fldCharType="begin"/>
      </w:r>
      <w:r w:rsidRPr="003456B5">
        <w:rPr>
          <w:rStyle w:val="Ttulo2Car"/>
          <w:b/>
          <w:color w:val="00642D"/>
          <w:sz w:val="22"/>
          <w:szCs w:val="22"/>
          <w:lang w:bidi="es-ES"/>
        </w:rPr>
        <w:instrText xml:space="preserve"> SEQ Tabla \* ARABIC </w:instrText>
      </w:r>
      <w:r w:rsidRPr="003456B5">
        <w:rPr>
          <w:rStyle w:val="Ttulo2Car"/>
          <w:b/>
          <w:color w:val="00642D"/>
          <w:sz w:val="22"/>
          <w:szCs w:val="22"/>
          <w:lang w:bidi="es-ES"/>
        </w:rPr>
        <w:fldChar w:fldCharType="separate"/>
      </w:r>
      <w:r w:rsidRPr="003456B5">
        <w:rPr>
          <w:rStyle w:val="Ttulo2Car"/>
          <w:b/>
          <w:color w:val="00642D"/>
          <w:sz w:val="22"/>
          <w:szCs w:val="22"/>
          <w:lang w:bidi="es-ES"/>
        </w:rPr>
        <w:t>3</w:t>
      </w:r>
      <w:r w:rsidRPr="003456B5">
        <w:rPr>
          <w:rStyle w:val="Ttulo2Car"/>
          <w:b/>
          <w:color w:val="00642D"/>
          <w:sz w:val="22"/>
          <w:szCs w:val="22"/>
          <w:lang w:bidi="es-ES"/>
        </w:rPr>
        <w:fldChar w:fldCharType="end"/>
      </w:r>
      <w:r w:rsidRPr="003456B5">
        <w:rPr>
          <w:rStyle w:val="Ttulo2Car"/>
          <w:b/>
          <w:color w:val="00642D"/>
          <w:sz w:val="22"/>
          <w:szCs w:val="22"/>
          <w:lang w:bidi="es-ES"/>
        </w:rPr>
        <w:t>: Reclamaciones ante el Consejo de Transparencia y Buen Gobierno</w:t>
      </w:r>
    </w:p>
    <w:tbl>
      <w:tblPr>
        <w:tblStyle w:val="Tablaconcuadrcula"/>
        <w:tblW w:w="0" w:type="auto"/>
        <w:tblInd w:w="959" w:type="dxa"/>
        <w:tblLook w:val="04A0" w:firstRow="1" w:lastRow="0" w:firstColumn="1" w:lastColumn="0" w:noHBand="0" w:noVBand="1"/>
      </w:tblPr>
      <w:tblGrid>
        <w:gridCol w:w="1299"/>
        <w:gridCol w:w="4479"/>
        <w:gridCol w:w="1843"/>
        <w:gridCol w:w="1559"/>
      </w:tblGrid>
      <w:tr w:rsidR="001E6CA3" w:rsidRPr="0048443D" w:rsidTr="001D390A">
        <w:tc>
          <w:tcPr>
            <w:tcW w:w="1299" w:type="dxa"/>
            <w:vMerge w:val="restart"/>
            <w:tcBorders>
              <w:top w:val="single" w:sz="4" w:space="0" w:color="FFFFFF" w:themeColor="background1"/>
              <w:right w:val="nil"/>
            </w:tcBorders>
            <w:shd w:val="clear" w:color="auto" w:fill="4D7F52"/>
            <w:textDirection w:val="btLr"/>
          </w:tcPr>
          <w:p w:rsidR="001E6CA3" w:rsidRPr="0048443D" w:rsidRDefault="001E6CA3" w:rsidP="001D390A">
            <w:pPr>
              <w:ind w:left="113" w:right="113"/>
              <w:jc w:val="both"/>
              <w:rPr>
                <w:color w:val="FFFFFF" w:themeColor="background1"/>
              </w:rPr>
            </w:pPr>
          </w:p>
        </w:tc>
        <w:tc>
          <w:tcPr>
            <w:tcW w:w="6322" w:type="dxa"/>
            <w:gridSpan w:val="2"/>
            <w:tcBorders>
              <w:left w:val="nil"/>
            </w:tcBorders>
          </w:tcPr>
          <w:p w:rsidR="001E6CA3" w:rsidRPr="0048443D" w:rsidRDefault="001E6CA3" w:rsidP="001D390A">
            <w:pPr>
              <w:jc w:val="both"/>
              <w:rPr>
                <w:sz w:val="20"/>
                <w:szCs w:val="20"/>
              </w:rPr>
            </w:pPr>
            <w:r w:rsidRPr="0048443D">
              <w:rPr>
                <w:sz w:val="20"/>
                <w:szCs w:val="20"/>
              </w:rPr>
              <w:t>Nº de Resoluciones de la entidad recurridas ante el CTBG</w:t>
            </w:r>
          </w:p>
        </w:tc>
        <w:tc>
          <w:tcPr>
            <w:tcW w:w="1559" w:type="dxa"/>
            <w:vAlign w:val="center"/>
          </w:tcPr>
          <w:p w:rsidR="001E6CA3" w:rsidRPr="0048443D" w:rsidRDefault="00BC7988" w:rsidP="001D390A">
            <w:pPr>
              <w:jc w:val="both"/>
              <w:rPr>
                <w:sz w:val="20"/>
                <w:szCs w:val="20"/>
              </w:rPr>
            </w:pPr>
            <w:r>
              <w:rPr>
                <w:sz w:val="20"/>
                <w:szCs w:val="20"/>
              </w:rPr>
              <w:t>8</w:t>
            </w:r>
          </w:p>
        </w:tc>
      </w:tr>
      <w:tr w:rsidR="001E6CA3" w:rsidRPr="0048443D" w:rsidTr="001D390A">
        <w:trPr>
          <w:trHeight w:val="248"/>
        </w:trPr>
        <w:tc>
          <w:tcPr>
            <w:tcW w:w="1299" w:type="dxa"/>
            <w:vMerge/>
            <w:tcBorders>
              <w:right w:val="nil"/>
            </w:tcBorders>
            <w:shd w:val="clear" w:color="auto" w:fill="4D7F52"/>
          </w:tcPr>
          <w:p w:rsidR="001E6CA3" w:rsidRPr="0048443D" w:rsidRDefault="001E6CA3" w:rsidP="001D390A">
            <w:pPr>
              <w:ind w:left="113" w:right="113"/>
              <w:jc w:val="both"/>
            </w:pPr>
          </w:p>
        </w:tc>
        <w:tc>
          <w:tcPr>
            <w:tcW w:w="4479" w:type="dxa"/>
            <w:vMerge w:val="restart"/>
            <w:tcBorders>
              <w:left w:val="nil"/>
            </w:tcBorders>
          </w:tcPr>
          <w:p w:rsidR="001E6CA3" w:rsidRPr="0048443D" w:rsidRDefault="001E6CA3" w:rsidP="001D390A">
            <w:pPr>
              <w:jc w:val="both"/>
              <w:rPr>
                <w:sz w:val="20"/>
                <w:szCs w:val="20"/>
              </w:rPr>
            </w:pPr>
            <w:r w:rsidRPr="0048443D">
              <w:rPr>
                <w:sz w:val="20"/>
                <w:szCs w:val="20"/>
              </w:rPr>
              <w:t>Nº de Resoluciones del CTBG favorables a la entidad</w:t>
            </w:r>
          </w:p>
        </w:tc>
        <w:tc>
          <w:tcPr>
            <w:tcW w:w="1843" w:type="dxa"/>
            <w:tcBorders>
              <w:left w:val="nil"/>
            </w:tcBorders>
          </w:tcPr>
          <w:p w:rsidR="001E6CA3" w:rsidRPr="0048443D" w:rsidRDefault="001E6CA3" w:rsidP="001D390A">
            <w:pPr>
              <w:jc w:val="both"/>
              <w:rPr>
                <w:sz w:val="20"/>
                <w:szCs w:val="20"/>
              </w:rPr>
            </w:pPr>
            <w:r w:rsidRPr="0048443D">
              <w:rPr>
                <w:sz w:val="20"/>
                <w:szCs w:val="20"/>
              </w:rPr>
              <w:t>Nº</w:t>
            </w:r>
          </w:p>
        </w:tc>
        <w:tc>
          <w:tcPr>
            <w:tcW w:w="1559" w:type="dxa"/>
            <w:vAlign w:val="center"/>
          </w:tcPr>
          <w:p w:rsidR="001E6CA3" w:rsidRPr="0048443D" w:rsidRDefault="00BC7988" w:rsidP="001D390A">
            <w:pPr>
              <w:jc w:val="both"/>
              <w:rPr>
                <w:sz w:val="20"/>
                <w:szCs w:val="20"/>
              </w:rPr>
            </w:pPr>
            <w:r>
              <w:rPr>
                <w:sz w:val="20"/>
                <w:szCs w:val="20"/>
              </w:rPr>
              <w:t>4</w:t>
            </w:r>
          </w:p>
        </w:tc>
      </w:tr>
      <w:tr w:rsidR="001E6CA3" w:rsidRPr="0048443D" w:rsidTr="001D390A">
        <w:trPr>
          <w:trHeight w:val="247"/>
        </w:trPr>
        <w:tc>
          <w:tcPr>
            <w:tcW w:w="1299" w:type="dxa"/>
            <w:vMerge/>
            <w:tcBorders>
              <w:right w:val="nil"/>
            </w:tcBorders>
            <w:shd w:val="clear" w:color="auto" w:fill="4D7F52"/>
          </w:tcPr>
          <w:p w:rsidR="001E6CA3" w:rsidRPr="0048443D" w:rsidRDefault="001E6CA3" w:rsidP="001D390A">
            <w:pPr>
              <w:ind w:left="113" w:right="113"/>
              <w:jc w:val="both"/>
            </w:pPr>
          </w:p>
        </w:tc>
        <w:tc>
          <w:tcPr>
            <w:tcW w:w="4479" w:type="dxa"/>
            <w:vMerge/>
            <w:tcBorders>
              <w:left w:val="nil"/>
            </w:tcBorders>
          </w:tcPr>
          <w:p w:rsidR="001E6CA3" w:rsidRPr="0048443D" w:rsidRDefault="001E6CA3" w:rsidP="001D390A">
            <w:pPr>
              <w:jc w:val="both"/>
              <w:rPr>
                <w:sz w:val="20"/>
                <w:szCs w:val="20"/>
              </w:rPr>
            </w:pPr>
          </w:p>
        </w:tc>
        <w:tc>
          <w:tcPr>
            <w:tcW w:w="1843" w:type="dxa"/>
            <w:tcBorders>
              <w:left w:val="nil"/>
            </w:tcBorders>
          </w:tcPr>
          <w:p w:rsidR="001E6CA3" w:rsidRPr="0048443D" w:rsidRDefault="001E6CA3" w:rsidP="001D390A">
            <w:pPr>
              <w:jc w:val="both"/>
              <w:rPr>
                <w:sz w:val="20"/>
                <w:szCs w:val="20"/>
              </w:rPr>
            </w:pPr>
            <w:r w:rsidRPr="0048443D">
              <w:rPr>
                <w:sz w:val="20"/>
                <w:szCs w:val="20"/>
              </w:rPr>
              <w:t>Porcentaje</w:t>
            </w:r>
          </w:p>
        </w:tc>
        <w:tc>
          <w:tcPr>
            <w:tcW w:w="1559" w:type="dxa"/>
            <w:vAlign w:val="center"/>
          </w:tcPr>
          <w:p w:rsidR="001E6CA3" w:rsidRPr="0048443D" w:rsidRDefault="00BC7988" w:rsidP="00BC7988">
            <w:pPr>
              <w:jc w:val="both"/>
              <w:rPr>
                <w:sz w:val="20"/>
                <w:szCs w:val="20"/>
              </w:rPr>
            </w:pPr>
            <w:r>
              <w:rPr>
                <w:sz w:val="20"/>
                <w:szCs w:val="20"/>
              </w:rPr>
              <w:t>66</w:t>
            </w:r>
            <w:r w:rsidR="001E6CA3" w:rsidRPr="00F948F7">
              <w:rPr>
                <w:sz w:val="20"/>
                <w:szCs w:val="20"/>
              </w:rPr>
              <w:t>,</w:t>
            </w:r>
            <w:r>
              <w:rPr>
                <w:sz w:val="20"/>
                <w:szCs w:val="20"/>
              </w:rPr>
              <w:t>67</w:t>
            </w:r>
          </w:p>
        </w:tc>
      </w:tr>
      <w:tr w:rsidR="001E6CA3" w:rsidRPr="0048443D" w:rsidTr="001D390A">
        <w:trPr>
          <w:trHeight w:val="248"/>
        </w:trPr>
        <w:tc>
          <w:tcPr>
            <w:tcW w:w="1299" w:type="dxa"/>
            <w:vMerge/>
            <w:tcBorders>
              <w:right w:val="nil"/>
            </w:tcBorders>
            <w:shd w:val="clear" w:color="auto" w:fill="4D7F52"/>
          </w:tcPr>
          <w:p w:rsidR="001E6CA3" w:rsidRPr="0048443D" w:rsidRDefault="001E6CA3" w:rsidP="001D390A">
            <w:pPr>
              <w:ind w:left="113" w:right="113"/>
              <w:jc w:val="both"/>
            </w:pPr>
          </w:p>
        </w:tc>
        <w:tc>
          <w:tcPr>
            <w:tcW w:w="4479" w:type="dxa"/>
            <w:vMerge w:val="restart"/>
            <w:tcBorders>
              <w:left w:val="nil"/>
            </w:tcBorders>
          </w:tcPr>
          <w:p w:rsidR="001E6CA3" w:rsidRPr="0048443D" w:rsidRDefault="001E6CA3" w:rsidP="001D390A">
            <w:pPr>
              <w:jc w:val="both"/>
              <w:rPr>
                <w:sz w:val="20"/>
                <w:szCs w:val="20"/>
              </w:rPr>
            </w:pPr>
            <w:r w:rsidRPr="0048443D">
              <w:rPr>
                <w:sz w:val="20"/>
                <w:szCs w:val="20"/>
              </w:rPr>
              <w:t>Nº de Resoluciones del CTBG favorables a los reclamantes</w:t>
            </w:r>
          </w:p>
        </w:tc>
        <w:tc>
          <w:tcPr>
            <w:tcW w:w="1843" w:type="dxa"/>
            <w:tcBorders>
              <w:left w:val="nil"/>
            </w:tcBorders>
          </w:tcPr>
          <w:p w:rsidR="001E6CA3" w:rsidRPr="0048443D" w:rsidRDefault="001E6CA3" w:rsidP="001D390A">
            <w:pPr>
              <w:jc w:val="both"/>
              <w:rPr>
                <w:sz w:val="20"/>
                <w:szCs w:val="20"/>
              </w:rPr>
            </w:pPr>
            <w:r w:rsidRPr="0048443D">
              <w:rPr>
                <w:sz w:val="20"/>
                <w:szCs w:val="20"/>
              </w:rPr>
              <w:t>Nº</w:t>
            </w:r>
          </w:p>
        </w:tc>
        <w:tc>
          <w:tcPr>
            <w:tcW w:w="1559" w:type="dxa"/>
            <w:vAlign w:val="center"/>
          </w:tcPr>
          <w:p w:rsidR="001E6CA3" w:rsidRPr="0048443D" w:rsidRDefault="001E6CA3" w:rsidP="001D390A">
            <w:pPr>
              <w:jc w:val="both"/>
              <w:rPr>
                <w:sz w:val="20"/>
                <w:szCs w:val="20"/>
              </w:rPr>
            </w:pPr>
            <w:r>
              <w:rPr>
                <w:sz w:val="20"/>
                <w:szCs w:val="20"/>
              </w:rPr>
              <w:t>2</w:t>
            </w:r>
          </w:p>
        </w:tc>
      </w:tr>
      <w:tr w:rsidR="001E6CA3" w:rsidRPr="0048443D" w:rsidTr="001D390A">
        <w:trPr>
          <w:trHeight w:val="247"/>
        </w:trPr>
        <w:tc>
          <w:tcPr>
            <w:tcW w:w="1299" w:type="dxa"/>
            <w:vMerge/>
            <w:tcBorders>
              <w:right w:val="nil"/>
            </w:tcBorders>
            <w:shd w:val="clear" w:color="auto" w:fill="4D7F52"/>
          </w:tcPr>
          <w:p w:rsidR="001E6CA3" w:rsidRPr="0048443D" w:rsidRDefault="001E6CA3" w:rsidP="001D390A">
            <w:pPr>
              <w:ind w:left="113" w:right="113"/>
              <w:jc w:val="both"/>
            </w:pPr>
          </w:p>
        </w:tc>
        <w:tc>
          <w:tcPr>
            <w:tcW w:w="4479" w:type="dxa"/>
            <w:vMerge/>
            <w:tcBorders>
              <w:left w:val="nil"/>
            </w:tcBorders>
          </w:tcPr>
          <w:p w:rsidR="001E6CA3" w:rsidRPr="0048443D" w:rsidRDefault="001E6CA3" w:rsidP="001D390A">
            <w:pPr>
              <w:jc w:val="both"/>
              <w:rPr>
                <w:sz w:val="20"/>
                <w:szCs w:val="20"/>
              </w:rPr>
            </w:pPr>
          </w:p>
        </w:tc>
        <w:tc>
          <w:tcPr>
            <w:tcW w:w="1843" w:type="dxa"/>
            <w:tcBorders>
              <w:left w:val="nil"/>
            </w:tcBorders>
          </w:tcPr>
          <w:p w:rsidR="001E6CA3" w:rsidRPr="0048443D" w:rsidRDefault="001E6CA3" w:rsidP="001D390A">
            <w:pPr>
              <w:jc w:val="both"/>
              <w:rPr>
                <w:sz w:val="20"/>
                <w:szCs w:val="20"/>
              </w:rPr>
            </w:pPr>
            <w:r w:rsidRPr="0048443D">
              <w:rPr>
                <w:sz w:val="20"/>
                <w:szCs w:val="20"/>
              </w:rPr>
              <w:t>Porcentaje</w:t>
            </w:r>
          </w:p>
        </w:tc>
        <w:tc>
          <w:tcPr>
            <w:tcW w:w="1559" w:type="dxa"/>
            <w:vAlign w:val="center"/>
          </w:tcPr>
          <w:p w:rsidR="001E6CA3" w:rsidRPr="0048443D" w:rsidRDefault="00BC7988" w:rsidP="001D390A">
            <w:pPr>
              <w:jc w:val="both"/>
              <w:rPr>
                <w:sz w:val="20"/>
                <w:szCs w:val="20"/>
              </w:rPr>
            </w:pPr>
            <w:r>
              <w:rPr>
                <w:sz w:val="20"/>
                <w:szCs w:val="20"/>
              </w:rPr>
              <w:t>33,33</w:t>
            </w:r>
          </w:p>
        </w:tc>
      </w:tr>
      <w:tr w:rsidR="001E6CA3" w:rsidRPr="0048443D" w:rsidTr="001D390A">
        <w:tc>
          <w:tcPr>
            <w:tcW w:w="1299" w:type="dxa"/>
            <w:vMerge/>
            <w:tcBorders>
              <w:right w:val="nil"/>
            </w:tcBorders>
            <w:shd w:val="clear" w:color="auto" w:fill="4D7F52"/>
          </w:tcPr>
          <w:p w:rsidR="001E6CA3" w:rsidRPr="0048443D" w:rsidRDefault="001E6CA3" w:rsidP="001D390A">
            <w:pPr>
              <w:ind w:left="113" w:right="113"/>
              <w:jc w:val="both"/>
            </w:pPr>
          </w:p>
        </w:tc>
        <w:tc>
          <w:tcPr>
            <w:tcW w:w="6322" w:type="dxa"/>
            <w:gridSpan w:val="2"/>
            <w:tcBorders>
              <w:left w:val="nil"/>
            </w:tcBorders>
          </w:tcPr>
          <w:p w:rsidR="001E6CA3" w:rsidRPr="0048443D" w:rsidRDefault="001E6CA3" w:rsidP="001D390A">
            <w:pPr>
              <w:jc w:val="both"/>
              <w:rPr>
                <w:sz w:val="20"/>
                <w:szCs w:val="20"/>
              </w:rPr>
            </w:pPr>
            <w:r w:rsidRPr="0048443D">
              <w:rPr>
                <w:sz w:val="20"/>
                <w:szCs w:val="20"/>
              </w:rPr>
              <w:t>Nº de Resoluciones del CTBG favorables a los reclamantes recurridas ante la jurisdicción contencioso-administrativa</w:t>
            </w:r>
          </w:p>
        </w:tc>
        <w:tc>
          <w:tcPr>
            <w:tcW w:w="1559" w:type="dxa"/>
            <w:vAlign w:val="center"/>
          </w:tcPr>
          <w:p w:rsidR="001E6CA3" w:rsidRPr="0048443D" w:rsidRDefault="00BC7988" w:rsidP="001D390A">
            <w:pPr>
              <w:jc w:val="both"/>
              <w:rPr>
                <w:sz w:val="20"/>
                <w:szCs w:val="20"/>
              </w:rPr>
            </w:pPr>
            <w:r>
              <w:rPr>
                <w:sz w:val="20"/>
                <w:szCs w:val="20"/>
              </w:rPr>
              <w:t>0</w:t>
            </w:r>
          </w:p>
        </w:tc>
      </w:tr>
      <w:tr w:rsidR="001E6CA3" w:rsidRPr="0048443D" w:rsidTr="001D390A">
        <w:tc>
          <w:tcPr>
            <w:tcW w:w="1299" w:type="dxa"/>
            <w:vMerge/>
            <w:tcBorders>
              <w:right w:val="nil"/>
            </w:tcBorders>
            <w:shd w:val="clear" w:color="auto" w:fill="4D7F52"/>
          </w:tcPr>
          <w:p w:rsidR="001E6CA3" w:rsidRPr="0048443D" w:rsidRDefault="001E6CA3" w:rsidP="001D390A">
            <w:pPr>
              <w:ind w:left="113" w:right="113"/>
              <w:jc w:val="both"/>
            </w:pPr>
          </w:p>
        </w:tc>
        <w:tc>
          <w:tcPr>
            <w:tcW w:w="6322" w:type="dxa"/>
            <w:gridSpan w:val="2"/>
            <w:tcBorders>
              <w:left w:val="nil"/>
            </w:tcBorders>
          </w:tcPr>
          <w:p w:rsidR="001E6CA3" w:rsidRPr="0048443D" w:rsidRDefault="001E6CA3" w:rsidP="001D390A">
            <w:pPr>
              <w:jc w:val="both"/>
              <w:rPr>
                <w:sz w:val="20"/>
                <w:szCs w:val="20"/>
              </w:rPr>
            </w:pPr>
            <w:r w:rsidRPr="0048443D">
              <w:rPr>
                <w:sz w:val="20"/>
                <w:szCs w:val="20"/>
              </w:rPr>
              <w:t>Tasa de litigiosidad</w:t>
            </w:r>
          </w:p>
        </w:tc>
        <w:tc>
          <w:tcPr>
            <w:tcW w:w="1559" w:type="dxa"/>
            <w:vAlign w:val="center"/>
          </w:tcPr>
          <w:p w:rsidR="001E6CA3" w:rsidRPr="0048443D" w:rsidRDefault="001E6CA3" w:rsidP="001D390A">
            <w:pPr>
              <w:jc w:val="both"/>
              <w:rPr>
                <w:sz w:val="20"/>
                <w:szCs w:val="20"/>
              </w:rPr>
            </w:pPr>
          </w:p>
        </w:tc>
      </w:tr>
      <w:tr w:rsidR="001E6CA3" w:rsidRPr="0048443D" w:rsidTr="001D390A">
        <w:tc>
          <w:tcPr>
            <w:tcW w:w="1299" w:type="dxa"/>
            <w:vMerge/>
            <w:tcBorders>
              <w:right w:val="nil"/>
            </w:tcBorders>
            <w:shd w:val="clear" w:color="auto" w:fill="4D7F52"/>
          </w:tcPr>
          <w:p w:rsidR="001E6CA3" w:rsidRPr="0048443D" w:rsidRDefault="001E6CA3" w:rsidP="001D390A">
            <w:pPr>
              <w:ind w:left="113" w:right="113"/>
              <w:jc w:val="both"/>
            </w:pPr>
          </w:p>
        </w:tc>
        <w:tc>
          <w:tcPr>
            <w:tcW w:w="4479" w:type="dxa"/>
            <w:vMerge w:val="restart"/>
            <w:tcBorders>
              <w:left w:val="nil"/>
            </w:tcBorders>
            <w:vAlign w:val="center"/>
          </w:tcPr>
          <w:p w:rsidR="001E6CA3" w:rsidRPr="0048443D" w:rsidRDefault="001E6CA3" w:rsidP="001D390A">
            <w:pPr>
              <w:jc w:val="both"/>
              <w:rPr>
                <w:sz w:val="20"/>
                <w:szCs w:val="20"/>
              </w:rPr>
            </w:pPr>
            <w:r w:rsidRPr="0048443D">
              <w:rPr>
                <w:sz w:val="20"/>
                <w:szCs w:val="20"/>
              </w:rPr>
              <w:t>Sentencias firmes favorables al CTBG</w:t>
            </w:r>
          </w:p>
        </w:tc>
        <w:tc>
          <w:tcPr>
            <w:tcW w:w="1843" w:type="dxa"/>
            <w:tcBorders>
              <w:left w:val="nil"/>
            </w:tcBorders>
          </w:tcPr>
          <w:p w:rsidR="001E6CA3" w:rsidRPr="0048443D" w:rsidRDefault="001E6CA3" w:rsidP="001D390A">
            <w:pPr>
              <w:jc w:val="both"/>
              <w:rPr>
                <w:sz w:val="20"/>
                <w:szCs w:val="20"/>
              </w:rPr>
            </w:pPr>
            <w:r w:rsidRPr="0048443D">
              <w:rPr>
                <w:sz w:val="20"/>
                <w:szCs w:val="20"/>
              </w:rPr>
              <w:t xml:space="preserve">Nº </w:t>
            </w:r>
          </w:p>
        </w:tc>
        <w:tc>
          <w:tcPr>
            <w:tcW w:w="1559" w:type="dxa"/>
            <w:vAlign w:val="center"/>
          </w:tcPr>
          <w:p w:rsidR="001E6CA3" w:rsidRPr="0048443D" w:rsidRDefault="001E6CA3" w:rsidP="001D390A">
            <w:pPr>
              <w:jc w:val="both"/>
              <w:rPr>
                <w:sz w:val="20"/>
                <w:szCs w:val="20"/>
              </w:rPr>
            </w:pPr>
          </w:p>
        </w:tc>
      </w:tr>
      <w:tr w:rsidR="001E6CA3" w:rsidRPr="0048443D" w:rsidTr="001D390A">
        <w:trPr>
          <w:trHeight w:val="113"/>
        </w:trPr>
        <w:tc>
          <w:tcPr>
            <w:tcW w:w="1299" w:type="dxa"/>
            <w:vMerge/>
            <w:tcBorders>
              <w:right w:val="nil"/>
            </w:tcBorders>
            <w:shd w:val="clear" w:color="auto" w:fill="4D7F52"/>
          </w:tcPr>
          <w:p w:rsidR="001E6CA3" w:rsidRPr="0048443D" w:rsidRDefault="001E6CA3" w:rsidP="001D390A">
            <w:pPr>
              <w:ind w:left="113" w:right="113"/>
              <w:jc w:val="both"/>
            </w:pPr>
          </w:p>
        </w:tc>
        <w:tc>
          <w:tcPr>
            <w:tcW w:w="4479" w:type="dxa"/>
            <w:vMerge/>
            <w:tcBorders>
              <w:left w:val="nil"/>
            </w:tcBorders>
            <w:vAlign w:val="center"/>
          </w:tcPr>
          <w:p w:rsidR="001E6CA3" w:rsidRPr="0048443D" w:rsidRDefault="001E6CA3" w:rsidP="001D390A">
            <w:pPr>
              <w:jc w:val="both"/>
              <w:rPr>
                <w:sz w:val="20"/>
                <w:szCs w:val="20"/>
              </w:rPr>
            </w:pPr>
          </w:p>
        </w:tc>
        <w:tc>
          <w:tcPr>
            <w:tcW w:w="1843" w:type="dxa"/>
            <w:tcBorders>
              <w:left w:val="nil"/>
            </w:tcBorders>
          </w:tcPr>
          <w:p w:rsidR="001E6CA3" w:rsidRPr="0048443D" w:rsidRDefault="001E6CA3" w:rsidP="001D390A">
            <w:pPr>
              <w:jc w:val="both"/>
              <w:rPr>
                <w:sz w:val="20"/>
                <w:szCs w:val="20"/>
              </w:rPr>
            </w:pPr>
            <w:r w:rsidRPr="0048443D">
              <w:rPr>
                <w:sz w:val="20"/>
                <w:szCs w:val="20"/>
              </w:rPr>
              <w:t>Porcentaje</w:t>
            </w:r>
          </w:p>
        </w:tc>
        <w:tc>
          <w:tcPr>
            <w:tcW w:w="1559" w:type="dxa"/>
            <w:vAlign w:val="center"/>
          </w:tcPr>
          <w:p w:rsidR="001E6CA3" w:rsidRPr="0048443D" w:rsidRDefault="001E6CA3" w:rsidP="001D390A">
            <w:pPr>
              <w:jc w:val="both"/>
              <w:rPr>
                <w:sz w:val="20"/>
                <w:szCs w:val="20"/>
              </w:rPr>
            </w:pPr>
          </w:p>
        </w:tc>
      </w:tr>
      <w:tr w:rsidR="001E6CA3" w:rsidRPr="0048443D" w:rsidTr="001D390A">
        <w:trPr>
          <w:trHeight w:val="248"/>
        </w:trPr>
        <w:tc>
          <w:tcPr>
            <w:tcW w:w="1299" w:type="dxa"/>
            <w:vMerge/>
            <w:tcBorders>
              <w:right w:val="nil"/>
            </w:tcBorders>
            <w:shd w:val="clear" w:color="auto" w:fill="4D7F52"/>
          </w:tcPr>
          <w:p w:rsidR="001E6CA3" w:rsidRPr="0048443D" w:rsidRDefault="001E6CA3" w:rsidP="001D390A">
            <w:pPr>
              <w:ind w:left="113" w:right="113"/>
              <w:jc w:val="both"/>
            </w:pPr>
          </w:p>
        </w:tc>
        <w:tc>
          <w:tcPr>
            <w:tcW w:w="4479" w:type="dxa"/>
            <w:vMerge w:val="restart"/>
            <w:tcBorders>
              <w:left w:val="nil"/>
            </w:tcBorders>
            <w:vAlign w:val="center"/>
          </w:tcPr>
          <w:p w:rsidR="001E6CA3" w:rsidRPr="0048443D" w:rsidRDefault="001E6CA3" w:rsidP="001D390A">
            <w:pPr>
              <w:jc w:val="both"/>
              <w:rPr>
                <w:sz w:val="20"/>
                <w:szCs w:val="20"/>
              </w:rPr>
            </w:pPr>
            <w:r w:rsidRPr="0048443D">
              <w:rPr>
                <w:sz w:val="20"/>
                <w:szCs w:val="20"/>
              </w:rPr>
              <w:t>Sentencias firmes favorables a la entidad</w:t>
            </w:r>
          </w:p>
        </w:tc>
        <w:tc>
          <w:tcPr>
            <w:tcW w:w="1843" w:type="dxa"/>
            <w:tcBorders>
              <w:left w:val="nil"/>
            </w:tcBorders>
          </w:tcPr>
          <w:p w:rsidR="001E6CA3" w:rsidRPr="0048443D" w:rsidRDefault="001E6CA3" w:rsidP="001D390A">
            <w:pPr>
              <w:jc w:val="both"/>
              <w:rPr>
                <w:sz w:val="20"/>
                <w:szCs w:val="20"/>
              </w:rPr>
            </w:pPr>
            <w:r w:rsidRPr="0048443D">
              <w:rPr>
                <w:sz w:val="20"/>
                <w:szCs w:val="20"/>
              </w:rPr>
              <w:t xml:space="preserve">Nº </w:t>
            </w:r>
          </w:p>
        </w:tc>
        <w:tc>
          <w:tcPr>
            <w:tcW w:w="1559" w:type="dxa"/>
            <w:vAlign w:val="center"/>
          </w:tcPr>
          <w:p w:rsidR="001E6CA3" w:rsidRPr="0048443D" w:rsidRDefault="001E6CA3" w:rsidP="001D390A">
            <w:pPr>
              <w:jc w:val="both"/>
              <w:rPr>
                <w:sz w:val="20"/>
                <w:szCs w:val="20"/>
              </w:rPr>
            </w:pPr>
          </w:p>
        </w:tc>
      </w:tr>
      <w:tr w:rsidR="001E6CA3" w:rsidRPr="0048443D" w:rsidTr="001D390A">
        <w:trPr>
          <w:trHeight w:val="247"/>
        </w:trPr>
        <w:tc>
          <w:tcPr>
            <w:tcW w:w="1299" w:type="dxa"/>
            <w:vMerge/>
            <w:tcBorders>
              <w:right w:val="nil"/>
            </w:tcBorders>
            <w:shd w:val="clear" w:color="auto" w:fill="4D7F52"/>
          </w:tcPr>
          <w:p w:rsidR="001E6CA3" w:rsidRPr="0048443D" w:rsidRDefault="001E6CA3" w:rsidP="001D390A">
            <w:pPr>
              <w:ind w:left="113" w:right="113"/>
              <w:jc w:val="both"/>
            </w:pPr>
          </w:p>
        </w:tc>
        <w:tc>
          <w:tcPr>
            <w:tcW w:w="4479" w:type="dxa"/>
            <w:vMerge/>
            <w:tcBorders>
              <w:left w:val="nil"/>
            </w:tcBorders>
          </w:tcPr>
          <w:p w:rsidR="001E6CA3" w:rsidRPr="0048443D" w:rsidRDefault="001E6CA3" w:rsidP="001D390A">
            <w:pPr>
              <w:jc w:val="both"/>
              <w:rPr>
                <w:sz w:val="20"/>
                <w:szCs w:val="20"/>
              </w:rPr>
            </w:pPr>
          </w:p>
        </w:tc>
        <w:tc>
          <w:tcPr>
            <w:tcW w:w="1843" w:type="dxa"/>
            <w:tcBorders>
              <w:left w:val="nil"/>
            </w:tcBorders>
          </w:tcPr>
          <w:p w:rsidR="001E6CA3" w:rsidRPr="0048443D" w:rsidRDefault="001E6CA3" w:rsidP="001D390A">
            <w:pPr>
              <w:jc w:val="both"/>
              <w:rPr>
                <w:sz w:val="20"/>
                <w:szCs w:val="20"/>
              </w:rPr>
            </w:pPr>
            <w:r w:rsidRPr="0048443D">
              <w:rPr>
                <w:sz w:val="20"/>
                <w:szCs w:val="20"/>
              </w:rPr>
              <w:t>Porcentaje</w:t>
            </w:r>
          </w:p>
        </w:tc>
        <w:tc>
          <w:tcPr>
            <w:tcW w:w="1559" w:type="dxa"/>
            <w:vAlign w:val="center"/>
          </w:tcPr>
          <w:p w:rsidR="001E6CA3" w:rsidRPr="0048443D" w:rsidRDefault="001E6CA3" w:rsidP="001D390A">
            <w:pPr>
              <w:jc w:val="both"/>
              <w:rPr>
                <w:sz w:val="20"/>
                <w:szCs w:val="20"/>
              </w:rPr>
            </w:pPr>
          </w:p>
        </w:tc>
      </w:tr>
    </w:tbl>
    <w:p w:rsidR="001E6CA3" w:rsidRPr="00256215" w:rsidRDefault="00322B09" w:rsidP="001E6CA3">
      <w:pPr>
        <w:pStyle w:val="Cuerpodelboletn"/>
      </w:pPr>
      <w:sdt>
        <w:sdtPr>
          <w:rPr>
            <w:b/>
            <w:color w:val="00642D"/>
            <w:sz w:val="30"/>
            <w:szCs w:val="30"/>
          </w:rPr>
          <w:id w:val="100155903"/>
          <w:placeholder>
            <w:docPart w:val="8522E383F44943078ACF54C2C3D55DD6"/>
          </w:placeholder>
        </w:sdtPr>
        <w:sdtEndPr>
          <w:rPr>
            <w:sz w:val="22"/>
            <w:szCs w:val="24"/>
          </w:rPr>
        </w:sdtEndPr>
        <w:sdtContent>
          <w:r w:rsidR="001E6CA3" w:rsidRPr="00256215">
            <w:rPr>
              <w:b/>
              <w:color w:val="00642D"/>
              <w:sz w:val="30"/>
              <w:szCs w:val="30"/>
            </w:rPr>
            <w:t xml:space="preserve">V. </w:t>
          </w:r>
          <w:r w:rsidR="001E6CA3">
            <w:rPr>
              <w:b/>
              <w:color w:val="00642D"/>
              <w:sz w:val="30"/>
              <w:szCs w:val="30"/>
            </w:rPr>
            <w:t>Buenas prácticas</w:t>
          </w:r>
          <w:r w:rsidR="001E6CA3" w:rsidRPr="00256215">
            <w:rPr>
              <w:b/>
              <w:color w:val="00642D"/>
              <w:sz w:val="30"/>
              <w:szCs w:val="30"/>
            </w:rPr>
            <w:t xml:space="preserve"> </w:t>
          </w:r>
        </w:sdtContent>
      </w:sdt>
    </w:p>
    <w:p w:rsidR="001E6CA3" w:rsidRDefault="001E6CA3" w:rsidP="001E6CA3">
      <w:pPr>
        <w:ind w:left="426"/>
        <w:jc w:val="both"/>
      </w:pPr>
    </w:p>
    <w:p w:rsidR="001E6CA3" w:rsidRDefault="001E6CA3" w:rsidP="001E6CA3">
      <w:pPr>
        <w:spacing w:before="120" w:after="120"/>
        <w:ind w:left="426"/>
        <w:jc w:val="both"/>
      </w:pPr>
      <w:r>
        <w:t xml:space="preserve">El </w:t>
      </w:r>
      <w:r w:rsidR="00BC7988">
        <w:t>CSN</w:t>
      </w:r>
      <w:r>
        <w:t xml:space="preserve"> presenta en la gestión de las solicitudes de acceso a información pública buenas prácticas que podrían ser aplicadas por otras instituciones y organizaciones públicas. Entre ellas cabe destacar:</w:t>
      </w:r>
    </w:p>
    <w:p w:rsidR="001E6CA3" w:rsidRPr="004A5655" w:rsidRDefault="001E6CA3" w:rsidP="001E6CA3">
      <w:pPr>
        <w:pStyle w:val="Prrafodelista"/>
        <w:numPr>
          <w:ilvl w:val="0"/>
          <w:numId w:val="5"/>
        </w:numPr>
        <w:spacing w:before="120" w:after="120"/>
        <w:ind w:left="1134"/>
        <w:contextualSpacing w:val="0"/>
        <w:jc w:val="both"/>
      </w:pPr>
      <w:r>
        <w:t xml:space="preserve">La disponibilidad de un formulario web que facilita la presentación de las solicitudes </w:t>
      </w:r>
      <w:r w:rsidRPr="004A5655">
        <w:t>por correo electrónico.</w:t>
      </w:r>
    </w:p>
    <w:p w:rsidR="001E6CA3" w:rsidRDefault="00BC7988" w:rsidP="001E6CA3">
      <w:pPr>
        <w:pStyle w:val="Prrafodelista"/>
        <w:numPr>
          <w:ilvl w:val="0"/>
          <w:numId w:val="5"/>
        </w:numPr>
        <w:spacing w:before="120" w:after="120"/>
        <w:ind w:left="1134"/>
        <w:contextualSpacing w:val="0"/>
        <w:jc w:val="both"/>
      </w:pPr>
      <w:r>
        <w:t>La incorporación de información adicional para la tramitación de las solicitudes de acceso.</w:t>
      </w:r>
    </w:p>
    <w:p w:rsidR="003504E0" w:rsidRPr="004A5655" w:rsidRDefault="003504E0" w:rsidP="001E6CA3">
      <w:pPr>
        <w:pStyle w:val="Prrafodelista"/>
        <w:numPr>
          <w:ilvl w:val="0"/>
          <w:numId w:val="5"/>
        </w:numPr>
        <w:spacing w:before="120" w:after="120"/>
        <w:ind w:left="1134"/>
        <w:contextualSpacing w:val="0"/>
        <w:jc w:val="both"/>
      </w:pPr>
      <w:r>
        <w:t>La publicación de las re</w:t>
      </w:r>
      <w:r w:rsidR="00DD6391">
        <w:t xml:space="preserve">soluciones adoptadas por el CTBG en las reclamaciones </w:t>
      </w:r>
      <w:r>
        <w:t>que afectan al CSN</w:t>
      </w:r>
      <w:r w:rsidR="00DD6391">
        <w:t>, así como la documentación facilitada en cumplimiento de las resoluciones esti</w:t>
      </w:r>
      <w:r w:rsidR="001A7F15">
        <w:t>matorias (total o parcialmente).</w:t>
      </w:r>
    </w:p>
    <w:p w:rsidR="00DE2A2D" w:rsidRPr="00DE2A2D" w:rsidRDefault="00DE2A2D" w:rsidP="00DE2A2D">
      <w:pPr>
        <w:pStyle w:val="Cuerpodelboletn"/>
        <w:spacing w:before="120" w:after="120" w:line="312" w:lineRule="auto"/>
        <w:ind w:left="360"/>
        <w:rPr>
          <w:bCs/>
          <w:color w:val="auto"/>
        </w:rPr>
      </w:pPr>
    </w:p>
    <w:p w:rsidR="002A154B" w:rsidRPr="002A154B" w:rsidRDefault="002A154B" w:rsidP="00334115">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D13B29" w:rsidRPr="00B70DBD" w:rsidRDefault="00D13B29" w:rsidP="00D13B29">
      <w:pPr>
        <w:pStyle w:val="Prrafodelista"/>
        <w:numPr>
          <w:ilvl w:val="0"/>
          <w:numId w:val="6"/>
        </w:numPr>
        <w:spacing w:before="120" w:after="120"/>
        <w:ind w:left="426"/>
        <w:contextualSpacing w:val="0"/>
        <w:jc w:val="both"/>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D13B29" w:rsidRDefault="00D13B29" w:rsidP="00D13B29">
      <w:pPr>
        <w:pStyle w:val="Prrafodelista"/>
        <w:spacing w:before="120" w:after="120"/>
        <w:ind w:left="426"/>
        <w:contextualSpacing w:val="0"/>
        <w:jc w:val="both"/>
        <w:rPr>
          <w:rStyle w:val="Ttulo2Car"/>
          <w:color w:val="00642D"/>
          <w:sz w:val="22"/>
          <w:szCs w:val="22"/>
          <w:lang w:bidi="es-ES"/>
        </w:rPr>
      </w:pPr>
    </w:p>
    <w:p w:rsidR="00D13B29" w:rsidRDefault="00D13B29" w:rsidP="00D13B29">
      <w:pPr>
        <w:pStyle w:val="Prrafodelista"/>
        <w:spacing w:before="120" w:after="120"/>
        <w:ind w:left="426"/>
        <w:contextualSpacing w:val="0"/>
        <w:jc w:val="both"/>
        <w:rPr>
          <w:bCs/>
          <w:szCs w:val="24"/>
        </w:rPr>
      </w:pPr>
      <w:r w:rsidRPr="004E715F">
        <w:rPr>
          <w:bCs/>
          <w:szCs w:val="24"/>
        </w:rPr>
        <w:t xml:space="preserve">El </w:t>
      </w:r>
      <w:r>
        <w:rPr>
          <w:bCs/>
          <w:szCs w:val="24"/>
        </w:rPr>
        <w:t>CSN</w:t>
      </w:r>
      <w:r w:rsidRPr="004E715F">
        <w:rPr>
          <w:bCs/>
          <w:szCs w:val="24"/>
        </w:rPr>
        <w:t xml:space="preserve"> no ha aportado la información solicitada por este Consejo con fecha 17/02/2021, por lo que no es posible efectuar ningún análisis en este ámbito.</w:t>
      </w:r>
    </w:p>
    <w:p w:rsidR="00D13B29" w:rsidRDefault="00D13B29" w:rsidP="00D13B29">
      <w:pPr>
        <w:pStyle w:val="Prrafodelista"/>
        <w:spacing w:before="120" w:after="120"/>
        <w:ind w:left="426"/>
        <w:contextualSpacing w:val="0"/>
        <w:jc w:val="both"/>
        <w:rPr>
          <w:bCs/>
          <w:szCs w:val="24"/>
        </w:rPr>
      </w:pPr>
    </w:p>
    <w:p w:rsidR="00D13B29" w:rsidRPr="001018C9" w:rsidRDefault="00D13B29" w:rsidP="00D13B29">
      <w:pPr>
        <w:pStyle w:val="Prrafodelista"/>
        <w:numPr>
          <w:ilvl w:val="0"/>
          <w:numId w:val="6"/>
        </w:numPr>
        <w:spacing w:before="120" w:after="120"/>
        <w:ind w:left="426"/>
        <w:contextualSpacing w:val="0"/>
        <w:jc w:val="both"/>
      </w:pPr>
      <w:r w:rsidRPr="00B70DBD">
        <w:rPr>
          <w:rStyle w:val="Ttulo2Car"/>
          <w:color w:val="00642D"/>
          <w:sz w:val="22"/>
          <w:szCs w:val="22"/>
          <w:lang w:bidi="es-ES"/>
        </w:rPr>
        <w:t>Respecto de la localización de la información y facilidad de acceso al ejercicio del derecho.</w:t>
      </w:r>
    </w:p>
    <w:p w:rsidR="00D13B29" w:rsidRDefault="00D13B29" w:rsidP="00D13B29">
      <w:pPr>
        <w:pStyle w:val="Prrafodelista"/>
        <w:spacing w:before="120" w:after="120"/>
        <w:ind w:left="426"/>
        <w:contextualSpacing w:val="0"/>
        <w:jc w:val="both"/>
      </w:pPr>
    </w:p>
    <w:p w:rsidR="00D13B29" w:rsidRDefault="00D13B29" w:rsidP="00D13B29">
      <w:pPr>
        <w:pStyle w:val="Prrafodelista"/>
        <w:spacing w:before="120" w:after="120"/>
        <w:ind w:left="426"/>
        <w:contextualSpacing w:val="0"/>
        <w:jc w:val="both"/>
      </w:pPr>
      <w:r>
        <w:t>Como se ha indicado, el CSN ofrece un espacio en su sede electrónica para la presentación de las solicitudes de acceso a información pública.</w:t>
      </w:r>
      <w:r w:rsidRPr="00D13B29">
        <w:t xml:space="preserve"> </w:t>
      </w:r>
      <w:r>
        <w:t>Esto</w:t>
      </w:r>
      <w:r w:rsidRPr="00D13B29">
        <w:t xml:space="preserve"> puede dificultar el acceso al ejercicio del derecho, ya que el ciudadano que quiera solicitar información pública </w:t>
      </w:r>
      <w:r>
        <w:t>al</w:t>
      </w:r>
      <w:r w:rsidRPr="00D13B29">
        <w:t xml:space="preserve"> </w:t>
      </w:r>
      <w:r>
        <w:t>CSN</w:t>
      </w:r>
      <w:r w:rsidRPr="00D13B29">
        <w:t xml:space="preserve">, tiene que averiguar que al no existir ningún espacio específico en </w:t>
      </w:r>
      <w:r>
        <w:t>el Portal de Transparencia</w:t>
      </w:r>
      <w:r w:rsidRPr="00D13B29">
        <w:t xml:space="preserve">, las solicitudes se canalizan a través </w:t>
      </w:r>
      <w:r>
        <w:t>de la sede electrónica</w:t>
      </w:r>
      <w:r w:rsidRPr="00D13B29">
        <w:t>.</w:t>
      </w:r>
    </w:p>
    <w:p w:rsidR="00D13B29" w:rsidRDefault="00D13B29" w:rsidP="00D13B29">
      <w:pPr>
        <w:pStyle w:val="Prrafodelista"/>
        <w:pBdr>
          <w:top w:val="single" w:sz="4" w:space="1" w:color="008000"/>
          <w:left w:val="single" w:sz="4" w:space="4" w:color="008000"/>
          <w:bottom w:val="single" w:sz="4" w:space="1" w:color="008000"/>
          <w:right w:val="single" w:sz="4" w:space="4" w:color="008000"/>
        </w:pBdr>
        <w:ind w:left="426"/>
        <w:jc w:val="both"/>
      </w:pPr>
      <w:r>
        <w:t xml:space="preserve">Este Consejo recomienda que, para facilitar el acceso de la ciudadanía al ejercicio del derecho de acceso a la información pública, en el Portal de Transparencia del CSN se incluya un enlace al procedimiento de presentación de solicitudes de información pública </w:t>
      </w:r>
      <w:r w:rsidR="003504E0">
        <w:t>habilitado en</w:t>
      </w:r>
      <w:r>
        <w:t xml:space="preserve"> la sede electrónica. </w:t>
      </w:r>
    </w:p>
    <w:p w:rsidR="00D13B29" w:rsidRDefault="00D13B29" w:rsidP="00D13B29">
      <w:pPr>
        <w:pStyle w:val="Prrafodelista"/>
        <w:ind w:left="426"/>
        <w:jc w:val="both"/>
      </w:pPr>
    </w:p>
    <w:p w:rsidR="00D13B29" w:rsidRDefault="00D13B29" w:rsidP="00D13B29">
      <w:pPr>
        <w:pStyle w:val="Prrafodelista"/>
        <w:ind w:left="426"/>
        <w:jc w:val="both"/>
        <w:rPr>
          <w:bCs/>
        </w:rPr>
      </w:pPr>
      <w:r>
        <w:rPr>
          <w:bCs/>
        </w:rPr>
        <w:t>Una cuestión adicional es que no se publican las resoluciones que deniegan el acceso a la información en aplicación de los límites del artículo 14.</w:t>
      </w:r>
    </w:p>
    <w:p w:rsidR="00D13B29" w:rsidRDefault="00D13B29" w:rsidP="00D13B29">
      <w:pPr>
        <w:pStyle w:val="Prrafodelista"/>
        <w:ind w:left="426"/>
        <w:jc w:val="both"/>
        <w:rPr>
          <w:bCs/>
        </w:rPr>
      </w:pPr>
      <w:r>
        <w:rPr>
          <w:bCs/>
        </w:rPr>
        <w:t xml:space="preserve"> </w:t>
      </w:r>
    </w:p>
    <w:p w:rsidR="00D13B29" w:rsidRPr="008648E8" w:rsidRDefault="003504E0" w:rsidP="00D13B29">
      <w:pPr>
        <w:pStyle w:val="Prrafodelista"/>
        <w:pBdr>
          <w:top w:val="single" w:sz="4" w:space="1" w:color="008000"/>
          <w:left w:val="single" w:sz="4" w:space="4" w:color="008000"/>
          <w:bottom w:val="single" w:sz="4" w:space="1" w:color="008000"/>
          <w:right w:val="single" w:sz="4" w:space="4" w:color="008000"/>
        </w:pBdr>
        <w:ind w:left="426"/>
        <w:jc w:val="both"/>
        <w:rPr>
          <w:bCs/>
        </w:rPr>
      </w:pPr>
      <w:r>
        <w:rPr>
          <w:bCs/>
        </w:rPr>
        <w:t>El CSN debería publicar en el Portal de Transparencia las</w:t>
      </w:r>
      <w:r w:rsidR="00DD6391">
        <w:rPr>
          <w:bCs/>
        </w:rPr>
        <w:t xml:space="preserve"> resoluciones den</w:t>
      </w:r>
      <w:r w:rsidR="001A7F15">
        <w:rPr>
          <w:bCs/>
        </w:rPr>
        <w:t>e</w:t>
      </w:r>
      <w:r w:rsidR="00DD6391">
        <w:rPr>
          <w:bCs/>
        </w:rPr>
        <w:t xml:space="preserve">gatorias dictadas </w:t>
      </w:r>
      <w:r>
        <w:rPr>
          <w:bCs/>
        </w:rPr>
        <w:t xml:space="preserve"> por aplicación de los límites del artículo 14 de la LTAIBG, dando así cumplimiento a lo establecido en el artículo 14.3 de la norma.</w:t>
      </w:r>
    </w:p>
    <w:p w:rsidR="00D13B29" w:rsidRPr="004E715F" w:rsidRDefault="00D13B29" w:rsidP="00D13B29">
      <w:pPr>
        <w:pStyle w:val="Prrafodelista"/>
        <w:spacing w:before="120" w:after="120"/>
        <w:ind w:left="426"/>
        <w:contextualSpacing w:val="0"/>
        <w:jc w:val="both"/>
        <w:rPr>
          <w:bCs/>
          <w:szCs w:val="24"/>
        </w:rPr>
      </w:pPr>
    </w:p>
    <w:p w:rsidR="003504E0" w:rsidRPr="00B70DBD" w:rsidRDefault="003504E0" w:rsidP="003504E0">
      <w:pPr>
        <w:pStyle w:val="Prrafodelista"/>
        <w:numPr>
          <w:ilvl w:val="0"/>
          <w:numId w:val="7"/>
        </w:numPr>
        <w:spacing w:before="120" w:after="120"/>
        <w:ind w:left="426"/>
        <w:contextualSpacing w:val="0"/>
        <w:jc w:val="both"/>
        <w:rPr>
          <w:rStyle w:val="Ttulo2Car"/>
          <w:color w:val="00642D"/>
          <w:sz w:val="22"/>
          <w:szCs w:val="22"/>
          <w:lang w:bidi="es-ES"/>
        </w:rPr>
      </w:pPr>
      <w:r w:rsidRPr="00B70DBD">
        <w:rPr>
          <w:rStyle w:val="Ttulo2Car"/>
          <w:color w:val="00642D"/>
          <w:sz w:val="22"/>
          <w:szCs w:val="22"/>
          <w:lang w:bidi="es-ES"/>
        </w:rPr>
        <w:lastRenderedPageBreak/>
        <w:t>Respecto de la gestión de las solicitudes de acceso</w:t>
      </w:r>
    </w:p>
    <w:p w:rsidR="003504E0" w:rsidRDefault="003504E0" w:rsidP="003504E0">
      <w:pPr>
        <w:pStyle w:val="Prrafodelista"/>
        <w:spacing w:before="120" w:after="120"/>
        <w:ind w:left="426"/>
        <w:contextualSpacing w:val="0"/>
        <w:jc w:val="both"/>
      </w:pPr>
    </w:p>
    <w:p w:rsidR="003504E0" w:rsidRDefault="003504E0" w:rsidP="003504E0">
      <w:pPr>
        <w:pStyle w:val="Prrafodelista"/>
        <w:spacing w:before="120" w:after="120"/>
        <w:ind w:left="425"/>
        <w:contextualSpacing w:val="0"/>
        <w:jc w:val="both"/>
      </w:pPr>
      <w:r w:rsidRPr="00215298">
        <w:t>La gestión de la solicitud de acceso</w:t>
      </w:r>
      <w:r>
        <w:t xml:space="preserve"> presenta algunos déficits derivados básicamente de la confusión existente entre las diferentes informaciones que pueden solicitarse al CSN.       </w:t>
      </w:r>
      <w:r w:rsidRPr="00215298">
        <w:t xml:space="preserve"> </w:t>
      </w:r>
    </w:p>
    <w:p w:rsidR="003504E0" w:rsidRDefault="003504E0" w:rsidP="003504E0">
      <w:pPr>
        <w:pStyle w:val="Prrafodelista"/>
        <w:pBdr>
          <w:top w:val="single" w:sz="4" w:space="1" w:color="008000"/>
          <w:left w:val="single" w:sz="4" w:space="4" w:color="008000"/>
          <w:bottom w:val="single" w:sz="4" w:space="1" w:color="008000"/>
          <w:right w:val="single" w:sz="4" w:space="4" w:color="008000"/>
        </w:pBdr>
        <w:spacing w:before="120" w:after="120"/>
        <w:ind w:left="425"/>
        <w:jc w:val="both"/>
      </w:pPr>
      <w:r>
        <w:t xml:space="preserve">Aunque el volumen de solicitudes de información dirigidas al CSN al amparo de la Ley 19/2013 </w:t>
      </w:r>
      <w:r w:rsidR="00DD6391">
        <w:t>fuera</w:t>
      </w:r>
      <w:r>
        <w:t xml:space="preserve"> pequeño, sobre todo en comparación con otras informaciones relativas a las competencias y funciones del Consejo, el CSN debería habilitar mecanismos que permitan a las personas responsables de su gestión identificarlas y diferenciarlas de otras solicitudes de información, por ejemplo mediante un registro específico y proporcionando formación a las personas que han de tramitarlas.</w:t>
      </w:r>
    </w:p>
    <w:p w:rsidR="003504E0" w:rsidRDefault="003504E0" w:rsidP="003504E0">
      <w:pPr>
        <w:pStyle w:val="Prrafodelista"/>
        <w:pBdr>
          <w:top w:val="single" w:sz="4" w:space="1" w:color="008000"/>
          <w:left w:val="single" w:sz="4" w:space="4" w:color="008000"/>
          <w:bottom w:val="single" w:sz="4" w:space="1" w:color="008000"/>
          <w:right w:val="single" w:sz="4" w:space="4" w:color="008000"/>
        </w:pBdr>
        <w:spacing w:before="120" w:after="120"/>
        <w:ind w:left="425"/>
        <w:jc w:val="both"/>
      </w:pPr>
      <w:r>
        <w:t>La confusión existente entre las diferentes peticiones de información que pueden efectuarse a la institución en la práctica puede llegar a suponer una barrera al ejercicio del derecho de acceso.</w:t>
      </w:r>
    </w:p>
    <w:p w:rsidR="001A7F15" w:rsidRDefault="001A7F15" w:rsidP="003504E0">
      <w:pPr>
        <w:pStyle w:val="Prrafodelista"/>
        <w:ind w:left="426"/>
        <w:jc w:val="both"/>
      </w:pPr>
    </w:p>
    <w:p w:rsidR="003504E0" w:rsidRDefault="003504E0" w:rsidP="003504E0">
      <w:pPr>
        <w:pStyle w:val="Prrafodelista"/>
        <w:ind w:left="426"/>
        <w:jc w:val="both"/>
      </w:pPr>
      <w:r>
        <w:t xml:space="preserve">No consta que se haya emitido respuesta a la solicitud, por lo que ha de entenderse desestimada por silencio administrativo. </w:t>
      </w:r>
    </w:p>
    <w:p w:rsidR="003504E0" w:rsidRDefault="003504E0" w:rsidP="003504E0">
      <w:pPr>
        <w:pStyle w:val="Prrafodelista"/>
        <w:ind w:left="426"/>
        <w:jc w:val="both"/>
      </w:pPr>
    </w:p>
    <w:p w:rsidR="00600C3D" w:rsidRDefault="003504E0" w:rsidP="00600C3D">
      <w:pPr>
        <w:pStyle w:val="Prrafodelista"/>
        <w:pBdr>
          <w:top w:val="single" w:sz="4" w:space="1" w:color="008000"/>
          <w:left w:val="single" w:sz="4" w:space="4" w:color="008000"/>
          <w:bottom w:val="single" w:sz="4" w:space="0" w:color="008000"/>
          <w:right w:val="single" w:sz="4" w:space="4" w:color="008000"/>
        </w:pBdr>
        <w:ind w:left="426"/>
        <w:jc w:val="both"/>
      </w:pPr>
      <w:r>
        <w:t xml:space="preserve">Aunque se contemple la posibilidad de desestimación de solicitudes de información por silencio administrativo, sería deseable que el CSN hubiera emitido resolución expresa que diera cumplida respuesta a la solicitud, con indicación de los recursos que contra la misma procedan, órgano ante el que presentarlos y el plazo para interponerlos. </w:t>
      </w:r>
    </w:p>
    <w:p w:rsidR="00600C3D" w:rsidRDefault="00600C3D" w:rsidP="00600C3D">
      <w:pPr>
        <w:pStyle w:val="Prrafodelista"/>
        <w:pBdr>
          <w:top w:val="single" w:sz="4" w:space="1" w:color="008000"/>
          <w:left w:val="single" w:sz="4" w:space="4" w:color="008000"/>
          <w:bottom w:val="single" w:sz="4" w:space="0" w:color="008000"/>
          <w:right w:val="single" w:sz="4" w:space="4" w:color="008000"/>
        </w:pBdr>
        <w:ind w:left="426"/>
        <w:jc w:val="both"/>
      </w:pPr>
    </w:p>
    <w:p w:rsidR="003504E0" w:rsidRDefault="003504E0" w:rsidP="00600C3D">
      <w:pPr>
        <w:pStyle w:val="Prrafodelista"/>
        <w:pBdr>
          <w:top w:val="single" w:sz="4" w:space="1" w:color="008000"/>
          <w:left w:val="single" w:sz="4" w:space="4" w:color="008000"/>
          <w:bottom w:val="single" w:sz="4" w:space="0" w:color="008000"/>
          <w:right w:val="single" w:sz="4" w:space="4" w:color="008000"/>
        </w:pBdr>
        <w:ind w:left="426"/>
        <w:jc w:val="both"/>
      </w:pPr>
      <w:r>
        <w:t xml:space="preserve">En este caso, la ausencia de resolución expresa puede obedecer a la confusión sobre el contenido de la solicitud señalado anteriormente. </w:t>
      </w:r>
    </w:p>
    <w:p w:rsidR="00B40246" w:rsidRDefault="00B40246"/>
    <w:sectPr w:rsidR="00B40246" w:rsidSect="009038AB">
      <w:headerReference w:type="default" r:id="rId12"/>
      <w:pgSz w:w="11906" w:h="16838"/>
      <w:pgMar w:top="426" w:right="720" w:bottom="99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8AB" w:rsidRDefault="009038AB" w:rsidP="00932008">
      <w:pPr>
        <w:spacing w:after="0" w:line="240" w:lineRule="auto"/>
      </w:pPr>
      <w:r>
        <w:separator/>
      </w:r>
    </w:p>
  </w:endnote>
  <w:endnote w:type="continuationSeparator" w:id="0">
    <w:p w:rsidR="009038AB" w:rsidRDefault="009038AB"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8AB" w:rsidRDefault="009038AB" w:rsidP="00932008">
      <w:pPr>
        <w:spacing w:after="0" w:line="240" w:lineRule="auto"/>
      </w:pPr>
      <w:r>
        <w:separator/>
      </w:r>
    </w:p>
  </w:footnote>
  <w:footnote w:type="continuationSeparator" w:id="0">
    <w:p w:rsidR="009038AB" w:rsidRDefault="009038AB"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8AB" w:rsidRDefault="009038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BB51E8"/>
    <w:multiLevelType w:val="hybridMultilevel"/>
    <w:tmpl w:val="0914B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4">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308F"/>
    <w:rsid w:val="000262A3"/>
    <w:rsid w:val="00055B15"/>
    <w:rsid w:val="000965B3"/>
    <w:rsid w:val="000C6CFF"/>
    <w:rsid w:val="000D5D5B"/>
    <w:rsid w:val="000D5E0B"/>
    <w:rsid w:val="000E7F86"/>
    <w:rsid w:val="00102733"/>
    <w:rsid w:val="00126C38"/>
    <w:rsid w:val="0012783F"/>
    <w:rsid w:val="001561A4"/>
    <w:rsid w:val="00176A94"/>
    <w:rsid w:val="00194000"/>
    <w:rsid w:val="001A7F15"/>
    <w:rsid w:val="001D390A"/>
    <w:rsid w:val="001E3415"/>
    <w:rsid w:val="001E5C54"/>
    <w:rsid w:val="001E6CA3"/>
    <w:rsid w:val="002A154B"/>
    <w:rsid w:val="00322B09"/>
    <w:rsid w:val="00334115"/>
    <w:rsid w:val="003504E0"/>
    <w:rsid w:val="003F271E"/>
    <w:rsid w:val="003F572A"/>
    <w:rsid w:val="00461F42"/>
    <w:rsid w:val="004A123A"/>
    <w:rsid w:val="004B2911"/>
    <w:rsid w:val="004F2655"/>
    <w:rsid w:val="00561402"/>
    <w:rsid w:val="0057532F"/>
    <w:rsid w:val="00595AAF"/>
    <w:rsid w:val="005B3C15"/>
    <w:rsid w:val="00600C3D"/>
    <w:rsid w:val="006A2766"/>
    <w:rsid w:val="00706E04"/>
    <w:rsid w:val="00710031"/>
    <w:rsid w:val="00743756"/>
    <w:rsid w:val="007B0F99"/>
    <w:rsid w:val="007B142B"/>
    <w:rsid w:val="00844FA9"/>
    <w:rsid w:val="008C0A9A"/>
    <w:rsid w:val="008C1E1E"/>
    <w:rsid w:val="008C514B"/>
    <w:rsid w:val="009038AB"/>
    <w:rsid w:val="00923092"/>
    <w:rsid w:val="00932008"/>
    <w:rsid w:val="009609E9"/>
    <w:rsid w:val="00983919"/>
    <w:rsid w:val="00A41DD5"/>
    <w:rsid w:val="00A94B70"/>
    <w:rsid w:val="00B40246"/>
    <w:rsid w:val="00B5583D"/>
    <w:rsid w:val="00B763DD"/>
    <w:rsid w:val="00B812AB"/>
    <w:rsid w:val="00B841AE"/>
    <w:rsid w:val="00BB6799"/>
    <w:rsid w:val="00BC7988"/>
    <w:rsid w:val="00BD4582"/>
    <w:rsid w:val="00BE6A46"/>
    <w:rsid w:val="00C022F3"/>
    <w:rsid w:val="00C03463"/>
    <w:rsid w:val="00C33A23"/>
    <w:rsid w:val="00C4479B"/>
    <w:rsid w:val="00C5744D"/>
    <w:rsid w:val="00CB5511"/>
    <w:rsid w:val="00CC2049"/>
    <w:rsid w:val="00D13B29"/>
    <w:rsid w:val="00D921C5"/>
    <w:rsid w:val="00D96F84"/>
    <w:rsid w:val="00DD3E02"/>
    <w:rsid w:val="00DD6391"/>
    <w:rsid w:val="00DE2A2D"/>
    <w:rsid w:val="00DF63E7"/>
    <w:rsid w:val="00E3088D"/>
    <w:rsid w:val="00E34195"/>
    <w:rsid w:val="00E435F3"/>
    <w:rsid w:val="00E47613"/>
    <w:rsid w:val="00E7218B"/>
    <w:rsid w:val="00E74F50"/>
    <w:rsid w:val="00F036DC"/>
    <w:rsid w:val="00F14DA4"/>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Epgrafe">
    <w:name w:val="caption"/>
    <w:basedOn w:val="Normal"/>
    <w:next w:val="Normal"/>
    <w:uiPriority w:val="35"/>
    <w:unhideWhenUsed/>
    <w:qFormat/>
    <w:rsid w:val="001E6CA3"/>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DD6391"/>
    <w:rPr>
      <w:sz w:val="16"/>
      <w:szCs w:val="16"/>
    </w:rPr>
  </w:style>
  <w:style w:type="paragraph" w:styleId="Textocomentario">
    <w:name w:val="annotation text"/>
    <w:basedOn w:val="Normal"/>
    <w:link w:val="TextocomentarioCar"/>
    <w:uiPriority w:val="99"/>
    <w:semiHidden/>
    <w:unhideWhenUsed/>
    <w:rsid w:val="00DD63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6391"/>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DD6391"/>
    <w:rPr>
      <w:b/>
      <w:bCs/>
    </w:rPr>
  </w:style>
  <w:style w:type="character" w:customStyle="1" w:styleId="AsuntodelcomentarioCar">
    <w:name w:val="Asunto del comentario Car"/>
    <w:basedOn w:val="TextocomentarioCar"/>
    <w:link w:val="Asuntodelcomentario"/>
    <w:uiPriority w:val="99"/>
    <w:semiHidden/>
    <w:rsid w:val="00DD6391"/>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Epgrafe">
    <w:name w:val="caption"/>
    <w:basedOn w:val="Normal"/>
    <w:next w:val="Normal"/>
    <w:uiPriority w:val="35"/>
    <w:unhideWhenUsed/>
    <w:qFormat/>
    <w:rsid w:val="001E6CA3"/>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DD6391"/>
    <w:rPr>
      <w:sz w:val="16"/>
      <w:szCs w:val="16"/>
    </w:rPr>
  </w:style>
  <w:style w:type="paragraph" w:styleId="Textocomentario">
    <w:name w:val="annotation text"/>
    <w:basedOn w:val="Normal"/>
    <w:link w:val="TextocomentarioCar"/>
    <w:uiPriority w:val="99"/>
    <w:semiHidden/>
    <w:unhideWhenUsed/>
    <w:rsid w:val="00DD63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6391"/>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DD6391"/>
    <w:rPr>
      <w:b/>
      <w:bCs/>
    </w:rPr>
  </w:style>
  <w:style w:type="character" w:customStyle="1" w:styleId="AsuntodelcomentarioCar">
    <w:name w:val="Asunto del comentario Car"/>
    <w:basedOn w:val="TextocomentarioCar"/>
    <w:link w:val="Asuntodelcomentario"/>
    <w:uiPriority w:val="99"/>
    <w:semiHidden/>
    <w:rsid w:val="00DD6391"/>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272">
      <w:bodyDiv w:val="1"/>
      <w:marLeft w:val="0"/>
      <w:marRight w:val="0"/>
      <w:marTop w:val="0"/>
      <w:marBottom w:val="0"/>
      <w:divBdr>
        <w:top w:val="none" w:sz="0" w:space="0" w:color="auto"/>
        <w:left w:val="none" w:sz="0" w:space="0" w:color="auto"/>
        <w:bottom w:val="none" w:sz="0" w:space="0" w:color="auto"/>
        <w:right w:val="none" w:sz="0" w:space="0" w:color="auto"/>
      </w:divBdr>
    </w:div>
    <w:div w:id="23659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8522E383F44943078ACF54C2C3D55DD6"/>
        <w:category>
          <w:name w:val="General"/>
          <w:gallery w:val="placeholder"/>
        </w:category>
        <w:types>
          <w:type w:val="bbPlcHdr"/>
        </w:types>
        <w:behaviors>
          <w:behavior w:val="content"/>
        </w:behaviors>
        <w:guid w:val="{74A076F9-9AF1-4431-8E28-02D483838CD1}"/>
      </w:docPartPr>
      <w:docPartBody>
        <w:p w:rsidR="00BE5B0A" w:rsidRDefault="00BE5B0A" w:rsidP="00BE5B0A">
          <w:pPr>
            <w:pStyle w:val="8522E383F44943078ACF54C2C3D55DD6"/>
          </w:pPr>
          <w:r w:rsidRPr="00C12127">
            <w:rPr>
              <w:rStyle w:val="Textodelmarcadordeposicin"/>
              <w:lang w:bidi="es-ES"/>
            </w:rPr>
            <w:t>Haz clic aquí para escribir texto.</w:t>
          </w:r>
        </w:p>
      </w:docPartBody>
    </w:docPart>
    <w:docPart>
      <w:docPartPr>
        <w:name w:val="DB5B5D2615924D52AB3024DD8E4C03D0"/>
        <w:category>
          <w:name w:val="General"/>
          <w:gallery w:val="placeholder"/>
        </w:category>
        <w:types>
          <w:type w:val="bbPlcHdr"/>
        </w:types>
        <w:behaviors>
          <w:behavior w:val="content"/>
        </w:behaviors>
        <w:guid w:val="{3B9229DB-576A-4E08-9804-3EC029B04A1A}"/>
      </w:docPartPr>
      <w:docPartBody>
        <w:p w:rsidR="00BE5B0A" w:rsidRDefault="00BE5B0A" w:rsidP="00BE5B0A">
          <w:pPr>
            <w:pStyle w:val="DB5B5D2615924D52AB3024DD8E4C03D0"/>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B6AD7"/>
    <w:rsid w:val="005F148F"/>
    <w:rsid w:val="008F3CF7"/>
    <w:rsid w:val="00BE5B0A"/>
    <w:rsid w:val="00D35513"/>
    <w:rsid w:val="00E14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5B0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8522E383F44943078ACF54C2C3D55DD6">
    <w:name w:val="8522E383F44943078ACF54C2C3D55DD6"/>
    <w:rsid w:val="00BE5B0A"/>
  </w:style>
  <w:style w:type="paragraph" w:customStyle="1" w:styleId="DB5B5D2615924D52AB3024DD8E4C03D0">
    <w:name w:val="DB5B5D2615924D52AB3024DD8E4C03D0"/>
    <w:rsid w:val="00BE5B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5B0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8522E383F44943078ACF54C2C3D55DD6">
    <w:name w:val="8522E383F44943078ACF54C2C3D55DD6"/>
    <w:rsid w:val="00BE5B0A"/>
  </w:style>
  <w:style w:type="paragraph" w:customStyle="1" w:styleId="DB5B5D2615924D52AB3024DD8E4C03D0">
    <w:name w:val="DB5B5D2615924D52AB3024DD8E4C03D0"/>
    <w:rsid w:val="00BE5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8D7B462-CDBD-4E9E-92DD-E8DE7FE8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5</Pages>
  <Words>1593</Words>
  <Characters>8763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2007-10-26T10:03:00Z</cp:lastPrinted>
  <dcterms:created xsi:type="dcterms:W3CDTF">2021-04-13T11:47:00Z</dcterms:created>
  <dcterms:modified xsi:type="dcterms:W3CDTF">2021-05-06T12:50:00Z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