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290830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F770F" w:rsidRPr="00006957" w:rsidRDefault="00DF770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2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UkiFb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F770F" w:rsidRPr="00006957" w:rsidRDefault="00DF770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770F" w:rsidRDefault="00DF770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770F" w:rsidRDefault="00DF770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41079E" w:rsidRDefault="00793725">
            <w:r>
              <w:t>Banco de España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41079E" w:rsidRDefault="00A577D1" w:rsidP="00793725">
            <w:r>
              <w:t>2</w:t>
            </w:r>
            <w:r w:rsidR="00793725">
              <w:t>7</w:t>
            </w:r>
            <w:r w:rsidR="0041079E">
              <w:t>/</w:t>
            </w:r>
            <w:r w:rsidR="008D4833">
              <w:t>0</w:t>
            </w:r>
            <w:r w:rsidR="0041079E">
              <w:t>1/202</w:t>
            </w:r>
            <w:r w:rsidR="008D4833">
              <w:t>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41079E" w:rsidRDefault="00793725">
            <w:r w:rsidRPr="00793725">
              <w:t>https://www.bde.es/bde/es/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520631" w:rsidTr="00520631">
        <w:tc>
          <w:tcPr>
            <w:tcW w:w="1760" w:type="dxa"/>
            <w:shd w:val="clear" w:color="auto" w:fill="4D7F52"/>
            <w:vAlign w:val="center"/>
          </w:tcPr>
          <w:p w:rsidR="005B19E4" w:rsidRPr="00520631" w:rsidRDefault="005B19E4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20631">
              <w:rPr>
                <w:b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  <w:vAlign w:val="center"/>
          </w:tcPr>
          <w:p w:rsidR="005B19E4" w:rsidRPr="00520631" w:rsidRDefault="005B19E4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20631">
              <w:rPr>
                <w:b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  <w:vAlign w:val="center"/>
          </w:tcPr>
          <w:p w:rsidR="005B19E4" w:rsidRPr="00520631" w:rsidRDefault="005B19E4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B10A12" w:rsidP="00F52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F522DC">
        <w:tc>
          <w:tcPr>
            <w:tcW w:w="1760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F5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F522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0631" w:rsidRDefault="00520631">
      <w:pPr>
        <w:rPr>
          <w:b/>
          <w:color w:val="00642D"/>
          <w:sz w:val="30"/>
          <w:szCs w:val="30"/>
        </w:rPr>
      </w:pPr>
    </w:p>
    <w:p w:rsidR="00520631" w:rsidRDefault="00520631">
      <w:pPr>
        <w:rPr>
          <w:b/>
          <w:color w:val="00642D"/>
          <w:sz w:val="30"/>
          <w:szCs w:val="30"/>
        </w:rPr>
      </w:pPr>
      <w:r>
        <w:rPr>
          <w:b/>
          <w:color w:val="00642D"/>
          <w:sz w:val="30"/>
          <w:szCs w:val="30"/>
        </w:rP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45"/>
        <w:gridCol w:w="8323"/>
        <w:gridCol w:w="714"/>
      </w:tblGrid>
      <w:tr w:rsidR="0057532F" w:rsidRPr="0057532F" w:rsidTr="0018611A">
        <w:tc>
          <w:tcPr>
            <w:tcW w:w="770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389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  <w:vAlign w:val="center"/>
          </w:tcPr>
          <w:p w:rsidR="00BB6799" w:rsidRPr="0057532F" w:rsidRDefault="00BB6799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334" w:type="pct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  <w:vAlign w:val="center"/>
          </w:tcPr>
          <w:p w:rsidR="00BB6799" w:rsidRPr="0057532F" w:rsidRDefault="00BB6799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18611A">
        <w:tc>
          <w:tcPr>
            <w:tcW w:w="770" w:type="pct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  <w:vAlign w:val="center"/>
          </w:tcPr>
          <w:p w:rsidR="00BB6799" w:rsidRPr="0057532F" w:rsidRDefault="00BB6799" w:rsidP="00520631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3895" w:type="pct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334" w:type="pct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334" w:type="pct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  <w:vAlign w:val="center"/>
          </w:tcPr>
          <w:p w:rsidR="00B579C7" w:rsidRPr="0057532F" w:rsidRDefault="00B579C7" w:rsidP="00520631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B579C7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  <w:vAlign w:val="center"/>
          </w:tcPr>
          <w:p w:rsidR="00B579C7" w:rsidRPr="0057532F" w:rsidRDefault="00B579C7" w:rsidP="00520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5" w:type="pct"/>
            <w:tcBorders>
              <w:left w:val="nil"/>
            </w:tcBorders>
          </w:tcPr>
          <w:p w:rsidR="00B579C7" w:rsidRPr="0057532F" w:rsidRDefault="00B579C7" w:rsidP="0057532F">
            <w:pPr>
              <w:rPr>
                <w:sz w:val="20"/>
                <w:szCs w:val="20"/>
              </w:rPr>
            </w:pPr>
            <w:r w:rsidRPr="00B579C7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334" w:type="pct"/>
          </w:tcPr>
          <w:p w:rsidR="00B579C7" w:rsidRPr="00AD2022" w:rsidRDefault="00B579C7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  <w:vAlign w:val="center"/>
          </w:tcPr>
          <w:p w:rsidR="00AD2022" w:rsidRPr="0057532F" w:rsidRDefault="00AD2022" w:rsidP="00520631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3895" w:type="pct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334" w:type="pct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334" w:type="pct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44E0C" w:rsidRPr="0057532F" w:rsidRDefault="00544E0C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334" w:type="pct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334" w:type="pct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5F29B8" w:rsidRPr="0057532F" w:rsidRDefault="005F29B8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334" w:type="pct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18611A">
        <w:tc>
          <w:tcPr>
            <w:tcW w:w="770" w:type="pct"/>
            <w:vMerge/>
            <w:tcBorders>
              <w:bottom w:val="single" w:sz="4" w:space="0" w:color="FFFFFF" w:themeColor="background1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95" w:type="pct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334" w:type="pct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18611A">
        <w:tc>
          <w:tcPr>
            <w:tcW w:w="770" w:type="pct"/>
            <w:tcBorders>
              <w:top w:val="single" w:sz="4" w:space="0" w:color="FFFFFF" w:themeColor="background1"/>
              <w:bottom w:val="nil"/>
            </w:tcBorders>
            <w:shd w:val="clear" w:color="auto" w:fill="4D7F52"/>
            <w:vAlign w:val="center"/>
          </w:tcPr>
          <w:p w:rsidR="00AD2022" w:rsidRPr="0057532F" w:rsidRDefault="00AD2022" w:rsidP="005206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3895" w:type="pct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334" w:type="pct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520631" w:rsidRDefault="0052063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  <w:sz w:val="30"/>
          <w:szCs w:val="30"/>
        </w:rPr>
      </w:pPr>
    </w:p>
    <w:p w:rsidR="00520631" w:rsidRDefault="00520631">
      <w:pPr>
        <w:rPr>
          <w:b/>
          <w:color w:val="00642D"/>
          <w:sz w:val="30"/>
          <w:szCs w:val="30"/>
        </w:rPr>
      </w:pPr>
      <w:r>
        <w:rPr>
          <w:color w:val="00642D"/>
          <w:sz w:val="30"/>
          <w:szCs w:val="30"/>
        </w:rPr>
        <w:br w:type="page"/>
      </w:r>
    </w:p>
    <w:p w:rsidR="00B40246" w:rsidRPr="00E34195" w:rsidRDefault="004C228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520631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  <w:vAlign w:val="center"/>
          </w:tcPr>
          <w:p w:rsidR="00CB5511" w:rsidRPr="000C6CFF" w:rsidRDefault="00C76CB6" w:rsidP="001F5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Localizado entre los accesos principales situados en la parte </w:t>
            </w:r>
            <w:r w:rsidR="00793725">
              <w:rPr>
                <w:sz w:val="20"/>
                <w:szCs w:val="20"/>
              </w:rPr>
              <w:t>lateral izquierda</w:t>
            </w:r>
            <w:r>
              <w:rPr>
                <w:sz w:val="20"/>
                <w:szCs w:val="20"/>
              </w:rPr>
              <w:t xml:space="preserve"> </w:t>
            </w:r>
            <w:r w:rsidR="0041079E">
              <w:rPr>
                <w:sz w:val="20"/>
                <w:szCs w:val="20"/>
              </w:rPr>
              <w:t>de la página home</w:t>
            </w:r>
          </w:p>
        </w:tc>
      </w:tr>
      <w:tr w:rsidR="00CB5511" w:rsidRPr="000C6CFF" w:rsidTr="00520631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CB5511" w:rsidRPr="000C6CFF" w:rsidRDefault="00CB5511" w:rsidP="00520631">
            <w:pPr>
              <w:rPr>
                <w:sz w:val="20"/>
                <w:szCs w:val="20"/>
              </w:rPr>
            </w:pPr>
          </w:p>
        </w:tc>
      </w:tr>
      <w:tr w:rsidR="00CB5511" w:rsidRPr="000C6CFF" w:rsidTr="00520631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CB5511" w:rsidRPr="000C6CFF" w:rsidRDefault="00CB5511" w:rsidP="0052063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520631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  <w:vAlign w:val="center"/>
          </w:tcPr>
          <w:p w:rsidR="00932008" w:rsidRPr="00932008" w:rsidRDefault="00932008" w:rsidP="00520631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1079E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Default="00213F73" w:rsidP="001F5F3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organiza la información en tres apartados correspondientes a los bloques de información que establece la LTAIBG.</w:t>
            </w:r>
          </w:p>
          <w:p w:rsidR="00213F73" w:rsidRPr="00932008" w:rsidRDefault="00213F73" w:rsidP="001F5F3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apartado “</w:t>
            </w:r>
            <w:r w:rsidR="00586A2B">
              <w:rPr>
                <w:sz w:val="20"/>
                <w:szCs w:val="20"/>
              </w:rPr>
              <w:t>Derecho de acceso</w:t>
            </w:r>
            <w:r>
              <w:rPr>
                <w:sz w:val="20"/>
                <w:szCs w:val="20"/>
              </w:rPr>
              <w:t xml:space="preserve">” situado en el lateral </w:t>
            </w:r>
            <w:r w:rsidR="00586A2B">
              <w:rPr>
                <w:sz w:val="20"/>
                <w:szCs w:val="20"/>
              </w:rPr>
              <w:t>izquierdo</w:t>
            </w:r>
            <w:r>
              <w:rPr>
                <w:sz w:val="20"/>
                <w:szCs w:val="20"/>
              </w:rPr>
              <w:t xml:space="preserve"> del Portal se localiza un enlace para las solicitudes de información pública.</w:t>
            </w:r>
          </w:p>
        </w:tc>
      </w:tr>
      <w:tr w:rsidR="00932008" w:rsidRPr="00932008" w:rsidTr="00520631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2008" w:rsidRPr="00932008" w:rsidRDefault="00932008" w:rsidP="00520631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520631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32008" w:rsidRPr="00932008" w:rsidRDefault="00932008" w:rsidP="00520631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FA3DC3" w:rsidRDefault="00FA3DC3" w:rsidP="00FA3DC3">
      <w:pPr>
        <w:jc w:val="center"/>
      </w:pPr>
      <w:r>
        <w:rPr>
          <w:noProof/>
        </w:rPr>
        <w:drawing>
          <wp:inline distT="0" distB="0" distL="0" distR="0" wp14:anchorId="167D53E7" wp14:editId="49AD2E76">
            <wp:extent cx="3384000" cy="4795396"/>
            <wp:effectExtent l="0" t="0" r="6985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884" t="7359" r="33067" b="4329"/>
                    <a:stretch/>
                  </pic:blipFill>
                  <pic:spPr bwMode="auto">
                    <a:xfrm>
                      <a:off x="0" y="0"/>
                      <a:ext cx="3384000" cy="4795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DC3" w:rsidRDefault="00FA3DC3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520631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52063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1F5F3F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520631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41079E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52063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3E589B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E34195" w:rsidRPr="00CB5511" w:rsidTr="0052063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843094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informa sobre la estructura territorial del Banco.</w:t>
            </w:r>
          </w:p>
        </w:tc>
      </w:tr>
      <w:tr w:rsidR="00E34195" w:rsidRPr="00CB5511" w:rsidTr="0052063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1F5F3F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843094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Los elementos del organigrama enlazan a páginas que informan de las funciones de las distintas unidades</w:t>
            </w:r>
          </w:p>
        </w:tc>
      </w:tr>
      <w:tr w:rsidR="00E34195" w:rsidRPr="00CB5511" w:rsidTr="0052063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843094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Se identifica a los Directores Generales y responsables de las áreas dependientes de 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las Direcciones Generales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E34195" w:rsidRPr="00CB5511" w:rsidTr="001F5F3F">
        <w:trPr>
          <w:trHeight w:val="70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E34195" w:rsidRPr="00CB5511" w:rsidRDefault="00E34195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E34195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D02414" w:rsidP="0041079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E34195" w:rsidRPr="0041079E" w:rsidRDefault="00E34195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:rsidR="00520631" w:rsidRDefault="0052063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0631" w:rsidRDefault="00520631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6C4D2F" wp14:editId="10DA0D32">
                <wp:simplePos x="0" y="0"/>
                <wp:positionH relativeFrom="column">
                  <wp:posOffset>236855</wp:posOffset>
                </wp:positionH>
                <wp:positionV relativeFrom="paragraph">
                  <wp:posOffset>161925</wp:posOffset>
                </wp:positionV>
                <wp:extent cx="5509523" cy="1403985"/>
                <wp:effectExtent l="0" t="0" r="15240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0F" w:rsidRDefault="00DF770F" w:rsidP="00B579C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F770F" w:rsidRPr="00F501F9" w:rsidRDefault="00DF770F" w:rsidP="001F5F3F">
                            <w:pPr>
                              <w:ind w:left="284"/>
                              <w:jc w:val="both"/>
                            </w:pPr>
                            <w:r w:rsidRPr="00F501F9">
                              <w:t xml:space="preserve">La </w:t>
                            </w:r>
                            <w:r>
                              <w:t>información publicada recoge la totalidad de los contenidos obligatorios establecidos en los artículos 6 y 6 bis de la LTAIBG.</w:t>
                            </w:r>
                          </w:p>
                          <w:p w:rsidR="00DF770F" w:rsidRDefault="00DF770F" w:rsidP="00B579C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F770F" w:rsidRDefault="00DF770F" w:rsidP="001F5F3F">
                            <w:pPr>
                              <w:ind w:left="360"/>
                              <w:jc w:val="both"/>
                            </w:pPr>
                            <w:r>
                              <w:t>La publicación de este bloque de obligaciones cumple todos los criterios de calidad establecidos en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18.65pt;margin-top:12.75pt;width:433.8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C/FCDz3gAAAAkBAAAPAAAAZHJzL2Rvd25y&#10;ZXYueG1sTI/BTsMwEETvSPyDtUhcKurQNIGGOBVU6olTQ7m78ZJExOtgu2369yyncpyd0czbcj3Z&#10;QZzQh96Rgsd5AgKpcaanVsH+Y/vwDCJETUYPjlDBBQOsq9ubUhfGnWmHpzq2gksoFFpBF+NYSBma&#10;Dq0OczcisfflvNWRpW+l8frM5XaQiyTJpdU98UKnR9x02HzXR6sg/6nT2funmdHusn3zjc3MZp8p&#10;dX83vb6AiDjFaxj+8BkdKmY6uCOZIAYF6VPKSQWLLAPB/ipZrkAc+LDMc5BVKf9/UP0C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vxQg894AAAAJAQAADwAAAAAAAAAAAAAAAACGBAAA&#10;ZHJzL2Rvd25yZXYueG1sUEsFBgAAAAAEAAQA8wAAAJEFAAAAAA==&#10;">
                <v:textbox style="mso-fit-shape-to-text:t">
                  <w:txbxContent>
                    <w:p w:rsidR="00DF770F" w:rsidRDefault="00DF770F" w:rsidP="00B579C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770F" w:rsidRPr="00F501F9" w:rsidRDefault="00DF770F" w:rsidP="001F5F3F">
                      <w:pPr>
                        <w:ind w:left="284"/>
                        <w:jc w:val="both"/>
                      </w:pPr>
                      <w:r w:rsidRPr="00F501F9">
                        <w:t xml:space="preserve">La </w:t>
                      </w:r>
                      <w:r>
                        <w:t>información publicada recoge la totalidad de los contenidos obligatorios establecidos en los artículos 6 y 6 bis de la LTAIBG.</w:t>
                      </w:r>
                    </w:p>
                    <w:p w:rsidR="00DF770F" w:rsidRDefault="00DF770F" w:rsidP="00B579C7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770F" w:rsidRDefault="00DF770F" w:rsidP="001F5F3F">
                      <w:pPr>
                        <w:ind w:left="360"/>
                        <w:jc w:val="both"/>
                      </w:pPr>
                      <w:r>
                        <w:t>La publicación de este bloque de obligaciones cumple todos los criterios de calidad establecidos en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579C7" w:rsidRDefault="00B579C7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520631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520631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8A47AF" w:rsidRDefault="000A6B02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0A6B0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través del enlace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“Contrataciones” situado el menú lateral derecho de la página que abre el enlace “Contrataciones” del Portal de Transparencia se accede al Perfil del Contratante del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BdE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la Plataforma de Contratación del Sector Público</w:t>
            </w: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B25475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B579C7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0A6B02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ningún contrato desistido en la Plataforma de Contratación del Sector Público.</w:t>
            </w: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0A6B02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publicada corresponde a los años 20</w:t>
            </w:r>
            <w:r w:rsidR="000D75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18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20</w:t>
            </w:r>
            <w:r w:rsidR="000D75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19</w:t>
            </w:r>
            <w:r w:rsidR="00D6381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C33A23" w:rsidRPr="00CB5511" w:rsidTr="00520631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C33A23" w:rsidRPr="00E34195" w:rsidRDefault="00C33A23" w:rsidP="0052063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6A2766" w:rsidRDefault="00C33A23" w:rsidP="0052063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1A3DBA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C33A23" w:rsidRPr="00CB5511" w:rsidTr="0052063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CB5511" w:rsidRDefault="009609E9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6D62DB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 xml:space="preserve">X 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C33A23" w:rsidRPr="001A3DBA" w:rsidRDefault="00C33A23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9609E9" w:rsidRPr="00CB5511" w:rsidTr="00520631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9609E9" w:rsidRDefault="003F271E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Subvenciones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Default="003F271E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6F5866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9609E9" w:rsidRPr="001A3DBA" w:rsidRDefault="009609E9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E30984">
        <w:trPr>
          <w:trHeight w:val="1634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F5F3F" w:rsidRDefault="00810E1F" w:rsidP="001A3DB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6F5866" w:rsidRPr="001A3DBA" w:rsidRDefault="00BE31F6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 incluye el proyecto de</w:t>
            </w:r>
            <w:r w:rsidR="00E3098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pre</w:t>
            </w:r>
            <w:r w:rsidR="00D87C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puesto</w:t>
            </w:r>
            <w:r w:rsidR="00E3098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estimativo del </w:t>
            </w:r>
            <w:proofErr w:type="spellStart"/>
            <w:r w:rsidR="00E3098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BdE</w:t>
            </w:r>
            <w:proofErr w:type="spellEnd"/>
            <w:r w:rsidR="00E3098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para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21</w:t>
            </w:r>
            <w:r w:rsidR="00D87C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6F586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la Memoria </w:t>
            </w:r>
            <w:r w:rsidR="00D87C1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justificativa.</w:t>
            </w:r>
          </w:p>
        </w:tc>
      </w:tr>
      <w:tr w:rsidR="00F47C3B" w:rsidRPr="00CB5511" w:rsidTr="0052063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F5F3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F47C3B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5206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Default="00F47C3B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F5F3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F47C3B" w:rsidRPr="001A3DBA" w:rsidRDefault="00C822F8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Las cuentas anuales incluyen un informe de auditoría elaborado por un auditor externo. 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F5F3F" w:rsidRDefault="00810E1F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B25475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2019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F5F3F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3757E3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757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2019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F5F3F" w:rsidRDefault="00300075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3757E3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757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2019</w:t>
            </w:r>
          </w:p>
        </w:tc>
      </w:tr>
      <w:tr w:rsidR="00BD4582" w:rsidRPr="00CB5511" w:rsidTr="005206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Default="00BD4582" w:rsidP="00520631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F5F3F" w:rsidRDefault="00B579C7" w:rsidP="00810E1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F5F3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BD4582" w:rsidRPr="001A3DBA" w:rsidRDefault="001A682A" w:rsidP="001F5F3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A682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aplicable, en e</w:t>
            </w:r>
            <w:r w:rsidR="003757E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 Portal se indica que tanto el Gobernador como la Subgobernadora y los Consejeros no pueden desarrollar actividades profesionales en entidades de crédito, mercados de valores o entidades financieras privadas durante los dos años posteriores al cese</w:t>
            </w:r>
          </w:p>
        </w:tc>
      </w:tr>
    </w:tbl>
    <w:p w:rsidR="00520631" w:rsidRDefault="0052063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20631" w:rsidRDefault="00520631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posOffset>246380</wp:posOffset>
                </wp:positionH>
                <wp:positionV relativeFrom="paragraph">
                  <wp:posOffset>66675</wp:posOffset>
                </wp:positionV>
                <wp:extent cx="5509523" cy="1403985"/>
                <wp:effectExtent l="0" t="0" r="15240" b="1016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0F" w:rsidRPr="00B233C4" w:rsidRDefault="00DF770F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233C4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F770F" w:rsidRPr="00FA3DC3" w:rsidRDefault="00DF770F" w:rsidP="00B579C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DF770F" w:rsidRPr="00FA3DC3" w:rsidRDefault="00DF770F" w:rsidP="008F0C4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La información sobre datos estadísticos de contratos, retribuciones de altos cargos, indemnizaciones y resoluciones de autorización de compatibilidad a empleados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corresponde al año 2019</w:t>
                            </w:r>
                            <w:r w:rsidRPr="00FA3D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770F" w:rsidRPr="006773E3" w:rsidRDefault="00DF770F" w:rsidP="00B233C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6773E3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F770F" w:rsidRPr="00FA3DC3" w:rsidRDefault="00DF770F" w:rsidP="00B233C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 w:rsidRPr="00FA3DC3">
                              <w:rPr>
                                <w:sz w:val="20"/>
                                <w:szCs w:val="20"/>
                              </w:rPr>
                              <w:t>BdE</w:t>
                            </w:r>
                            <w:proofErr w:type="spellEnd"/>
                            <w:r w:rsidRPr="00FA3DC3">
                              <w:rPr>
                                <w:sz w:val="20"/>
                                <w:szCs w:val="20"/>
                              </w:rPr>
                              <w:t xml:space="preserve"> mantiene el criterio de publicar determinadas informaciones (por ejemplo, cuadros-resumen de contratos, modificaciones de los mismos) a ejercicio vencido. Esto implica que la información esté desactualizada por lo que debería revisarse este criterio.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.4pt;margin-top:5.25pt;width:433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">
                <v:textbox style="mso-fit-shape-to-text:t">
                  <w:txbxContent>
                    <w:p w:rsidR="00DF770F" w:rsidRPr="00B233C4" w:rsidRDefault="00DF770F" w:rsidP="00B233C4">
                      <w:pPr>
                        <w:rPr>
                          <w:b/>
                          <w:color w:val="00642D"/>
                        </w:rPr>
                      </w:pPr>
                      <w:r w:rsidRPr="00B233C4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770F" w:rsidRPr="00FA3DC3" w:rsidRDefault="00DF770F" w:rsidP="00B579C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DF770F" w:rsidRPr="00FA3DC3" w:rsidRDefault="00DF770F" w:rsidP="008F0C4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 xml:space="preserve">La información sobre datos estadísticos de contratos, retribuciones de altos cargos, indemnizaciones y resoluciones de autorización de compatibilidad a empleados </w:t>
                      </w:r>
                      <w:r>
                        <w:rPr>
                          <w:sz w:val="20"/>
                          <w:szCs w:val="20"/>
                        </w:rPr>
                        <w:t>corresponde al año 2019</w:t>
                      </w:r>
                      <w:r w:rsidRPr="00FA3D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F770F" w:rsidRPr="006773E3" w:rsidRDefault="00DF770F" w:rsidP="00B233C4">
                      <w:pPr>
                        <w:rPr>
                          <w:b/>
                          <w:color w:val="00642D"/>
                        </w:rPr>
                      </w:pPr>
                      <w:r w:rsidRPr="006773E3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770F" w:rsidRPr="00FA3DC3" w:rsidRDefault="00DF770F" w:rsidP="00B233C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FA3DC3">
                        <w:rPr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 w:rsidRPr="00FA3DC3">
                        <w:rPr>
                          <w:sz w:val="20"/>
                          <w:szCs w:val="20"/>
                        </w:rPr>
                        <w:t>BdE</w:t>
                      </w:r>
                      <w:proofErr w:type="spellEnd"/>
                      <w:r w:rsidRPr="00FA3DC3">
                        <w:rPr>
                          <w:sz w:val="20"/>
                          <w:szCs w:val="20"/>
                        </w:rPr>
                        <w:t xml:space="preserve"> mantiene el criterio de publicar determinadas informaciones (por ejemplo, cuadros-resumen de contratos, modificaciones de los mismos) a ejercicio vencido. Esto implica que la información esté desactualizada por lo que debería revisarse este criterio.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10A1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Í</w:t>
      </w:r>
      <w:r w:rsidR="00BD4582" w:rsidRPr="00BD4582">
        <w:rPr>
          <w:b/>
          <w:color w:val="00642D"/>
          <w:sz w:val="32"/>
        </w:rPr>
        <w:t>ndice de Cumplimiento de la Información Obligatoria</w:t>
      </w:r>
      <w:r w:rsidR="00B70D6A">
        <w:rPr>
          <w:b/>
          <w:color w:val="00642D"/>
          <w:sz w:val="32"/>
        </w:rPr>
        <w:t xml:space="preserve"> 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746"/>
        <w:gridCol w:w="757"/>
        <w:gridCol w:w="739"/>
        <w:gridCol w:w="757"/>
        <w:gridCol w:w="739"/>
        <w:gridCol w:w="757"/>
        <w:gridCol w:w="724"/>
        <w:gridCol w:w="739"/>
        <w:gridCol w:w="724"/>
      </w:tblGrid>
      <w:tr w:rsidR="002A154B" w:rsidRPr="00500633" w:rsidTr="00E3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2A154B" w:rsidRPr="00500633" w:rsidRDefault="002A154B" w:rsidP="00500633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7408D" w:rsidRPr="00500633" w:rsidTr="00E3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7408D" w:rsidRPr="00500633" w:rsidRDefault="0097408D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A6C20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7408D" w:rsidRPr="0097408D">
              <w:rPr>
                <w:sz w:val="16"/>
                <w:szCs w:val="16"/>
              </w:rPr>
              <w:t>%</w:t>
            </w:r>
          </w:p>
        </w:tc>
        <w:tc>
          <w:tcPr>
            <w:tcW w:w="346" w:type="pct"/>
            <w:noWrap/>
            <w:vAlign w:val="center"/>
          </w:tcPr>
          <w:p w:rsidR="0097408D" w:rsidRPr="0097408D" w:rsidRDefault="0097408D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8D">
              <w:rPr>
                <w:sz w:val="16"/>
                <w:szCs w:val="16"/>
              </w:rPr>
              <w:t>100,0%</w:t>
            </w:r>
          </w:p>
        </w:tc>
        <w:tc>
          <w:tcPr>
            <w:tcW w:w="343" w:type="pct"/>
            <w:noWrap/>
            <w:vAlign w:val="center"/>
          </w:tcPr>
          <w:p w:rsidR="0097408D" w:rsidRPr="0097408D" w:rsidRDefault="009A6C20" w:rsidP="00974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7408D" w:rsidRPr="0097408D">
              <w:rPr>
                <w:sz w:val="16"/>
                <w:szCs w:val="16"/>
              </w:rPr>
              <w:t>8%</w:t>
            </w:r>
          </w:p>
        </w:tc>
      </w:tr>
      <w:tr w:rsidR="00E30984" w:rsidRPr="00500633" w:rsidTr="00E3098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30984" w:rsidRPr="00500633" w:rsidRDefault="00E30984" w:rsidP="00500633">
            <w:pPr>
              <w:spacing w:before="120" w:after="120" w:line="312" w:lineRule="auto"/>
              <w:jc w:val="center"/>
              <w:rPr>
                <w:rFonts w:cs="Calibri"/>
                <w:sz w:val="16"/>
                <w:szCs w:val="16"/>
              </w:rPr>
            </w:pPr>
            <w:r w:rsidRPr="00500633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91,7%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91,7%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91,7%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70,8%</w:t>
            </w:r>
          </w:p>
        </w:tc>
        <w:tc>
          <w:tcPr>
            <w:tcW w:w="343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30984">
              <w:rPr>
                <w:sz w:val="16"/>
                <w:szCs w:val="16"/>
              </w:rPr>
              <w:t>92,3%</w:t>
            </w:r>
          </w:p>
        </w:tc>
      </w:tr>
      <w:tr w:rsidR="00E30984" w:rsidRPr="00500633" w:rsidTr="00E30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30984" w:rsidRPr="00500633" w:rsidRDefault="00E30984" w:rsidP="00500633">
            <w:pPr>
              <w:spacing w:before="120" w:after="120" w:line="312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500633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94,7%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94,7%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94,7%</w:t>
            </w:r>
          </w:p>
        </w:tc>
        <w:tc>
          <w:tcPr>
            <w:tcW w:w="346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81,6%</w:t>
            </w:r>
          </w:p>
        </w:tc>
        <w:tc>
          <w:tcPr>
            <w:tcW w:w="343" w:type="pct"/>
            <w:noWrap/>
            <w:vAlign w:val="center"/>
          </w:tcPr>
          <w:p w:rsidR="00E30984" w:rsidRPr="00E30984" w:rsidRDefault="00E30984" w:rsidP="00E30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30984">
              <w:rPr>
                <w:b/>
                <w:i/>
                <w:sz w:val="16"/>
                <w:szCs w:val="16"/>
              </w:rPr>
              <w:t>95,1%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B70D6A" w:rsidP="00B70D6A">
      <w:pPr>
        <w:jc w:val="both"/>
      </w:pPr>
      <w:r>
        <w:t xml:space="preserve">El Índice de Cumplimiento de la Información Obligatoria (ICIO) </w:t>
      </w:r>
      <w:r w:rsidR="004E14E7">
        <w:t>se sitúa en el</w:t>
      </w:r>
      <w:r>
        <w:t xml:space="preserve"> </w:t>
      </w:r>
      <w:r w:rsidR="00E30984">
        <w:t>95,1</w:t>
      </w:r>
      <w:r>
        <w:t>%. La falta de falta de datación y de referencias a la última revisión o actualización de la información publicada explican el nivel de cumplimiento alcanzado.</w:t>
      </w:r>
    </w:p>
    <w:p w:rsidR="00520631" w:rsidRDefault="00520631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4E14E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2A154B" w:rsidRDefault="001C45F9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CA1C2" wp14:editId="27364AF9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6512560" cy="1403985"/>
                <wp:effectExtent l="0" t="0" r="21590" b="260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0F" w:rsidRDefault="00DF770F" w:rsidP="001C45F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F770F" w:rsidRDefault="00DF770F" w:rsidP="00B70D6A">
                            <w:pPr>
                              <w:jc w:val="both"/>
                            </w:pPr>
                            <w:r>
                              <w:t xml:space="preserve">Además de las informaciones sujetas a obligaciones de publicidad activa, 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  <w:r>
                              <w:t xml:space="preserve"> publica otras informaciones que pueden considerarse relevantes desde el punto de vista de la Transparencia y  que ponen de manifiesto la voluntad del organismo por hacer más transparente su gestión:</w:t>
                            </w:r>
                          </w:p>
                          <w:p w:rsidR="00DF770F" w:rsidRPr="00981D97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E21BFC">
                              <w:t xml:space="preserve">La publicación de las </w:t>
                            </w:r>
                            <w:r>
                              <w:t>agendas del Gobernador y Subgobernadora</w:t>
                            </w:r>
                          </w:p>
                          <w:p w:rsidR="00DF770F" w:rsidRPr="00E03165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La publicación de los códigos de conducta de los órganos rectores y del personal al servicio del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DF770F" w:rsidRPr="008D1590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del Plan anual normativo</w:t>
                            </w:r>
                          </w:p>
                          <w:p w:rsidR="00DF770F" w:rsidRPr="00002AD9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los proyectos normativos sujetos a consulta pública</w:t>
                            </w:r>
                          </w:p>
                          <w:p w:rsidR="00DF770F" w:rsidRPr="00B10A12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La publicación de información sobre el patrimonio histórico-artístico del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</w:p>
                          <w:p w:rsidR="00DF770F" w:rsidRPr="00A63ED9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>La publicación de las Encomiendas de gestión efectuadas a la Imprenta de Billetes</w:t>
                            </w:r>
                          </w:p>
                          <w:p w:rsidR="00DF770F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 w:rsidRPr="00A63ED9">
                              <w:t xml:space="preserve">La publicación </w:t>
                            </w:r>
                            <w:r>
                              <w:t>de información estadística relativa al grado de cumplimiento de los servicios que presta.</w:t>
                            </w:r>
                          </w:p>
                          <w:p w:rsidR="00DF770F" w:rsidRPr="00A63ED9" w:rsidRDefault="00DF770F" w:rsidP="001A4A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La publicación de sus bienes patrimoniales.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11.75pt;width:512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">
                <v:textbox style="mso-fit-shape-to-text:t">
                  <w:txbxContent>
                    <w:p w:rsidR="00DF770F" w:rsidRDefault="00DF770F" w:rsidP="001C45F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F770F" w:rsidRDefault="00DF770F" w:rsidP="00B70D6A">
                      <w:pPr>
                        <w:jc w:val="both"/>
                      </w:pPr>
                      <w:r>
                        <w:t xml:space="preserve">Además de las informaciones sujetas a obligaciones de publicidad activa, el </w:t>
                      </w:r>
                      <w:proofErr w:type="spellStart"/>
                      <w:r>
                        <w:t>BdE</w:t>
                      </w:r>
                      <w:proofErr w:type="spellEnd"/>
                      <w:r>
                        <w:t xml:space="preserve"> publica otras informaciones que pueden considerarse relevantes desde el punto de vista de la Transparencia y  que ponen de manifiesto la voluntad del organismo por hacer más transparente su gestión:</w:t>
                      </w:r>
                    </w:p>
                    <w:p w:rsidR="00DF770F" w:rsidRPr="00981D97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E21BFC">
                        <w:t xml:space="preserve">La publicación de las </w:t>
                      </w:r>
                      <w:r>
                        <w:t>agendas del Gobernador y Subgobernadora</w:t>
                      </w:r>
                    </w:p>
                    <w:p w:rsidR="00DF770F" w:rsidRPr="00E03165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La publicación de los códigos de conducta de los órganos rectores y del personal al servicio del </w:t>
                      </w:r>
                      <w:proofErr w:type="spellStart"/>
                      <w:r>
                        <w:t>BdE</w:t>
                      </w:r>
                      <w:proofErr w:type="spellEnd"/>
                      <w:r>
                        <w:t xml:space="preserve"> </w:t>
                      </w:r>
                    </w:p>
                    <w:p w:rsidR="00DF770F" w:rsidRPr="008D1590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del Plan anual normativo</w:t>
                      </w:r>
                    </w:p>
                    <w:p w:rsidR="00DF770F" w:rsidRPr="00002AD9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los proyectos normativos sujetos a consulta pública</w:t>
                      </w:r>
                    </w:p>
                    <w:p w:rsidR="00DF770F" w:rsidRPr="00B10A12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 xml:space="preserve">La publicación de información sobre el patrimonio histórico-artístico del </w:t>
                      </w:r>
                      <w:proofErr w:type="spellStart"/>
                      <w:r>
                        <w:t>BdE</w:t>
                      </w:r>
                      <w:proofErr w:type="spellEnd"/>
                    </w:p>
                    <w:p w:rsidR="00DF770F" w:rsidRPr="00A63ED9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t>La publicación de las Encomiendas de gestión efectuadas a la Imprenta de Billetes</w:t>
                      </w:r>
                    </w:p>
                    <w:p w:rsidR="00DF770F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 w:rsidRPr="00A63ED9">
                        <w:t xml:space="preserve">La publicación </w:t>
                      </w:r>
                      <w:r>
                        <w:t>de información estadística relativa al grado de cumplimiento de los servicios que presta.</w:t>
                      </w:r>
                    </w:p>
                    <w:p w:rsidR="00DF770F" w:rsidRPr="00A63ED9" w:rsidRDefault="00DF770F" w:rsidP="001A4A7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La publicación de sus bienes patrimoniales.</w:t>
                      </w:r>
                    </w:p>
                  </w:txbxContent>
                </v:textbox>
              </v:shape>
            </w:pict>
          </mc:Fallback>
        </mc:AlternateContent>
      </w: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Default="001C45F9">
      <w:pPr>
        <w:rPr>
          <w:b/>
          <w:color w:val="00642D"/>
        </w:rPr>
      </w:pPr>
    </w:p>
    <w:p w:rsidR="001C45F9" w:rsidRPr="00932008" w:rsidRDefault="001C45F9">
      <w:pPr>
        <w:rPr>
          <w:u w:val="single"/>
        </w:rPr>
      </w:pPr>
    </w:p>
    <w:p w:rsidR="00932008" w:rsidRDefault="00932008"/>
    <w:p w:rsidR="00B70D6A" w:rsidRDefault="00B70D6A"/>
    <w:p w:rsidR="00B70D6A" w:rsidRDefault="00B70D6A"/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8D1590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8786F5" wp14:editId="0D5168A8">
                <wp:simplePos x="0" y="0"/>
                <wp:positionH relativeFrom="column">
                  <wp:posOffset>85725</wp:posOffset>
                </wp:positionH>
                <wp:positionV relativeFrom="paragraph">
                  <wp:posOffset>149225</wp:posOffset>
                </wp:positionV>
                <wp:extent cx="6512560" cy="37338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0F" w:rsidRDefault="00DF770F" w:rsidP="0050063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F770F" w:rsidRPr="00DA50EE" w:rsidRDefault="00DF770F" w:rsidP="00500633">
                            <w:r w:rsidRPr="00DA50EE">
                              <w:t xml:space="preserve">Como buenas prácticas </w:t>
                            </w:r>
                            <w:r>
                              <w:t xml:space="preserve">del </w:t>
                            </w:r>
                            <w:proofErr w:type="spellStart"/>
                            <w:r>
                              <w:t>BdE</w:t>
                            </w:r>
                            <w:proofErr w:type="spellEnd"/>
                            <w:r>
                              <w:t xml:space="preserve"> que podrían ser aplicables a otras organizaciones sujetas a obligaciones de publicidad activa, cabe destacar:</w:t>
                            </w:r>
                          </w:p>
                          <w:p w:rsidR="00DF770F" w:rsidRDefault="00DF770F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La inclusión de un apartado en la página inicial del Portal de Transparencia en el que se informa de las actualizaciones de contenidos. </w:t>
                            </w:r>
                          </w:p>
                          <w:p w:rsidR="00DF770F" w:rsidRDefault="00DF770F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inclusión de textos descriptivos de los contenidos de los apartados del Portal de Transparencia.</w:t>
                            </w:r>
                          </w:p>
                          <w:p w:rsidR="00DF770F" w:rsidRDefault="00DF770F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La organización y forma de presentación de la información que facilita su localización.</w:t>
                            </w:r>
                          </w:p>
                          <w:p w:rsidR="004C228E" w:rsidRDefault="00DF770F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RPr="00D02414">
                              <w:t xml:space="preserve">La identificación </w:t>
                            </w:r>
                            <w:r>
                              <w:t xml:space="preserve">de los responsables </w:t>
                            </w:r>
                            <w:r w:rsidRPr="00D02414">
                              <w:t>y des</w:t>
                            </w:r>
                            <w:r>
                              <w:t>cripción de las funciones de unidades que integran su estructura organizativa</w:t>
                            </w:r>
                          </w:p>
                          <w:p w:rsidR="004C228E" w:rsidRPr="004C228E" w:rsidRDefault="004C228E" w:rsidP="004C228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t xml:space="preserve">La habilitación de un espacio específico en </w:t>
                            </w:r>
                            <w:r>
                              <w:t>su</w:t>
                            </w:r>
                            <w:r>
                              <w:t xml:space="preserve"> Portal de Transparencia, para las solicitudes de acceso a la información pública, en el que se informa </w:t>
                            </w:r>
                            <w:r>
                              <w:t>sobre el procedimiento, d</w:t>
                            </w:r>
                            <w:r w:rsidRPr="004C228E">
                              <w:t>atos sobre solicitudes de acceso a la información pública a 31.12.2020</w:t>
                            </w:r>
                            <w:r>
                              <w:t xml:space="preserve"> y se publican las resoluciones denegatorias. </w:t>
                            </w:r>
                          </w:p>
                          <w:p w:rsidR="004C228E" w:rsidRDefault="004C228E" w:rsidP="004C228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La incorporación de un </w:t>
                            </w:r>
                            <w:r>
                              <w:t>correo de contacto para consultas en materia de derecho de acceso.</w:t>
                            </w:r>
                          </w:p>
                          <w:p w:rsidR="00DF770F" w:rsidRDefault="00DF770F" w:rsidP="0050063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75pt;margin-top:11.75pt;width:512.8pt;height:29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">
                <v:textbox>
                  <w:txbxContent>
                    <w:p w:rsidR="00DF770F" w:rsidRDefault="00DF770F" w:rsidP="00500633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F770F" w:rsidRPr="00DA50EE" w:rsidRDefault="00DF770F" w:rsidP="00500633">
                      <w:r w:rsidRPr="00DA50EE">
                        <w:t xml:space="preserve">Como buenas prácticas </w:t>
                      </w:r>
                      <w:r>
                        <w:t xml:space="preserve">del </w:t>
                      </w:r>
                      <w:proofErr w:type="spellStart"/>
                      <w:r>
                        <w:t>BdE</w:t>
                      </w:r>
                      <w:proofErr w:type="spellEnd"/>
                      <w:r>
                        <w:t xml:space="preserve"> que podrían ser aplicables a otras organizaciones sujetas a obligaciones de publicidad activa, cabe destacar:</w:t>
                      </w:r>
                    </w:p>
                    <w:p w:rsidR="00DF770F" w:rsidRDefault="00DF770F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La inclusión de un apartado en la página inicial del Portal de Transparencia en el que se informa de las actualizaciones de contenidos. </w:t>
                      </w:r>
                    </w:p>
                    <w:p w:rsidR="00DF770F" w:rsidRDefault="00DF770F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inclusión de textos descriptivos de los contenidos de los apartados del Portal de Transparencia.</w:t>
                      </w:r>
                    </w:p>
                    <w:p w:rsidR="00DF770F" w:rsidRDefault="00DF770F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La organización y forma de presentación de la información que facilita su localización.</w:t>
                      </w:r>
                    </w:p>
                    <w:p w:rsidR="004C228E" w:rsidRDefault="00DF770F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D02414">
                        <w:t xml:space="preserve">La identificación </w:t>
                      </w:r>
                      <w:r>
                        <w:t xml:space="preserve">de los responsables </w:t>
                      </w:r>
                      <w:r w:rsidRPr="00D02414">
                        <w:t>y des</w:t>
                      </w:r>
                      <w:r>
                        <w:t>cripción de las funciones de unidades que integran su estructura organizativa</w:t>
                      </w:r>
                    </w:p>
                    <w:p w:rsidR="004C228E" w:rsidRPr="004C228E" w:rsidRDefault="004C228E" w:rsidP="004C228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 </w:t>
                      </w:r>
                      <w:r>
                        <w:t xml:space="preserve">La habilitación de un espacio específico en </w:t>
                      </w:r>
                      <w:r>
                        <w:t>su</w:t>
                      </w:r>
                      <w:r>
                        <w:t xml:space="preserve"> Portal de Transparencia, para las solicitudes de acceso a la información pública, en el que se informa </w:t>
                      </w:r>
                      <w:r>
                        <w:t>sobre el procedimiento, d</w:t>
                      </w:r>
                      <w:r w:rsidRPr="004C228E">
                        <w:t>atos sobre solicitudes de acceso a la información pública a 31.12.2020</w:t>
                      </w:r>
                      <w:r>
                        <w:t xml:space="preserve"> y se publican las resoluciones denegatorias. </w:t>
                      </w:r>
                    </w:p>
                    <w:p w:rsidR="004C228E" w:rsidRDefault="004C228E" w:rsidP="004C228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La incorporación de un </w:t>
                      </w:r>
                      <w:r>
                        <w:t>correo de contacto para consultas en materia de derecho de acceso.</w:t>
                      </w:r>
                    </w:p>
                    <w:p w:rsidR="00DF770F" w:rsidRDefault="00DF770F" w:rsidP="0050063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00633" w:rsidRDefault="00500633">
      <w:pPr>
        <w:rPr>
          <w:b/>
          <w:color w:val="00642D"/>
        </w:rPr>
      </w:pPr>
    </w:p>
    <w:p w:rsidR="00520631" w:rsidRDefault="00520631">
      <w:pPr>
        <w:rPr>
          <w:b/>
          <w:color w:val="00642D"/>
          <w:sz w:val="32"/>
          <w:szCs w:val="24"/>
        </w:rPr>
      </w:pPr>
      <w:r>
        <w:rPr>
          <w:b/>
          <w:color w:val="00642D"/>
          <w:sz w:val="32"/>
        </w:rP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8E224F" w:rsidRDefault="008E224F" w:rsidP="008E224F">
      <w:pPr>
        <w:spacing w:before="120" w:after="120" w:line="312" w:lineRule="auto"/>
        <w:jc w:val="both"/>
      </w:pPr>
      <w:r w:rsidRPr="00FD0689">
        <w:t xml:space="preserve">Como se ha indicado el cumplimiento de las obligaciones de transparencia de la LTAIBG por parte </w:t>
      </w:r>
      <w:r w:rsidR="00793725">
        <w:t>del B</w:t>
      </w:r>
      <w:r w:rsidR="001F5F3F">
        <w:t>anco de España</w:t>
      </w:r>
      <w:r w:rsidRPr="00FD0689">
        <w:t xml:space="preserve"> en función de la información disponible en </w:t>
      </w:r>
      <w:r>
        <w:t xml:space="preserve">su Portal de Transparencia </w:t>
      </w:r>
      <w:r w:rsidR="004E14E7">
        <w:t xml:space="preserve">alcanza el </w:t>
      </w:r>
      <w:r w:rsidR="00E30984">
        <w:t>95,1</w:t>
      </w:r>
      <w:r w:rsidR="004E14E7">
        <w:t>%</w:t>
      </w:r>
      <w:r w:rsidRPr="0042288C">
        <w:t xml:space="preserve">. </w:t>
      </w:r>
    </w:p>
    <w:p w:rsidR="008E224F" w:rsidRDefault="008E224F" w:rsidP="008E224F">
      <w:pPr>
        <w:spacing w:before="120" w:after="120" w:line="312" w:lineRule="auto"/>
        <w:jc w:val="both"/>
      </w:pPr>
      <w:r>
        <w:t xml:space="preserve">Este Consejo de Transparencia y Buen Gobierno no puede menos que valorar </w:t>
      </w:r>
      <w:r w:rsidR="00B574CB">
        <w:t xml:space="preserve">muy </w:t>
      </w:r>
      <w:r>
        <w:t xml:space="preserve">positivamente el esfuerzo realizado por </w:t>
      </w:r>
      <w:r w:rsidR="00B579C7">
        <w:t>el</w:t>
      </w:r>
      <w:r>
        <w:t xml:space="preserve"> </w:t>
      </w:r>
      <w:r w:rsidR="001F5F3F">
        <w:t>Banco de España</w:t>
      </w:r>
      <w:r>
        <w:t xml:space="preserve"> para ha</w:t>
      </w:r>
      <w:r w:rsidR="00500633">
        <w:t xml:space="preserve">cer más transparente su gestión, publicando mucha información </w:t>
      </w:r>
      <w:r w:rsidR="00B43F4F">
        <w:t xml:space="preserve">muy </w:t>
      </w:r>
      <w:r w:rsidR="00500633">
        <w:t xml:space="preserve">relevante desde el punto de vista de la transparencia que va  más allá del cumplimiento de las obligaciones de publicidad activa. </w:t>
      </w:r>
      <w:r>
        <w:t>También, como se ha señalado, pueden resaltarse buenas prácticas que podrían incorporarse por otras organizaciones públicas.</w:t>
      </w:r>
    </w:p>
    <w:p w:rsidR="008E224F" w:rsidRPr="00FD0689" w:rsidRDefault="008E224F" w:rsidP="008E224F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No obstante, a lo largo del informe se han señalado una serie de carencias. Por ello y   p</w:t>
      </w:r>
      <w:r w:rsidRPr="00FD0689">
        <w:t>ara procurar avances en el grado d</w:t>
      </w:r>
      <w:r w:rsidR="00D77BE4">
        <w:t>e</w:t>
      </w:r>
      <w:r w:rsidRPr="008E224F">
        <w:t xml:space="preserve"> </w:t>
      </w:r>
      <w:r w:rsidRPr="00FD0689">
        <w:t xml:space="preserve">cumplimiento de la LTAIBG por parte </w:t>
      </w:r>
      <w:r w:rsidR="00793725">
        <w:t xml:space="preserve">del </w:t>
      </w:r>
      <w:r w:rsidR="001F5F3F">
        <w:t>Banco de España</w:t>
      </w:r>
      <w:r w:rsidRPr="00FD0689">
        <w:t xml:space="preserve">, este CTBG </w:t>
      </w:r>
      <w:r w:rsidRPr="00FD0689">
        <w:rPr>
          <w:rFonts w:eastAsiaTheme="majorEastAsia" w:cstheme="majorBidi"/>
          <w:b/>
          <w:bCs/>
          <w:color w:val="50866C"/>
        </w:rPr>
        <w:t>recomienda:</w:t>
      </w:r>
    </w:p>
    <w:p w:rsidR="008E224F" w:rsidRDefault="008E224F" w:rsidP="008E224F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8E224F" w:rsidRDefault="00B304A9" w:rsidP="003050DC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</w:rPr>
        <w:t xml:space="preserve">Debe </w:t>
      </w:r>
      <w:r w:rsidR="00B43634">
        <w:rPr>
          <w:rFonts w:eastAsia="Times New Roman" w:cs="Times New Roman"/>
          <w:bCs/>
          <w:szCs w:val="36"/>
        </w:rPr>
        <w:t>actualizarse la información estadística sobre contratos adjudicados según procedimiento de licitación</w:t>
      </w:r>
      <w:r w:rsidR="008E224F">
        <w:rPr>
          <w:lang w:bidi="es-ES"/>
        </w:rPr>
        <w:t>.</w:t>
      </w:r>
    </w:p>
    <w:p w:rsidR="008E224F" w:rsidRDefault="00B43634" w:rsidP="00B43634">
      <w:pPr>
        <w:pStyle w:val="Prrafodelista"/>
        <w:numPr>
          <w:ilvl w:val="0"/>
          <w:numId w:val="14"/>
        </w:numPr>
        <w:spacing w:before="120" w:after="120" w:line="312" w:lineRule="auto"/>
        <w:ind w:left="709"/>
        <w:jc w:val="both"/>
        <w:rPr>
          <w:lang w:bidi="es-ES"/>
        </w:rPr>
      </w:pPr>
      <w:r>
        <w:t xml:space="preserve">Debe </w:t>
      </w:r>
      <w:r w:rsidR="00B579C7">
        <w:t xml:space="preserve">actualizarse </w:t>
      </w:r>
      <w:r>
        <w:t>la información sobre retribuciones de altos cargos, sobre indemnizaciones percibidas al cese</w:t>
      </w:r>
      <w:r w:rsidR="00B579C7">
        <w:t xml:space="preserve"> y</w:t>
      </w:r>
      <w:r>
        <w:t xml:space="preserve"> so</w:t>
      </w:r>
      <w:r>
        <w:rPr>
          <w:lang w:bidi="es-ES"/>
        </w:rPr>
        <w:t>bre autorizaciones de compatibilidad a empleados.</w:t>
      </w:r>
    </w:p>
    <w:p w:rsidR="008E224F" w:rsidRPr="008C6237" w:rsidRDefault="008E224F" w:rsidP="008C6237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Calidad de la Información.</w:t>
      </w:r>
    </w:p>
    <w:p w:rsidR="008E224F" w:rsidRDefault="00B43634" w:rsidP="008C6237">
      <w:pPr>
        <w:pStyle w:val="Prrafodelista"/>
        <w:numPr>
          <w:ilvl w:val="0"/>
          <w:numId w:val="15"/>
        </w:numPr>
        <w:spacing w:before="120" w:after="120" w:line="312" w:lineRule="auto"/>
        <w:jc w:val="both"/>
      </w:pPr>
      <w:bookmarkStart w:id="0" w:name="_GoBack"/>
      <w:r>
        <w:t xml:space="preserve">Debería revisarse el criterio de publicación de varias informaciones a </w:t>
      </w:r>
      <w:r w:rsidR="00B579C7">
        <w:t>ejercicio</w:t>
      </w:r>
      <w:r>
        <w:t xml:space="preserve"> vencido</w:t>
      </w:r>
      <w:r w:rsidR="008E224F" w:rsidRPr="00C46140">
        <w:t>.</w:t>
      </w:r>
    </w:p>
    <w:bookmarkEnd w:id="0"/>
    <w:p w:rsidR="00B43634" w:rsidRPr="00C46140" w:rsidRDefault="00B43634" w:rsidP="008C6237">
      <w:pPr>
        <w:pStyle w:val="Prrafodelista"/>
        <w:numPr>
          <w:ilvl w:val="0"/>
          <w:numId w:val="15"/>
        </w:numPr>
        <w:spacing w:before="120" w:after="120" w:line="312" w:lineRule="auto"/>
        <w:jc w:val="both"/>
      </w:pPr>
      <w:r>
        <w:t>El enlace a la Plataforma de Contratación del Sector Público resulta poco visible.</w:t>
      </w:r>
    </w:p>
    <w:p w:rsidR="00B40246" w:rsidRDefault="00B40246" w:rsidP="008E224F"/>
    <w:p w:rsidR="00520631" w:rsidRDefault="00CB0154" w:rsidP="00520631">
      <w:pPr>
        <w:jc w:val="right"/>
      </w:pPr>
      <w:r>
        <w:t xml:space="preserve">Madrid, </w:t>
      </w:r>
      <w:r w:rsidR="00586A2B">
        <w:t>marzo</w:t>
      </w:r>
      <w:r>
        <w:t xml:space="preserve"> de 2021</w:t>
      </w:r>
    </w:p>
    <w:p w:rsidR="00520631" w:rsidRDefault="00520631">
      <w:r>
        <w:br w:type="page"/>
      </w:r>
    </w:p>
    <w:p w:rsidR="0062746D" w:rsidRPr="0062746D" w:rsidRDefault="004C228E" w:rsidP="0062746D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A2379D2473F4489EB7207140CF6C13E7"/>
          </w:placeholder>
        </w:sdtPr>
        <w:sdtEndPr/>
        <w:sdtContent>
          <w:r w:rsidR="0062746D" w:rsidRPr="0062746D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518"/>
        <w:gridCol w:w="2558"/>
        <w:gridCol w:w="685"/>
        <w:gridCol w:w="3769"/>
      </w:tblGrid>
      <w:tr w:rsidR="0062746D" w:rsidRPr="0062746D" w:rsidTr="0018611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62746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62746D" w:rsidRPr="0062746D" w:rsidTr="0018611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62746D" w:rsidRPr="0062746D" w:rsidTr="0018611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62746D" w:rsidRPr="0062746D" w:rsidTr="0018611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62746D" w:rsidRPr="0062746D" w:rsidTr="0018611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62746D" w:rsidRPr="0062746D" w:rsidTr="0018611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62746D" w:rsidRPr="0062746D" w:rsidTr="0018611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62746D" w:rsidRPr="0062746D" w:rsidTr="0018611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62746D" w:rsidRPr="0062746D" w:rsidTr="0018611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62746D" w:rsidRPr="0062746D" w:rsidTr="0018611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62746D" w:rsidRPr="0062746D" w:rsidTr="0018611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62746D" w:rsidRPr="0062746D" w:rsidTr="0018611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62746D" w:rsidRPr="0062746D" w:rsidTr="0018611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62746D" w:rsidRPr="0062746D" w:rsidTr="0018611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62746D" w:rsidRPr="0062746D" w:rsidTr="0018611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62746D" w:rsidRPr="0062746D" w:rsidTr="0018611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62746D" w:rsidRPr="0062746D" w:rsidTr="0018611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62746D" w:rsidRPr="0062746D" w:rsidTr="0018611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62746D" w:rsidRPr="0062746D" w:rsidTr="0018611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62746D" w:rsidRPr="0062746D" w:rsidTr="0018611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62746D" w:rsidRPr="0062746D" w:rsidTr="0018611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62746D" w:rsidRPr="0062746D" w:rsidTr="0018611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62746D" w:rsidRPr="0062746D" w:rsidTr="0018611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62746D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62746D" w:rsidRPr="0062746D" w:rsidTr="0018611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62746D" w:rsidRPr="0062746D" w:rsidTr="0018611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62746D" w:rsidRPr="0062746D" w:rsidTr="0018611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62746D" w:rsidRPr="0062746D" w:rsidTr="0018611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D" w:rsidRPr="0062746D" w:rsidRDefault="0062746D" w:rsidP="0062746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46D" w:rsidRPr="0062746D" w:rsidRDefault="0062746D" w:rsidP="0052063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2746D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62746D" w:rsidRPr="0062746D" w:rsidRDefault="0062746D" w:rsidP="0062746D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F501F9" w:rsidRDefault="00F501F9"/>
    <w:sectPr w:rsidR="00F501F9" w:rsidSect="00DF63E7">
      <w:head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0F" w:rsidRDefault="00DF770F" w:rsidP="00932008">
      <w:pPr>
        <w:spacing w:after="0" w:line="240" w:lineRule="auto"/>
      </w:pPr>
      <w:r>
        <w:separator/>
      </w:r>
    </w:p>
  </w:endnote>
  <w:endnote w:type="continuationSeparator" w:id="0">
    <w:p w:rsidR="00DF770F" w:rsidRDefault="00DF770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0F" w:rsidRDefault="00DF770F" w:rsidP="00932008">
      <w:pPr>
        <w:spacing w:after="0" w:line="240" w:lineRule="auto"/>
      </w:pPr>
      <w:r>
        <w:separator/>
      </w:r>
    </w:p>
  </w:footnote>
  <w:footnote w:type="continuationSeparator" w:id="0">
    <w:p w:rsidR="00DF770F" w:rsidRDefault="00DF770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0F" w:rsidRDefault="00DF7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800"/>
    <w:multiLevelType w:val="hybridMultilevel"/>
    <w:tmpl w:val="B1242FB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E0121"/>
    <w:multiLevelType w:val="hybridMultilevel"/>
    <w:tmpl w:val="FC4229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A501E"/>
    <w:multiLevelType w:val="hybridMultilevel"/>
    <w:tmpl w:val="BEEC1CE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E07F8F"/>
    <w:multiLevelType w:val="hybridMultilevel"/>
    <w:tmpl w:val="324E567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859635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6551"/>
    <w:multiLevelType w:val="hybridMultilevel"/>
    <w:tmpl w:val="B8AC15F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0080E"/>
    <w:multiLevelType w:val="hybridMultilevel"/>
    <w:tmpl w:val="DEDA08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90FB8"/>
    <w:multiLevelType w:val="hybridMultilevel"/>
    <w:tmpl w:val="481CB5E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A7E50"/>
    <w:multiLevelType w:val="hybridMultilevel"/>
    <w:tmpl w:val="16DE8A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1333A"/>
    <w:multiLevelType w:val="hybridMultilevel"/>
    <w:tmpl w:val="CDCA74E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31C93"/>
    <w:multiLevelType w:val="hybridMultilevel"/>
    <w:tmpl w:val="DCD8F81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13D5"/>
    <w:rsid w:val="00002AD9"/>
    <w:rsid w:val="0001413E"/>
    <w:rsid w:val="00021EF4"/>
    <w:rsid w:val="000262A3"/>
    <w:rsid w:val="000965B3"/>
    <w:rsid w:val="000A6B02"/>
    <w:rsid w:val="000C6CFF"/>
    <w:rsid w:val="000D75C8"/>
    <w:rsid w:val="00102733"/>
    <w:rsid w:val="00136AE4"/>
    <w:rsid w:val="001561A4"/>
    <w:rsid w:val="0018611A"/>
    <w:rsid w:val="001A3DBA"/>
    <w:rsid w:val="001A4A7C"/>
    <w:rsid w:val="001A682A"/>
    <w:rsid w:val="001C45F9"/>
    <w:rsid w:val="001C6578"/>
    <w:rsid w:val="001F5F3F"/>
    <w:rsid w:val="00212C04"/>
    <w:rsid w:val="00213F73"/>
    <w:rsid w:val="002A154B"/>
    <w:rsid w:val="00300075"/>
    <w:rsid w:val="003050DC"/>
    <w:rsid w:val="00336C67"/>
    <w:rsid w:val="003757E3"/>
    <w:rsid w:val="003E589B"/>
    <w:rsid w:val="003F271E"/>
    <w:rsid w:val="003F572A"/>
    <w:rsid w:val="0041079E"/>
    <w:rsid w:val="004C228E"/>
    <w:rsid w:val="004E14E7"/>
    <w:rsid w:val="004F2655"/>
    <w:rsid w:val="00500633"/>
    <w:rsid w:val="005164AD"/>
    <w:rsid w:val="00520631"/>
    <w:rsid w:val="00521DA9"/>
    <w:rsid w:val="00541472"/>
    <w:rsid w:val="00544E0C"/>
    <w:rsid w:val="005455F8"/>
    <w:rsid w:val="00561402"/>
    <w:rsid w:val="0057532F"/>
    <w:rsid w:val="00586A2B"/>
    <w:rsid w:val="005B19E4"/>
    <w:rsid w:val="005F29B8"/>
    <w:rsid w:val="0062746D"/>
    <w:rsid w:val="0066690D"/>
    <w:rsid w:val="006773E3"/>
    <w:rsid w:val="006A2766"/>
    <w:rsid w:val="006D62DB"/>
    <w:rsid w:val="006E5667"/>
    <w:rsid w:val="006F5866"/>
    <w:rsid w:val="00703D87"/>
    <w:rsid w:val="00710031"/>
    <w:rsid w:val="00713382"/>
    <w:rsid w:val="0072515A"/>
    <w:rsid w:val="00743756"/>
    <w:rsid w:val="00782ABF"/>
    <w:rsid w:val="00792AF7"/>
    <w:rsid w:val="00793725"/>
    <w:rsid w:val="007B0F99"/>
    <w:rsid w:val="00810E1F"/>
    <w:rsid w:val="00843094"/>
    <w:rsid w:val="00844FA9"/>
    <w:rsid w:val="00845A55"/>
    <w:rsid w:val="008772BD"/>
    <w:rsid w:val="008A47AF"/>
    <w:rsid w:val="008B14C5"/>
    <w:rsid w:val="008C1E1E"/>
    <w:rsid w:val="008C6237"/>
    <w:rsid w:val="008D1590"/>
    <w:rsid w:val="008D4833"/>
    <w:rsid w:val="008E224F"/>
    <w:rsid w:val="008F0C47"/>
    <w:rsid w:val="00932008"/>
    <w:rsid w:val="00933B93"/>
    <w:rsid w:val="00947D80"/>
    <w:rsid w:val="009556B8"/>
    <w:rsid w:val="00957545"/>
    <w:rsid w:val="009609E9"/>
    <w:rsid w:val="0097408D"/>
    <w:rsid w:val="009771DB"/>
    <w:rsid w:val="00981D97"/>
    <w:rsid w:val="009847CD"/>
    <w:rsid w:val="009A6C20"/>
    <w:rsid w:val="009F5BFD"/>
    <w:rsid w:val="00A577D1"/>
    <w:rsid w:val="00A63ED9"/>
    <w:rsid w:val="00AA1FC9"/>
    <w:rsid w:val="00AD2022"/>
    <w:rsid w:val="00B0240A"/>
    <w:rsid w:val="00B10A12"/>
    <w:rsid w:val="00B233C4"/>
    <w:rsid w:val="00B25475"/>
    <w:rsid w:val="00B25C07"/>
    <w:rsid w:val="00B304A9"/>
    <w:rsid w:val="00B40246"/>
    <w:rsid w:val="00B43634"/>
    <w:rsid w:val="00B43F4F"/>
    <w:rsid w:val="00B574CB"/>
    <w:rsid w:val="00B579C7"/>
    <w:rsid w:val="00B70D6A"/>
    <w:rsid w:val="00B841AE"/>
    <w:rsid w:val="00BB6799"/>
    <w:rsid w:val="00BC3729"/>
    <w:rsid w:val="00BD4582"/>
    <w:rsid w:val="00BE31F6"/>
    <w:rsid w:val="00BE521A"/>
    <w:rsid w:val="00BE6A46"/>
    <w:rsid w:val="00C33A23"/>
    <w:rsid w:val="00C5744D"/>
    <w:rsid w:val="00C65B5B"/>
    <w:rsid w:val="00C76CB6"/>
    <w:rsid w:val="00C822F8"/>
    <w:rsid w:val="00CB0154"/>
    <w:rsid w:val="00CB5511"/>
    <w:rsid w:val="00CC2049"/>
    <w:rsid w:val="00CF3DFE"/>
    <w:rsid w:val="00D02414"/>
    <w:rsid w:val="00D6381F"/>
    <w:rsid w:val="00D77BE4"/>
    <w:rsid w:val="00D87C1B"/>
    <w:rsid w:val="00D96455"/>
    <w:rsid w:val="00D96F84"/>
    <w:rsid w:val="00DA2EDF"/>
    <w:rsid w:val="00DA50EE"/>
    <w:rsid w:val="00DF63E7"/>
    <w:rsid w:val="00DF770F"/>
    <w:rsid w:val="00E03165"/>
    <w:rsid w:val="00E05BEC"/>
    <w:rsid w:val="00E21BFC"/>
    <w:rsid w:val="00E3088D"/>
    <w:rsid w:val="00E30984"/>
    <w:rsid w:val="00E34195"/>
    <w:rsid w:val="00E47613"/>
    <w:rsid w:val="00E6578E"/>
    <w:rsid w:val="00EB73DB"/>
    <w:rsid w:val="00ED43B3"/>
    <w:rsid w:val="00EF205C"/>
    <w:rsid w:val="00EF55F4"/>
    <w:rsid w:val="00F11159"/>
    <w:rsid w:val="00F14D9E"/>
    <w:rsid w:val="00F14DA4"/>
    <w:rsid w:val="00F47C3B"/>
    <w:rsid w:val="00F501F9"/>
    <w:rsid w:val="00F522DC"/>
    <w:rsid w:val="00F71D7D"/>
    <w:rsid w:val="00FA3DC3"/>
    <w:rsid w:val="00FA716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757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7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7E3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7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7E3"/>
    <w:rPr>
      <w:rFonts w:ascii="Century Gothic" w:hAnsi="Century Gothic"/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2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A71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E224F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224F"/>
    <w:rPr>
      <w:rFonts w:eastAsiaTheme="minorHAns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757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7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7E3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7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7E3"/>
    <w:rPr>
      <w:rFonts w:ascii="Century Gothic" w:hAnsi="Century Gothic"/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2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2379D2473F4489EB7207140CF6C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34E5-AEB3-41F4-87FB-501EB505EB49}"/>
      </w:docPartPr>
      <w:docPartBody>
        <w:p w:rsidR="00946AA1" w:rsidRDefault="00946AA1" w:rsidP="00946AA1">
          <w:pPr>
            <w:pStyle w:val="A2379D2473F4489EB7207140CF6C13E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32EE8"/>
    <w:rsid w:val="0013771E"/>
    <w:rsid w:val="00154A41"/>
    <w:rsid w:val="002B4802"/>
    <w:rsid w:val="0034035A"/>
    <w:rsid w:val="003A7632"/>
    <w:rsid w:val="003D088C"/>
    <w:rsid w:val="00415EE1"/>
    <w:rsid w:val="008C42C0"/>
    <w:rsid w:val="00946AA1"/>
    <w:rsid w:val="00B734C6"/>
    <w:rsid w:val="00D246E0"/>
    <w:rsid w:val="00D35513"/>
    <w:rsid w:val="00E01BF8"/>
    <w:rsid w:val="00F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AA1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FD543BCAB08A41608D6221B12651048F">
    <w:name w:val="FD543BCAB08A41608D6221B12651048F"/>
    <w:rsid w:val="00946AA1"/>
  </w:style>
  <w:style w:type="paragraph" w:customStyle="1" w:styleId="A2379D2473F4489EB7207140CF6C13E7">
    <w:name w:val="A2379D2473F4489EB7207140CF6C13E7"/>
    <w:rsid w:val="0094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541C2-15DC-4DCF-B009-2FD5F43C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3057</TotalTime>
  <Pages>10</Pages>
  <Words>1740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MERCEDES PAJA FANO</cp:lastModifiedBy>
  <cp:revision>75</cp:revision>
  <cp:lastPrinted>2007-10-26T10:03:00Z</cp:lastPrinted>
  <dcterms:created xsi:type="dcterms:W3CDTF">2020-11-24T09:10:00Z</dcterms:created>
  <dcterms:modified xsi:type="dcterms:W3CDTF">2021-03-31T07:05:00Z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