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A26B1" w:rsidRPr="00006957" w:rsidRDefault="00BA26B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A26B1" w:rsidRPr="00006957" w:rsidRDefault="00BA26B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26B1" w:rsidRDefault="00BA26B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A26B1" w:rsidRDefault="00BA26B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F09C8" w:rsidRPr="00CB5511" w:rsidTr="006572D0">
        <w:tc>
          <w:tcPr>
            <w:tcW w:w="3652" w:type="dxa"/>
          </w:tcPr>
          <w:p w:rsidR="000F09C8" w:rsidRPr="00E34195" w:rsidRDefault="000F09C8" w:rsidP="006572D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F09C8" w:rsidRPr="00CB5511" w:rsidRDefault="000F09C8" w:rsidP="0065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Agencia Española de Protección de Datos</w:t>
            </w:r>
          </w:p>
        </w:tc>
      </w:tr>
      <w:tr w:rsidR="000F09C8" w:rsidRPr="00CB5511" w:rsidTr="006572D0">
        <w:tc>
          <w:tcPr>
            <w:tcW w:w="3652" w:type="dxa"/>
          </w:tcPr>
          <w:p w:rsidR="000F09C8" w:rsidRPr="00E34195" w:rsidRDefault="000F09C8" w:rsidP="006572D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F09C8" w:rsidRPr="00CB5511" w:rsidRDefault="000F09C8" w:rsidP="0065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15/02/2021</w:t>
            </w:r>
          </w:p>
        </w:tc>
      </w:tr>
    </w:tbl>
    <w:p w:rsidR="000F09C8" w:rsidRDefault="000F09C8"/>
    <w:p w:rsidR="000F09C8" w:rsidRDefault="000F09C8"/>
    <w:p w:rsidR="00561402" w:rsidRPr="0012783F" w:rsidRDefault="00AD5CC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Pr="00C32B5A" w:rsidRDefault="00C32B5A" w:rsidP="001C3D02">
      <w:pPr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C32B5A">
        <w:rPr>
          <w:rStyle w:val="Ttulo2Car"/>
          <w:b w:val="0"/>
          <w:color w:val="auto"/>
          <w:sz w:val="22"/>
          <w:szCs w:val="22"/>
          <w:lang w:bidi="es-ES"/>
        </w:rPr>
        <w:t xml:space="preserve">La AEPD </w:t>
      </w:r>
      <w:r w:rsidR="00CC4737">
        <w:rPr>
          <w:rStyle w:val="Ttulo2Car"/>
          <w:b w:val="0"/>
          <w:color w:val="auto"/>
          <w:sz w:val="22"/>
          <w:szCs w:val="22"/>
          <w:lang w:bidi="es-ES"/>
        </w:rPr>
        <w:t>dispone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C4737">
        <w:rPr>
          <w:rStyle w:val="Ttulo2Car"/>
          <w:b w:val="0"/>
          <w:color w:val="auto"/>
          <w:sz w:val="22"/>
          <w:szCs w:val="22"/>
          <w:lang w:bidi="es-ES"/>
        </w:rPr>
        <w:t>de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una Unidad de Información y Transparencia al parecer dependiente del área de atención al ciudadano. La UIT cuenta con tres personas que compaginan la gestión de las solicitudes de acceso con otras actividades. </w:t>
      </w:r>
    </w:p>
    <w:p w:rsidR="006B20DC" w:rsidRPr="006B20DC" w:rsidRDefault="006B20DC" w:rsidP="006B20DC"/>
    <w:p w:rsidR="00B812AB" w:rsidRPr="0012783F" w:rsidRDefault="00AD5CCC" w:rsidP="00B812AB">
      <w:pPr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900ADF">
            <w:rPr>
              <w:b/>
              <w:color w:val="00642D"/>
              <w:sz w:val="30"/>
              <w:szCs w:val="30"/>
            </w:rPr>
            <w:t xml:space="preserve">  </w:t>
          </w:r>
        </w:sdtContent>
      </w:sdt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14DA4" w:rsidRDefault="00802D12" w:rsidP="005C4D89">
      <w:pPr>
        <w:ind w:left="426"/>
        <w:jc w:val="both"/>
      </w:pPr>
      <w:r>
        <w:t>En 2020, la AEPD recibió 143 solicitudes</w:t>
      </w:r>
      <w:r w:rsidR="00340AD6">
        <w:t>,</w:t>
      </w:r>
      <w:r>
        <w:t xml:space="preserve"> a las</w:t>
      </w:r>
      <w:r w:rsidR="00900ADF">
        <w:t xml:space="preserve">  </w:t>
      </w:r>
      <w:r>
        <w:t xml:space="preserve">que </w:t>
      </w:r>
      <w:r w:rsidR="00340AD6">
        <w:t xml:space="preserve">hay que añadir </w:t>
      </w:r>
      <w:r w:rsidR="00340AD6" w:rsidRPr="00340AD6">
        <w:t>2</w:t>
      </w:r>
      <w:r w:rsidR="00340AD6">
        <w:t xml:space="preserve"> que </w:t>
      </w:r>
      <w:r>
        <w:t xml:space="preserve">quedaron pendientes a finales de 2019. De estas 145 solicitudes se tramitaron </w:t>
      </w:r>
      <w:r w:rsidR="003C0F94" w:rsidRPr="003C0F94">
        <w:t>140</w:t>
      </w:r>
      <w:r w:rsidR="003C0F94">
        <w:t xml:space="preserve"> </w:t>
      </w:r>
      <w:r>
        <w:t>a lo largo de 2020, quedando pendientes a 31de diciembre de ese año 5 solicitudes.</w:t>
      </w:r>
    </w:p>
    <w:p w:rsidR="00A41DD5" w:rsidRDefault="00340AD6" w:rsidP="005C4D89">
      <w:pPr>
        <w:ind w:left="426"/>
        <w:jc w:val="both"/>
      </w:pPr>
      <w:r>
        <w:t>D</w:t>
      </w:r>
      <w:r w:rsidR="00901D97">
        <w:t xml:space="preserve">e estas 140 </w:t>
      </w:r>
      <w:r w:rsidR="003C0F94">
        <w:t>solicitudes tramitadas</w:t>
      </w:r>
      <w:r>
        <w:t>, 50</w:t>
      </w:r>
      <w:r w:rsidR="003C0F94">
        <w:t xml:space="preserve"> fueron admitidas, quedando inadmitidas 95</w:t>
      </w:r>
      <w:r>
        <w:t xml:space="preserve">, de las cuales </w:t>
      </w:r>
      <w:r w:rsidR="003E0E99">
        <w:t>26 lo fueron porque la AEPD no era el órgano competente para resolverlas</w:t>
      </w:r>
      <w:r w:rsidR="000D716A">
        <w:t xml:space="preserve"> y se desconocía el competente</w:t>
      </w:r>
      <w:r w:rsidR="003E0E99">
        <w:t xml:space="preserve">, en un caso la solicitud se refería a información auxiliar o de apoyo y en otro se consideró la solicitud abusiva o repetitiva. </w:t>
      </w:r>
      <w:r w:rsidR="002919AB">
        <w:t xml:space="preserve">Un 70,5% de las solicitudes inadmitidas se clasifican en la </w:t>
      </w:r>
      <w:proofErr w:type="gramStart"/>
      <w:r w:rsidR="002919AB">
        <w:t>categoría</w:t>
      </w:r>
      <w:r w:rsidR="00900ADF">
        <w:t xml:space="preserve">  </w:t>
      </w:r>
      <w:r w:rsidR="002919AB">
        <w:t>”</w:t>
      </w:r>
      <w:proofErr w:type="gramEnd"/>
      <w:r w:rsidR="002919AB">
        <w:t xml:space="preserve">Otras causas de inadmisión”. </w:t>
      </w:r>
    </w:p>
    <w:p w:rsidR="002919AB" w:rsidRPr="00985C93" w:rsidRDefault="002919AB" w:rsidP="005C4D8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85C93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Gráfico 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instrText xml:space="preserve"> SEQ Gráfico \* ARABIC </w:instrTex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1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: Distribución de las solicitudes inadmitidas según causa de inadmisión</w:t>
      </w:r>
    </w:p>
    <w:p w:rsidR="002919AB" w:rsidRDefault="002919AB" w:rsidP="005C4D89">
      <w:pPr>
        <w:ind w:left="284"/>
      </w:pPr>
      <w:r>
        <w:rPr>
          <w:noProof/>
        </w:rPr>
        <w:drawing>
          <wp:inline distT="0" distB="0" distL="0" distR="0" wp14:anchorId="795C989E" wp14:editId="7057ED04">
            <wp:extent cx="5857875" cy="268605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19AB" w:rsidRDefault="002919AB" w:rsidP="002919AB">
      <w:pPr>
        <w:pStyle w:val="Ttulo4"/>
        <w:rPr>
          <w:rFonts w:ascii="Century Gothic" w:hAnsi="Century Gothic"/>
          <w:b w:val="0"/>
          <w:bCs w:val="0"/>
          <w:sz w:val="20"/>
          <w:szCs w:val="20"/>
        </w:rPr>
      </w:pPr>
    </w:p>
    <w:p w:rsidR="002919AB" w:rsidRPr="002919AB" w:rsidRDefault="002919AB" w:rsidP="005C4D89">
      <w:pPr>
        <w:ind w:left="426"/>
        <w:jc w:val="both"/>
        <w:rPr>
          <w:b/>
          <w:bCs/>
          <w:i/>
          <w:iCs/>
        </w:rPr>
      </w:pPr>
      <w:r>
        <w:t xml:space="preserve">Indica la AEPD en la información proporcionada a este Consejo, que </w:t>
      </w:r>
      <w:r>
        <w:rPr>
          <w:bCs/>
          <w:i/>
          <w:iCs/>
        </w:rPr>
        <w:t>“s</w:t>
      </w:r>
      <w:r w:rsidRPr="002919AB">
        <w:rPr>
          <w:bCs/>
          <w:i/>
          <w:iCs/>
        </w:rPr>
        <w:t>e observa que el elevado número de solicitudes de acceso mal direccionadas a la AEPD puede deberse a la errónea presunción, por parte de los solicitantes, de que la Agencia Española de Protección de Datos es la depositaria de todos los datos que afectan a la administración pública española. Así por ejemplo solicitan antecedentes penales, datos de seguridad social, ingreso mínimo vital, etc. Tras su examen por la UIT de la AEPD, las solicitudes son devueltas a la UIT Central, a través de GESAT, con indicación de la UIT competente para tramitarlas</w:t>
      </w:r>
      <w:r>
        <w:rPr>
          <w:bCs/>
          <w:i/>
          <w:iCs/>
        </w:rPr>
        <w:t>”</w:t>
      </w:r>
      <w:r w:rsidRPr="002919AB">
        <w:rPr>
          <w:b/>
          <w:bCs/>
          <w:i/>
          <w:iCs/>
        </w:rPr>
        <w:t>.</w:t>
      </w:r>
    </w:p>
    <w:p w:rsidR="00DD3E02" w:rsidRDefault="00DD3E02" w:rsidP="00B812AB"/>
    <w:p w:rsidR="00212664" w:rsidRDefault="00212664" w:rsidP="0021266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647481" w:rsidRDefault="00647481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asignadas a la UIT de la AEPD asumió 48,33 solicitudes de las cuales tramitó casi 47. </w:t>
      </w:r>
    </w:p>
    <w:p w:rsidR="00647481" w:rsidRDefault="00647481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2020 se tramitó más del 96% de las solicitudes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, tanto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entradas en el año 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como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pendientes a finales de2019. Sin embargo, ha aumentado el número de solicitudes pendientes a final de año – han pasado de 2 a 5 – situándose la tasa de pendencia en 3,57. </w:t>
      </w:r>
    </w:p>
    <w:p w:rsidR="00647481" w:rsidRDefault="00647481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tiempo medio estimado para la tramitación de las solicitudes pendientes es de poco más de 13 días naturales.</w:t>
      </w:r>
    </w:p>
    <w:p w:rsidR="00647481" w:rsidRPr="00647481" w:rsidRDefault="00647481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AEPD inadmite dos tercios de las solicitudes que recibe - ya se ha indicado que más del 27% de las solicitudes se refieren a información respecto de la qu</w:t>
      </w:r>
      <w:r w:rsidR="000D716A">
        <w:rPr>
          <w:rStyle w:val="Ttulo2Car"/>
          <w:b w:val="0"/>
          <w:color w:val="auto"/>
          <w:sz w:val="22"/>
          <w:szCs w:val="22"/>
          <w:lang w:bidi="es-ES"/>
        </w:rPr>
        <w:t xml:space="preserve">e la Agencia no es competente y además desconoce quién es el órgano 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competente para dar</w:t>
      </w:r>
      <w:r w:rsidR="000D716A">
        <w:rPr>
          <w:rStyle w:val="Ttulo2Car"/>
          <w:b w:val="0"/>
          <w:color w:val="auto"/>
          <w:sz w:val="22"/>
          <w:szCs w:val="22"/>
          <w:lang w:bidi="es-ES"/>
        </w:rPr>
        <w:t xml:space="preserve"> la información</w:t>
      </w:r>
      <w:r w:rsidR="00900ADF">
        <w:rPr>
          <w:rStyle w:val="Ttulo2Car"/>
          <w:b w:val="0"/>
          <w:color w:val="auto"/>
          <w:sz w:val="22"/>
          <w:szCs w:val="22"/>
          <w:lang w:bidi="es-ES"/>
        </w:rPr>
        <w:t xml:space="preserve">  </w:t>
      </w:r>
      <w:r w:rsidR="000D716A">
        <w:rPr>
          <w:rStyle w:val="Ttulo2Car"/>
          <w:b w:val="0"/>
          <w:color w:val="auto"/>
          <w:sz w:val="22"/>
          <w:szCs w:val="22"/>
          <w:lang w:bidi="es-ES"/>
        </w:rPr>
        <w:t>-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Por otra parte, t</w:t>
      </w:r>
      <w:r w:rsidR="000D716A">
        <w:rPr>
          <w:rStyle w:val="Ttulo2Car"/>
          <w:b w:val="0"/>
          <w:color w:val="auto"/>
          <w:sz w:val="22"/>
          <w:szCs w:val="22"/>
          <w:lang w:bidi="es-ES"/>
        </w:rPr>
        <w:t>al como indica la AEPD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0D716A">
        <w:rPr>
          <w:rStyle w:val="Ttulo2Car"/>
          <w:b w:val="0"/>
          <w:color w:val="auto"/>
          <w:sz w:val="22"/>
          <w:szCs w:val="22"/>
          <w:lang w:bidi="es-ES"/>
        </w:rPr>
        <w:t xml:space="preserve"> 61 de las 67 solicitudes inadmitidas clasificadas en el apartado “Otras Causas”, son solicitudes que la propia Agencia devolvió a la UIT Central porque la información solicitada no era de su competencia.</w:t>
      </w:r>
    </w:p>
    <w:p w:rsidR="00647481" w:rsidRDefault="00647481" w:rsidP="000D716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600FF" w:rsidRDefault="004600FF" w:rsidP="000D716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647481" w:rsidRPr="00647481" w:rsidRDefault="00647481" w:rsidP="005C4D8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="003456B5"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B01ABC" w:rsidRPr="00B01ABC" w:rsidTr="005C4D89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01ABC">
              <w:rPr>
                <w:b/>
                <w:color w:val="FFFFFF" w:themeColor="background1"/>
                <w:sz w:val="20"/>
                <w:szCs w:val="20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48,33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46,67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96,55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3,57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1F251B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97,90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103,57</w:t>
            </w:r>
          </w:p>
        </w:tc>
      </w:tr>
      <w:tr w:rsidR="00B01ABC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01ABC" w:rsidRPr="00B01ABC" w:rsidRDefault="00B01ABC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01ABC" w:rsidRPr="008648E8" w:rsidRDefault="00B01ABC" w:rsidP="005B3C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B01ABC" w:rsidRPr="00B01ABC" w:rsidRDefault="00B01ABC" w:rsidP="00B01ABC">
            <w:pPr>
              <w:jc w:val="center"/>
              <w:rPr>
                <w:sz w:val="20"/>
                <w:szCs w:val="20"/>
              </w:rPr>
            </w:pPr>
            <w:r w:rsidRPr="00B01ABC">
              <w:rPr>
                <w:sz w:val="20"/>
                <w:szCs w:val="20"/>
              </w:rPr>
              <w:t>13,04</w:t>
            </w:r>
          </w:p>
        </w:tc>
      </w:tr>
      <w:tr w:rsidR="00DD3E02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D3E02" w:rsidRPr="00B01ABC" w:rsidRDefault="00DD3E02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D3E02" w:rsidRPr="008648E8" w:rsidRDefault="00DD3E02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DD3E02" w:rsidRPr="000F09F0" w:rsidRDefault="000F09F0" w:rsidP="00B01ABC">
            <w:pPr>
              <w:jc w:val="center"/>
              <w:rPr>
                <w:sz w:val="20"/>
                <w:szCs w:val="20"/>
              </w:rPr>
            </w:pPr>
            <w:r w:rsidRPr="000F09F0">
              <w:rPr>
                <w:sz w:val="20"/>
                <w:szCs w:val="20"/>
              </w:rPr>
              <w:t>35,71</w:t>
            </w:r>
          </w:p>
        </w:tc>
      </w:tr>
      <w:tr w:rsidR="00DD3E02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D3E02" w:rsidRPr="00B01ABC" w:rsidRDefault="00DD3E02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D3E02" w:rsidRPr="008648E8" w:rsidRDefault="00DD3E02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DD3E02" w:rsidRPr="000F09F0" w:rsidRDefault="000F09F0" w:rsidP="00B01ABC">
            <w:pPr>
              <w:jc w:val="center"/>
              <w:rPr>
                <w:sz w:val="20"/>
                <w:szCs w:val="20"/>
              </w:rPr>
            </w:pPr>
            <w:r w:rsidRPr="000F09F0">
              <w:rPr>
                <w:sz w:val="20"/>
                <w:szCs w:val="20"/>
              </w:rPr>
              <w:t>67,86</w:t>
            </w:r>
          </w:p>
        </w:tc>
      </w:tr>
      <w:tr w:rsidR="00DD3E02" w:rsidRPr="00B01ABC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D3E02" w:rsidRPr="00B01ABC" w:rsidRDefault="00DD3E02" w:rsidP="0098391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D3E02" w:rsidRPr="008648E8" w:rsidRDefault="00DD3E02" w:rsidP="00983919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DD3E02" w:rsidRPr="000F09F0" w:rsidRDefault="000F09F0" w:rsidP="00B0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812AB" w:rsidRDefault="00B812AB" w:rsidP="00B812AB"/>
    <w:p w:rsidR="00055B15" w:rsidRDefault="00985C93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I</w:t>
      </w:r>
      <w:r w:rsidR="00055B15" w:rsidRPr="00A41DD5">
        <w:rPr>
          <w:rStyle w:val="Ttulo2Car"/>
          <w:color w:val="00642D"/>
          <w:lang w:bidi="es-ES"/>
        </w:rPr>
        <w:t>I.</w:t>
      </w:r>
      <w:r w:rsidR="00212664">
        <w:rPr>
          <w:rStyle w:val="Ttulo2Car"/>
          <w:color w:val="00642D"/>
          <w:lang w:bidi="es-ES"/>
        </w:rPr>
        <w:t>3</w:t>
      </w:r>
      <w:r w:rsidR="00055B15">
        <w:rPr>
          <w:rStyle w:val="Ttulo2Car"/>
          <w:color w:val="00642D"/>
          <w:lang w:bidi="es-ES"/>
        </w:rPr>
        <w:t xml:space="preserve"> </w:t>
      </w:r>
      <w:r w:rsidR="00055B15" w:rsidRPr="00055B15">
        <w:rPr>
          <w:rStyle w:val="Ttulo2Car"/>
          <w:color w:val="00642D"/>
          <w:lang w:bidi="es-ES"/>
        </w:rPr>
        <w:t>Resoluciones emitidas en 2020</w:t>
      </w:r>
    </w:p>
    <w:p w:rsidR="000D716A" w:rsidRPr="009079EA" w:rsidRDefault="00226395" w:rsidP="005C4D89">
      <w:pPr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Respecto de las r</w:t>
      </w:r>
      <w:r w:rsidR="009079EA">
        <w:rPr>
          <w:rStyle w:val="Ttulo2Car"/>
          <w:b w:val="0"/>
          <w:color w:val="auto"/>
          <w:sz w:val="22"/>
          <w:szCs w:val="22"/>
          <w:lang w:bidi="es-ES"/>
        </w:rPr>
        <w:t xml:space="preserve">esoluciones emitidas en 2020, 40 concedieron la información, </w:t>
      </w:r>
      <w:r>
        <w:rPr>
          <w:rStyle w:val="Ttulo2Car"/>
          <w:b w:val="0"/>
          <w:color w:val="auto"/>
          <w:sz w:val="22"/>
          <w:szCs w:val="22"/>
          <w:lang w:bidi="es-ES"/>
        </w:rPr>
        <w:t>de</w:t>
      </w:r>
      <w:r w:rsidR="001F790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las cuales </w:t>
      </w:r>
      <w:r w:rsidR="009079EA">
        <w:rPr>
          <w:rStyle w:val="Ttulo2Car"/>
          <w:b w:val="0"/>
          <w:color w:val="auto"/>
          <w:sz w:val="22"/>
          <w:szCs w:val="22"/>
          <w:lang w:bidi="es-ES"/>
        </w:rPr>
        <w:t xml:space="preserve">29 dieron acceso total y 11 parcial. Dos solicitudes fueron denegadas, una aplicando como causa de denegación la </w:t>
      </w:r>
      <w:r w:rsidR="009079EA" w:rsidRPr="009079EA">
        <w:rPr>
          <w:rStyle w:val="Ttulo2Car"/>
          <w:b w:val="0"/>
          <w:color w:val="auto"/>
          <w:sz w:val="22"/>
          <w:szCs w:val="22"/>
          <w:lang w:bidi="es-ES"/>
        </w:rPr>
        <w:t>prevención, investigación y sanción de los ilícitos penales, administrativos o disciplinarios</w:t>
      </w:r>
      <w:r w:rsidR="009079EA">
        <w:rPr>
          <w:rStyle w:val="Ttulo2Car"/>
          <w:b w:val="0"/>
          <w:color w:val="auto"/>
          <w:sz w:val="22"/>
          <w:szCs w:val="22"/>
          <w:lang w:bidi="es-ES"/>
        </w:rPr>
        <w:t xml:space="preserve"> y otra por afectar la solicitud a intereses económicos y comerciales. Ocho solicitudes finalizaron por desistimiento y otras causas de finalización. </w:t>
      </w:r>
    </w:p>
    <w:p w:rsidR="009079EA" w:rsidRPr="009079EA" w:rsidRDefault="009079EA" w:rsidP="001F7901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9079EA">
        <w:rPr>
          <w:rStyle w:val="Ttulo2Car"/>
          <w:b w:val="0"/>
          <w:color w:val="auto"/>
          <w:sz w:val="22"/>
          <w:szCs w:val="22"/>
          <w:lang w:bidi="es-ES"/>
        </w:rPr>
        <w:t>No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>se ha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 xml:space="preserve">localizado en la web de la AEPD, </w:t>
      </w:r>
      <w:r>
        <w:rPr>
          <w:rStyle w:val="Ttulo2Car"/>
          <w:b w:val="0"/>
          <w:color w:val="auto"/>
          <w:sz w:val="22"/>
          <w:szCs w:val="22"/>
          <w:lang w:bidi="es-ES"/>
        </w:rPr>
        <w:t>información sobre las solicitudes denegadas por aplicación de los límites del artículo 14 dela LTAIBG, tal y como establece el artículo 14.3 de la norma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 xml:space="preserve">, que obliga a la publicación de estas resoluciones previa disociación de los datos de carácter personal. </w:t>
      </w:r>
    </w:p>
    <w:p w:rsidR="00212664" w:rsidRDefault="00212664" w:rsidP="0021266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4 Indicadores de resolución en 2020 </w:t>
      </w:r>
    </w:p>
    <w:p w:rsidR="00212664" w:rsidRDefault="009079EA" w:rsidP="005C4D89">
      <w:pPr>
        <w:ind w:left="426"/>
        <w:jc w:val="both"/>
      </w:pPr>
      <w:r>
        <w:t>La AEPD emite resoluciones expresas para la totalidad de las solicitudes admitidas. Ninguna solicitud ha sido desestimada por silencio administrativo.</w:t>
      </w:r>
    </w:p>
    <w:p w:rsidR="009079EA" w:rsidRDefault="00226395" w:rsidP="005C4D89">
      <w:pPr>
        <w:ind w:left="426"/>
        <w:jc w:val="both"/>
      </w:pPr>
      <w:r>
        <w:t xml:space="preserve">Un 80% de las </w:t>
      </w:r>
      <w:r w:rsidR="00A26009">
        <w:t>Resoluciones concede el acceso a la información. De ellas</w:t>
      </w:r>
      <w:r w:rsidR="00901D97">
        <w:t>,</w:t>
      </w:r>
      <w:r w:rsidR="00A26009">
        <w:t xml:space="preserve"> el 72,5% concede acceso total y el 27,5% acceso parcial. Un 4% deniega la información y el 16% adicional, determina la finalización del procedimiento por desistimiento y otras causas.</w:t>
      </w:r>
    </w:p>
    <w:p w:rsidR="009079EA" w:rsidRPr="009079EA" w:rsidRDefault="009079EA" w:rsidP="005C4D8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="003456B5"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900ADF">
        <w:rPr>
          <w:rStyle w:val="Ttulo2Car"/>
          <w:b/>
          <w:color w:val="00642D"/>
          <w:sz w:val="22"/>
          <w:szCs w:val="22"/>
          <w:lang w:bidi="es-ES"/>
        </w:rPr>
        <w:t xml:space="preserve"> 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5B3C15" w:rsidRPr="00706E04" w:rsidTr="005C4D89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CF2D87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Tasa de resolución</w:t>
            </w:r>
            <w:r w:rsidR="00815659" w:rsidRPr="008648E8">
              <w:rPr>
                <w:sz w:val="20"/>
                <w:szCs w:val="20"/>
              </w:rPr>
              <w:t xml:space="preserve"> </w:t>
            </w:r>
            <w:r w:rsidRPr="008648E8">
              <w:rPr>
                <w:sz w:val="20"/>
                <w:szCs w:val="20"/>
              </w:rPr>
              <w:t xml:space="preserve">(resoluciones expresas /solicitudes </w:t>
            </w:r>
            <w:r w:rsidR="00CF2D87" w:rsidRPr="008648E8">
              <w:rPr>
                <w:sz w:val="20"/>
                <w:szCs w:val="20"/>
              </w:rPr>
              <w:t>admitidas</w:t>
            </w:r>
            <w:r w:rsidRPr="008648E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B3C15" w:rsidRPr="00985C93" w:rsidRDefault="00CF2D87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6B20DC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 xml:space="preserve">Porcentaje de </w:t>
            </w:r>
            <w:r w:rsidR="006B20DC" w:rsidRPr="008648E8">
              <w:rPr>
                <w:sz w:val="20"/>
                <w:szCs w:val="20"/>
              </w:rPr>
              <w:t>resoluciones</w:t>
            </w:r>
            <w:r w:rsidRPr="008648E8">
              <w:rPr>
                <w:sz w:val="20"/>
                <w:szCs w:val="20"/>
              </w:rPr>
              <w:t xml:space="preserve"> </w:t>
            </w:r>
            <w:r w:rsidR="00C0787B" w:rsidRPr="008648E8">
              <w:rPr>
                <w:sz w:val="20"/>
                <w:szCs w:val="20"/>
              </w:rPr>
              <w:t>que conceden el acceso</w:t>
            </w:r>
          </w:p>
        </w:tc>
        <w:tc>
          <w:tcPr>
            <w:tcW w:w="1559" w:type="dxa"/>
            <w:vAlign w:val="center"/>
          </w:tcPr>
          <w:p w:rsidR="005B3C15" w:rsidRPr="00985C93" w:rsidRDefault="00985C93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5B3C15" w:rsidRPr="00985C93" w:rsidRDefault="00985C93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5B3C15" w:rsidRPr="00985C93" w:rsidRDefault="00985C93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5B3C15" w:rsidRPr="00985C93" w:rsidRDefault="00985C93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5B3C15" w:rsidRPr="00985C93" w:rsidRDefault="00985C93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3C15" w:rsidRPr="00706E04" w:rsidTr="005C4D89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B3C15" w:rsidRPr="005B3C15" w:rsidRDefault="005B3C15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B3C15" w:rsidRPr="008648E8" w:rsidRDefault="005B3C15" w:rsidP="00055B15">
            <w:pPr>
              <w:rPr>
                <w:sz w:val="20"/>
                <w:szCs w:val="20"/>
              </w:rPr>
            </w:pPr>
            <w:r w:rsidRPr="008648E8">
              <w:rPr>
                <w:sz w:val="20"/>
                <w:szCs w:val="20"/>
              </w:rPr>
              <w:t>Porcentaje de resoluciones finalizadas por desistimiento y otras causas</w:t>
            </w:r>
          </w:p>
        </w:tc>
        <w:tc>
          <w:tcPr>
            <w:tcW w:w="1559" w:type="dxa"/>
            <w:vAlign w:val="center"/>
          </w:tcPr>
          <w:p w:rsidR="005B3C15" w:rsidRPr="00985C93" w:rsidRDefault="00CF2D87" w:rsidP="0005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</w:tbl>
    <w:p w:rsidR="00055B15" w:rsidRDefault="00055B15" w:rsidP="00B812AB"/>
    <w:p w:rsidR="004600FF" w:rsidRDefault="004600FF" w:rsidP="00B812AB"/>
    <w:p w:rsidR="00FA5FDE" w:rsidRDefault="00FA5FDE" w:rsidP="00B812AB"/>
    <w:p w:rsidR="00B812AB" w:rsidRPr="00E34195" w:rsidRDefault="00AD5CC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A26009">
            <w:rPr>
              <w:rFonts w:ascii="Century Gothic" w:hAnsi="Century Gothic"/>
              <w:color w:val="00642D"/>
              <w:sz w:val="30"/>
              <w:szCs w:val="30"/>
            </w:rPr>
            <w:t>Ejercicio del derech</w:t>
          </w:r>
          <w:r w:rsidR="005C4D89">
            <w:rPr>
              <w:rFonts w:ascii="Century Gothic" w:hAnsi="Century Gothic"/>
              <w:color w:val="00642D"/>
              <w:sz w:val="30"/>
              <w:szCs w:val="30"/>
            </w:rPr>
            <w:t>o</w:t>
          </w:r>
          <w:r w:rsidR="00A26009">
            <w:rPr>
              <w:rFonts w:ascii="Century Gothic" w:hAnsi="Century Gothic"/>
              <w:color w:val="00642D"/>
              <w:sz w:val="30"/>
              <w:szCs w:val="30"/>
            </w:rPr>
            <w:t xml:space="preserve"> de acceso a la información pública</w:t>
          </w:r>
        </w:sdtContent>
      </w:sdt>
    </w:p>
    <w:p w:rsidR="005C4D89" w:rsidRDefault="005C4D89" w:rsidP="005C4D89">
      <w:pPr>
        <w:ind w:left="426"/>
        <w:rPr>
          <w:rStyle w:val="Ttulo2Car"/>
          <w:color w:val="00642D"/>
          <w:lang w:bidi="es-ES"/>
        </w:rPr>
      </w:pPr>
    </w:p>
    <w:p w:rsidR="00A26009" w:rsidRDefault="00A26009" w:rsidP="005C4D89">
      <w:pPr>
        <w:ind w:left="426"/>
        <w:rPr>
          <w:rStyle w:val="Ttulo2Car"/>
          <w:color w:val="00642D"/>
          <w:lang w:bidi="es-ES"/>
        </w:rPr>
      </w:pPr>
      <w:r w:rsidRPr="00A26009">
        <w:rPr>
          <w:rStyle w:val="Ttulo2Car"/>
          <w:color w:val="00642D"/>
          <w:lang w:bidi="es-ES"/>
        </w:rPr>
        <w:t>III.1</w:t>
      </w:r>
      <w:r w:rsidRPr="00A26009">
        <w:t xml:space="preserve"> </w:t>
      </w:r>
      <w:r w:rsidRPr="00A26009">
        <w:rPr>
          <w:rStyle w:val="Ttulo2Car"/>
          <w:color w:val="00642D"/>
          <w:lang w:bidi="es-ES"/>
        </w:rPr>
        <w:t xml:space="preserve">Localización de la información y facilidad de acceso </w:t>
      </w:r>
    </w:p>
    <w:p w:rsidR="00A26009" w:rsidRDefault="00A26009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A26009">
        <w:rPr>
          <w:rStyle w:val="Ttulo2Car"/>
          <w:b w:val="0"/>
          <w:color w:val="auto"/>
          <w:sz w:val="22"/>
          <w:szCs w:val="22"/>
          <w:lang w:bidi="es-ES"/>
        </w:rPr>
        <w:t>No se ha localizado ningún espacio específico en la web, el Portal de Transparencia ni en la sede electrónica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de</w:t>
      </w:r>
      <w:r w:rsidR="0022639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 xml:space="preserve">la AEPD,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dedicado al ejercicio del derecho de acceso a la información pública. </w:t>
      </w:r>
    </w:p>
    <w:p w:rsidR="00A26009" w:rsidRDefault="00340AD6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340AD6">
        <w:rPr>
          <w:rStyle w:val="Ttulo2Car"/>
          <w:b w:val="0"/>
          <w:color w:val="auto"/>
          <w:sz w:val="22"/>
          <w:szCs w:val="22"/>
          <w:lang w:bidi="es-ES"/>
        </w:rPr>
        <w:t xml:space="preserve">Tampoco la 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>AEPD hace referencia expresa en ningún espacio de su web institucional</w:t>
      </w:r>
      <w:r w:rsidR="00900ADF">
        <w:rPr>
          <w:rStyle w:val="Ttulo2Car"/>
          <w:b w:val="0"/>
          <w:color w:val="auto"/>
          <w:sz w:val="22"/>
          <w:szCs w:val="22"/>
          <w:lang w:bidi="es-ES"/>
        </w:rPr>
        <w:t xml:space="preserve">  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>a</w:t>
      </w:r>
      <w:r w:rsidR="00A26009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la posibilidad</w:t>
      </w:r>
      <w:r w:rsidR="00900ADF">
        <w:rPr>
          <w:rStyle w:val="Ttulo2Car"/>
          <w:b w:val="0"/>
          <w:color w:val="auto"/>
          <w:sz w:val="22"/>
          <w:szCs w:val="22"/>
          <w:lang w:bidi="es-ES"/>
        </w:rPr>
        <w:t xml:space="preserve">  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 xml:space="preserve">que tiene la ciudadanía </w:t>
      </w:r>
      <w:r w:rsidR="00A26009" w:rsidRPr="00A26009">
        <w:rPr>
          <w:rStyle w:val="Ttulo2Car"/>
          <w:b w:val="0"/>
          <w:color w:val="auto"/>
          <w:sz w:val="22"/>
          <w:szCs w:val="22"/>
          <w:lang w:bidi="es-ES"/>
        </w:rPr>
        <w:t>de solicitar información pública de acuerdo con la Ley de Transparencia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A26009" w:rsidRPr="00A26009" w:rsidRDefault="00340AD6" w:rsidP="005C4D8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 xml:space="preserve">n consecuencia,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 xml:space="preserve">se informa de los medios habilitados ni </w:t>
      </w:r>
      <w:r w:rsidR="00901D97">
        <w:rPr>
          <w:rStyle w:val="Ttulo2Car"/>
          <w:b w:val="0"/>
          <w:color w:val="auto"/>
          <w:sz w:val="22"/>
          <w:szCs w:val="22"/>
          <w:lang w:bidi="es-ES"/>
        </w:rPr>
        <w:t>de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 xml:space="preserve"> los requisitos necesarios para presentar una solicitud. Como es obvio tampoco se proporcionan, instrucciones, ayudas y demás información facilitadora </w:t>
      </w:r>
      <w:r w:rsidR="005C4D89">
        <w:rPr>
          <w:rStyle w:val="Ttulo2Car"/>
          <w:b w:val="0"/>
          <w:color w:val="auto"/>
          <w:sz w:val="22"/>
          <w:szCs w:val="22"/>
          <w:lang w:bidi="es-ES"/>
        </w:rPr>
        <w:t>del ejercicio del derecho.</w:t>
      </w:r>
      <w:r w:rsidR="00A2600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6B20DC" w:rsidRDefault="005C4D89" w:rsidP="005C4D89">
      <w:pPr>
        <w:ind w:left="426"/>
      </w:pPr>
      <w:r>
        <w:rPr>
          <w:rStyle w:val="Ttulo2Car"/>
          <w:b w:val="0"/>
          <w:color w:val="auto"/>
          <w:sz w:val="22"/>
          <w:szCs w:val="22"/>
          <w:lang w:bidi="es-ES"/>
        </w:rPr>
        <w:t>Sólo e</w:t>
      </w:r>
      <w:r w:rsidR="006B20DC" w:rsidRPr="006B20DC">
        <w:rPr>
          <w:rStyle w:val="Ttulo2Car"/>
          <w:b w:val="0"/>
          <w:color w:val="auto"/>
          <w:sz w:val="22"/>
          <w:szCs w:val="22"/>
          <w:lang w:bidi="es-ES"/>
        </w:rPr>
        <w:t>n el Portal de Transparencia</w:t>
      </w:r>
      <w:r w:rsidR="006B20DC">
        <w:rPr>
          <w:b/>
          <w:color w:val="00642D"/>
          <w:sz w:val="30"/>
          <w:szCs w:val="30"/>
        </w:rPr>
        <w:t xml:space="preserve"> </w:t>
      </w:r>
      <w:r w:rsidR="006B20DC" w:rsidRPr="006B20DC">
        <w:t>de la AGE</w:t>
      </w:r>
      <w:r w:rsidR="006B20DC">
        <w:t>, se ha localizado información de contacto con la UIT de la AEPD. También se proporciona una dirección de correo electrónico de esta UIT.</w:t>
      </w:r>
    </w:p>
    <w:p w:rsidR="00932008" w:rsidRDefault="00E3088D" w:rsidP="005C4D89">
      <w:pPr>
        <w:pStyle w:val="Cuerpodelboletn"/>
        <w:spacing w:before="120" w:after="120" w:line="312" w:lineRule="auto"/>
        <w:rPr>
          <w:b/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  <w:r w:rsidR="005C4D89" w:rsidRPr="005C4D89">
        <w:rPr>
          <w:b/>
          <w:color w:val="00642D"/>
          <w:lang w:bidi="es-ES"/>
        </w:rPr>
        <w:t>III.1 Gestión de las solicitudes de acceso</w:t>
      </w:r>
    </w:p>
    <w:p w:rsidR="001276B2" w:rsidRDefault="001276B2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5C4D89" w:rsidRDefault="005C4D89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>1</w:t>
      </w:r>
      <w:r w:rsidR="00AD49C7">
        <w:rPr>
          <w:color w:val="auto"/>
          <w:lang w:bidi="es-ES"/>
        </w:rPr>
        <w:t>8</w:t>
      </w:r>
      <w:r>
        <w:rPr>
          <w:color w:val="auto"/>
          <w:lang w:bidi="es-ES"/>
        </w:rPr>
        <w:t xml:space="preserve">/02/2021 </w:t>
      </w:r>
      <w:r w:rsidR="00E1207B">
        <w:rPr>
          <w:color w:val="auto"/>
          <w:lang w:bidi="es-ES"/>
        </w:rPr>
        <w:t xml:space="preserve">se presentó por </w:t>
      </w:r>
      <w:r w:rsidR="00AD49C7">
        <w:rPr>
          <w:color w:val="auto"/>
          <w:lang w:bidi="es-ES"/>
        </w:rPr>
        <w:t>correo electrónico</w:t>
      </w:r>
      <w:r w:rsidR="00E1207B">
        <w:rPr>
          <w:color w:val="auto"/>
          <w:lang w:bidi="es-ES"/>
        </w:rPr>
        <w:t xml:space="preserve"> una solicitud de acceso a información pública dirigida a la AEPD. La información solicitada presentaba una incidencia – no indicaba el periodo de tiempo al que se refería la información demandada – y se indicaba en la solicitud que la información se entregase en </w:t>
      </w:r>
      <w:r w:rsidR="001276B2">
        <w:rPr>
          <w:color w:val="auto"/>
          <w:lang w:bidi="es-ES"/>
        </w:rPr>
        <w:t xml:space="preserve">un formato que permitiese su tratamiento automatizado. </w:t>
      </w:r>
    </w:p>
    <w:p w:rsidR="001276B2" w:rsidRDefault="001276B2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AD49C7">
        <w:rPr>
          <w:color w:val="auto"/>
          <w:u w:val="single"/>
          <w:lang w:bidi="es-ES"/>
        </w:rPr>
        <w:t>No se recibió un acuse de recibo</w:t>
      </w:r>
      <w:r w:rsidRPr="00AD49C7">
        <w:rPr>
          <w:color w:val="auto"/>
          <w:lang w:bidi="es-ES"/>
        </w:rPr>
        <w:t xml:space="preserve"> o comunicación al solicitante de la recepción de la solicitud de información.</w:t>
      </w:r>
      <w:r>
        <w:rPr>
          <w:color w:val="auto"/>
          <w:lang w:bidi="es-ES"/>
        </w:rPr>
        <w:t xml:space="preserve"> </w:t>
      </w:r>
    </w:p>
    <w:p w:rsidR="001276B2" w:rsidRDefault="001276B2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276B2" w:rsidRDefault="001276B2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19/02/2021 se recibe una comunicación de inicio de la tramitación de la solicitud. </w:t>
      </w:r>
    </w:p>
    <w:p w:rsidR="001276B2" w:rsidRDefault="001276B2" w:rsidP="005C4D8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color w:val="auto"/>
          <w:u w:val="single"/>
          <w:lang w:bidi="es-ES"/>
        </w:rPr>
        <w:t xml:space="preserve">No se </w:t>
      </w:r>
      <w:r w:rsidR="00901D97">
        <w:rPr>
          <w:color w:val="auto"/>
          <w:u w:val="single"/>
          <w:lang w:bidi="es-ES"/>
        </w:rPr>
        <w:t>ha solicitado</w:t>
      </w:r>
      <w:r w:rsidRPr="001276B2">
        <w:rPr>
          <w:color w:val="auto"/>
          <w:u w:val="single"/>
          <w:lang w:bidi="es-ES"/>
        </w:rPr>
        <w:t xml:space="preserve"> subsanación</w:t>
      </w:r>
      <w:r>
        <w:rPr>
          <w:color w:val="auto"/>
          <w:lang w:bidi="es-ES"/>
        </w:rPr>
        <w:t xml:space="preserve"> a pesar de que</w:t>
      </w:r>
      <w:r w:rsidR="001C3D02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como se ha indicado, no se especificaba el periodo de tiempo al que se refería la información.</w:t>
      </w:r>
    </w:p>
    <w:p w:rsidR="001276B2" w:rsidRDefault="001276B2" w:rsidP="001276B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1276B2" w:rsidRDefault="00340AD6" w:rsidP="001276B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dicta r</w:t>
      </w:r>
      <w:r w:rsidR="001276B2">
        <w:rPr>
          <w:color w:val="auto"/>
          <w:lang w:bidi="es-ES"/>
        </w:rPr>
        <w:t>esolución expresa con fecha 09/03/2021 – por lo tanto dentro de plazo – firmada por la Directora de la AEPD.</w:t>
      </w:r>
    </w:p>
    <w:p w:rsidR="001276B2" w:rsidRDefault="001276B2" w:rsidP="001276B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motivada</w:t>
      </w:r>
      <w:r w:rsidR="00FA1EC0">
        <w:rPr>
          <w:color w:val="auto"/>
          <w:lang w:bidi="es-ES"/>
        </w:rPr>
        <w:t>.</w:t>
      </w:r>
    </w:p>
    <w:p w:rsidR="007C6E45" w:rsidRDefault="001276B2" w:rsidP="007C6E45">
      <w:pPr>
        <w:pStyle w:val="Prrafodelista"/>
        <w:numPr>
          <w:ilvl w:val="0"/>
          <w:numId w:val="5"/>
        </w:numPr>
        <w:jc w:val="both"/>
      </w:pPr>
      <w:r>
        <w:rPr>
          <w:lang w:bidi="es-ES"/>
        </w:rPr>
        <w:t xml:space="preserve">La </w:t>
      </w:r>
      <w:r w:rsidR="00340AD6">
        <w:rPr>
          <w:lang w:bidi="es-ES"/>
        </w:rPr>
        <w:t>r</w:t>
      </w:r>
      <w:r>
        <w:rPr>
          <w:lang w:bidi="es-ES"/>
        </w:rPr>
        <w:t xml:space="preserve">esolución no responde a la totalidad </w:t>
      </w:r>
      <w:r w:rsidR="007C6E45">
        <w:rPr>
          <w:lang w:bidi="es-ES"/>
        </w:rPr>
        <w:t xml:space="preserve">de la información solicitada. No obstante, </w:t>
      </w:r>
      <w:r w:rsidR="00901D97">
        <w:rPr>
          <w:lang w:bidi="es-ES"/>
        </w:rPr>
        <w:t xml:space="preserve">en ella </w:t>
      </w:r>
      <w:r w:rsidR="007C6E45">
        <w:rPr>
          <w:lang w:bidi="es-ES"/>
        </w:rPr>
        <w:t xml:space="preserve">se indica </w:t>
      </w:r>
      <w:r w:rsidR="007C6E45">
        <w:t>que la tramitación de las solicitudes de acceso se efectúa mediante GESAT</w:t>
      </w:r>
      <w:r w:rsidR="00900ADF">
        <w:t xml:space="preserve">  </w:t>
      </w:r>
      <w:r w:rsidR="007C6E45">
        <w:t xml:space="preserve">y que con la finalidad de evitar una acción de reelaboración se proporciona la información que figura en GESAT que no recoge uno de los datos </w:t>
      </w:r>
      <w:r w:rsidR="00901D97">
        <w:t>requeridos</w:t>
      </w:r>
      <w:r w:rsidR="007C6E45">
        <w:t xml:space="preserve">. </w:t>
      </w:r>
    </w:p>
    <w:p w:rsidR="001276B2" w:rsidRDefault="007C6E45" w:rsidP="007C6E45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 w:rsidRPr="007C6E45">
        <w:rPr>
          <w:color w:val="auto"/>
          <w:lang w:bidi="es-ES"/>
        </w:rPr>
        <w:lastRenderedPageBreak/>
        <w:t xml:space="preserve">La resolución es clara, comprensible y </w:t>
      </w:r>
      <w:r>
        <w:rPr>
          <w:color w:val="auto"/>
          <w:lang w:bidi="es-ES"/>
        </w:rPr>
        <w:t xml:space="preserve">está </w:t>
      </w:r>
      <w:r w:rsidRPr="007C6E45">
        <w:rPr>
          <w:color w:val="auto"/>
          <w:lang w:bidi="es-ES"/>
        </w:rPr>
        <w:t>estructurada con antecedentes de hecho, los fundamentos de derecho y la decisión adoptada</w:t>
      </w:r>
      <w:r>
        <w:rPr>
          <w:color w:val="auto"/>
          <w:lang w:bidi="es-ES"/>
        </w:rPr>
        <w:t>.</w:t>
      </w:r>
    </w:p>
    <w:p w:rsidR="007C6E45" w:rsidRDefault="007C6E45" w:rsidP="007C6E45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Incluye</w:t>
      </w:r>
      <w:r w:rsidRPr="007C6E45">
        <w:rPr>
          <w:color w:val="auto"/>
          <w:lang w:bidi="es-ES"/>
        </w:rPr>
        <w:t xml:space="preserve"> pie de recurso indicando que pone fin a la vía administrativa, los recursos que pueden interponerse, el órgano competente para resolverlos y el plazo para su interposición. </w:t>
      </w:r>
    </w:p>
    <w:p w:rsidR="007C6E45" w:rsidRDefault="007C6E45" w:rsidP="00340AD6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</w:t>
      </w:r>
      <w:r w:rsidR="00340AD6">
        <w:rPr>
          <w:color w:val="auto"/>
          <w:lang w:bidi="es-ES"/>
        </w:rPr>
        <w:t>r</w:t>
      </w:r>
      <w:r>
        <w:rPr>
          <w:color w:val="auto"/>
          <w:lang w:bidi="es-ES"/>
        </w:rPr>
        <w:t xml:space="preserve">esolución se notifica en formato electrónico, lo que es coherente </w:t>
      </w:r>
      <w:r w:rsidR="00340AD6" w:rsidRPr="00340AD6">
        <w:rPr>
          <w:color w:val="auto"/>
          <w:lang w:bidi="es-ES"/>
        </w:rPr>
        <w:t xml:space="preserve">con la opción elegida por el interesado y concuerda </w:t>
      </w:r>
      <w:r w:rsidR="00340AD6">
        <w:rPr>
          <w:color w:val="auto"/>
          <w:lang w:bidi="es-ES"/>
        </w:rPr>
        <w:t>con</w:t>
      </w:r>
      <w:r w:rsidR="00900ADF">
        <w:rPr>
          <w:color w:val="auto"/>
          <w:lang w:bidi="es-ES"/>
        </w:rPr>
        <w:t xml:space="preserve">  </w:t>
      </w:r>
      <w:r w:rsidR="00340AD6" w:rsidRPr="00340AD6">
        <w:rPr>
          <w:color w:val="auto"/>
          <w:lang w:bidi="es-ES"/>
        </w:rPr>
        <w:t xml:space="preserve">la forma </w:t>
      </w:r>
      <w:r w:rsidR="00226395">
        <w:rPr>
          <w:color w:val="auto"/>
          <w:lang w:bidi="es-ES"/>
        </w:rPr>
        <w:t>de presentación de la solicitud</w:t>
      </w:r>
      <w:r>
        <w:rPr>
          <w:color w:val="auto"/>
          <w:lang w:bidi="es-ES"/>
        </w:rPr>
        <w:t>.</w:t>
      </w:r>
    </w:p>
    <w:p w:rsidR="007C6E45" w:rsidRDefault="007C6E45" w:rsidP="007C6E45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facilita el acceso a la información en el momento de la notificación de la resolución y en el formato solicitado.</w:t>
      </w:r>
    </w:p>
    <w:p w:rsidR="007C6E45" w:rsidRPr="005C4D89" w:rsidRDefault="007C6E45" w:rsidP="007C6E45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Dado que no se había especificado el periodo de tiempo al que se refería la solicitud</w:t>
      </w:r>
      <w:r w:rsidR="00340AD6">
        <w:rPr>
          <w:color w:val="auto"/>
          <w:lang w:bidi="es-ES"/>
        </w:rPr>
        <w:t xml:space="preserve"> y no se ha solicitado subsanación, </w:t>
      </w:r>
      <w:r>
        <w:rPr>
          <w:color w:val="auto"/>
          <w:lang w:bidi="es-ES"/>
        </w:rPr>
        <w:t>la AEPD opta por proporcionarla para el periodo 2014-2021</w:t>
      </w:r>
    </w:p>
    <w:p w:rsidR="005C4D89" w:rsidRDefault="005C4D89" w:rsidP="005C4D89">
      <w:pPr>
        <w:pStyle w:val="Cuerpodelboletn"/>
        <w:spacing w:before="120" w:after="120" w:line="312" w:lineRule="auto"/>
        <w:rPr>
          <w:rStyle w:val="Ttulo2Car"/>
          <w:b w:val="0"/>
          <w:color w:val="00642D"/>
          <w:lang w:bidi="es-ES"/>
        </w:rPr>
      </w:pPr>
    </w:p>
    <w:p w:rsidR="00256215" w:rsidRPr="00256215" w:rsidRDefault="00AD5CCC" w:rsidP="00256215">
      <w:pPr>
        <w:pStyle w:val="Cuerpodelboletn"/>
        <w:spacing w:before="120" w:after="120" w:line="312" w:lineRule="auto"/>
        <w:ind w:left="709"/>
        <w:rPr>
          <w:b/>
          <w:color w:val="00642D"/>
          <w:sz w:val="32"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19174856"/>
          <w:placeholder>
            <w:docPart w:val="0D1B12810E674B789E9273833A80B3B3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IV. </w:t>
          </w:r>
          <w:r w:rsidR="00256215"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56215" w:rsidRDefault="007C6E45" w:rsidP="00901D97">
      <w:pPr>
        <w:pStyle w:val="Cuerpodelboletn"/>
        <w:spacing w:line="276" w:lineRule="auto"/>
        <w:ind w:left="426"/>
        <w:rPr>
          <w:color w:val="auto"/>
        </w:rPr>
      </w:pPr>
      <w:r>
        <w:rPr>
          <w:color w:val="auto"/>
        </w:rPr>
        <w:t>El CTBG ha recibido</w:t>
      </w:r>
      <w:r w:rsidR="00AD5CCC">
        <w:rPr>
          <w:color w:val="auto"/>
        </w:rPr>
        <w:t xml:space="preserve"> </w:t>
      </w:r>
      <w:bookmarkStart w:id="0" w:name="_GoBack"/>
      <w:r w:rsidR="00AD5CCC">
        <w:rPr>
          <w:color w:val="auto"/>
        </w:rPr>
        <w:t>en el periodo 2015-2020,</w:t>
      </w:r>
      <w:bookmarkEnd w:id="0"/>
      <w:r>
        <w:rPr>
          <w:color w:val="auto"/>
        </w:rPr>
        <w:t xml:space="preserve"> un total de 31</w:t>
      </w:r>
      <w:r w:rsidR="003456B5">
        <w:rPr>
          <w:color w:val="auto"/>
        </w:rPr>
        <w:t xml:space="preserve"> </w:t>
      </w:r>
      <w:r>
        <w:rPr>
          <w:color w:val="auto"/>
        </w:rPr>
        <w:t>reclamaciones contra resoluciones de la AEPD</w:t>
      </w:r>
      <w:r w:rsidR="00226395">
        <w:rPr>
          <w:color w:val="auto"/>
        </w:rPr>
        <w:t xml:space="preserve"> en materia de acceso a la información pública</w:t>
      </w:r>
      <w:r>
        <w:rPr>
          <w:color w:val="auto"/>
        </w:rPr>
        <w:t>. De éstas</w:t>
      </w:r>
      <w:r w:rsidR="00226395">
        <w:rPr>
          <w:color w:val="auto"/>
        </w:rPr>
        <w:t>,</w:t>
      </w:r>
      <w:r>
        <w:rPr>
          <w:color w:val="auto"/>
        </w:rPr>
        <w:t xml:space="preserve"> </w:t>
      </w:r>
      <w:r w:rsidR="003456B5">
        <w:rPr>
          <w:color w:val="auto"/>
        </w:rPr>
        <w:t>13 fueron estimadas – una de ellas parcialmente y en otras 6 la AEPD concedió la información antes de finalizar el procedimiento de reclamación -. Otras 13 fueron desestimadas, 2 inadmitidas y 3 archivadas.</w:t>
      </w:r>
    </w:p>
    <w:p w:rsidR="003456B5" w:rsidRDefault="003456B5" w:rsidP="00901D97">
      <w:pPr>
        <w:pStyle w:val="Cuerpodelboletn"/>
        <w:spacing w:line="276" w:lineRule="auto"/>
        <w:ind w:left="426"/>
        <w:rPr>
          <w:color w:val="auto"/>
        </w:rPr>
      </w:pPr>
      <w:r>
        <w:rPr>
          <w:color w:val="auto"/>
        </w:rPr>
        <w:t>Por lo tanto, de las 26 reclamaciones admitidas a trámite</w:t>
      </w:r>
      <w:r w:rsidR="00226395">
        <w:rPr>
          <w:color w:val="auto"/>
        </w:rPr>
        <w:t>,</w:t>
      </w:r>
      <w:r>
        <w:rPr>
          <w:color w:val="auto"/>
        </w:rPr>
        <w:t xml:space="preserve"> un 50% </w:t>
      </w:r>
      <w:r w:rsidR="00AE1AEC">
        <w:rPr>
          <w:color w:val="auto"/>
        </w:rPr>
        <w:t>han sido</w:t>
      </w:r>
      <w:r>
        <w:rPr>
          <w:color w:val="auto"/>
        </w:rPr>
        <w:t xml:space="preserve"> favorables a la entidad y la misma</w:t>
      </w:r>
      <w:r w:rsidR="00900ADF">
        <w:rPr>
          <w:color w:val="auto"/>
        </w:rPr>
        <w:t xml:space="preserve">  </w:t>
      </w:r>
      <w:r>
        <w:rPr>
          <w:color w:val="auto"/>
        </w:rPr>
        <w:t xml:space="preserve">proporción a los reclamantes. </w:t>
      </w:r>
    </w:p>
    <w:p w:rsidR="003456B5" w:rsidRDefault="003456B5" w:rsidP="00901D97">
      <w:pPr>
        <w:pStyle w:val="Cuerpodelboletn"/>
        <w:spacing w:line="276" w:lineRule="auto"/>
        <w:ind w:left="426"/>
        <w:rPr>
          <w:color w:val="auto"/>
        </w:rPr>
      </w:pPr>
      <w:r>
        <w:rPr>
          <w:color w:val="auto"/>
        </w:rPr>
        <w:t xml:space="preserve">La AEPD </w:t>
      </w:r>
      <w:r w:rsidR="00AE1AEC">
        <w:rPr>
          <w:color w:val="auto"/>
        </w:rPr>
        <w:t>ha presentado</w:t>
      </w:r>
      <w:r>
        <w:rPr>
          <w:color w:val="auto"/>
        </w:rPr>
        <w:t xml:space="preserve"> </w:t>
      </w:r>
      <w:r w:rsidR="00226395">
        <w:rPr>
          <w:color w:val="auto"/>
        </w:rPr>
        <w:t>recurso contencioso-a</w:t>
      </w:r>
      <w:r>
        <w:rPr>
          <w:color w:val="auto"/>
        </w:rPr>
        <w:t>dministrativo contra u</w:t>
      </w:r>
      <w:r w:rsidR="00AE1AEC">
        <w:rPr>
          <w:color w:val="auto"/>
        </w:rPr>
        <w:t xml:space="preserve">na de las </w:t>
      </w:r>
      <w:r w:rsidR="00226395">
        <w:rPr>
          <w:color w:val="auto"/>
        </w:rPr>
        <w:t>r</w:t>
      </w:r>
      <w:r w:rsidR="00AE1AEC">
        <w:rPr>
          <w:color w:val="auto"/>
        </w:rPr>
        <w:t>esoluciones del CTBG, lo que sitúa l</w:t>
      </w:r>
      <w:r>
        <w:rPr>
          <w:color w:val="auto"/>
        </w:rPr>
        <w:t>a tasa de litigiosidad en el 7,7%. El re</w:t>
      </w:r>
      <w:r w:rsidR="00AE1AEC">
        <w:rPr>
          <w:color w:val="auto"/>
        </w:rPr>
        <w:t>curso finalmente se resolvió me</w:t>
      </w:r>
      <w:r>
        <w:rPr>
          <w:color w:val="auto"/>
        </w:rPr>
        <w:t>diante sentencia favorable al CTBG</w:t>
      </w:r>
      <w:r w:rsidR="00226395">
        <w:rPr>
          <w:color w:val="auto"/>
        </w:rPr>
        <w:t xml:space="preserve"> que ha adquirido firmeza</w:t>
      </w:r>
      <w:r>
        <w:rPr>
          <w:color w:val="auto"/>
        </w:rPr>
        <w:t xml:space="preserve">. </w:t>
      </w:r>
    </w:p>
    <w:p w:rsidR="003456B5" w:rsidRPr="003456B5" w:rsidRDefault="003456B5" w:rsidP="007E164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3456B5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t>3</w:t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3456B5">
        <w:rPr>
          <w:rStyle w:val="Ttulo2Car"/>
          <w:b/>
          <w:color w:val="00642D"/>
          <w:sz w:val="22"/>
          <w:szCs w:val="22"/>
          <w:lang w:bidi="es-ES"/>
        </w:rPr>
        <w:t>: Reclamaciones ante el Consejo de Transparencia y Buen Gobierno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AD49C7" w:rsidRPr="0048443D" w:rsidTr="00BA26B1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AD49C7" w:rsidRPr="0048443D" w:rsidRDefault="00AD49C7" w:rsidP="00BA26B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D49C7" w:rsidRPr="0048443D" w:rsidTr="00BA26B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D49C7" w:rsidRPr="0048443D" w:rsidTr="00BA26B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49C7" w:rsidRPr="0048443D" w:rsidTr="00BA26B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D49C7" w:rsidRPr="0048443D" w:rsidTr="00BA26B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49C7" w:rsidRPr="0048443D" w:rsidTr="00BA26B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49C7" w:rsidRPr="0048443D" w:rsidTr="00BA26B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AD49C7" w:rsidRPr="0048443D" w:rsidTr="00BA26B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49C7" w:rsidRPr="0048443D" w:rsidTr="00BA26B1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D49C7" w:rsidRPr="0048443D" w:rsidTr="00BA26B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</w:p>
        </w:tc>
      </w:tr>
      <w:tr w:rsidR="00AD49C7" w:rsidRPr="0048443D" w:rsidTr="00BA26B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D49C7" w:rsidRPr="0048443D" w:rsidRDefault="00AD49C7" w:rsidP="00BA26B1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D49C7" w:rsidRPr="0048443D" w:rsidRDefault="00AD49C7" w:rsidP="00BA26B1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D49C7" w:rsidRPr="0048443D" w:rsidRDefault="00AD49C7" w:rsidP="00BA2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9C7" w:rsidRDefault="00AD49C7" w:rsidP="00256215">
      <w:pPr>
        <w:pStyle w:val="Cuerpodelboletn"/>
        <w:rPr>
          <w:b/>
          <w:color w:val="00642D"/>
          <w:sz w:val="30"/>
          <w:szCs w:val="30"/>
        </w:rPr>
      </w:pPr>
    </w:p>
    <w:p w:rsidR="00CC4737" w:rsidRDefault="00CC4737" w:rsidP="00256215">
      <w:pPr>
        <w:pStyle w:val="Cuerpodelboletn"/>
        <w:rPr>
          <w:b/>
          <w:color w:val="00642D"/>
          <w:sz w:val="30"/>
          <w:szCs w:val="30"/>
        </w:rPr>
      </w:pPr>
    </w:p>
    <w:p w:rsidR="00CC4737" w:rsidRDefault="00CC4737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AD5CC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56215" w:rsidRDefault="00AE1AEC" w:rsidP="00AE1AEC">
      <w:pPr>
        <w:ind w:left="426"/>
        <w:jc w:val="both"/>
      </w:pPr>
      <w:r>
        <w:t>La gestión de las solicitudes de acceso a la información pública por parte de la AEPD presenta algunas buenas prácticas que serían aplicables por otras organizaciones públicas. Así cabe destacar:</w:t>
      </w:r>
    </w:p>
    <w:p w:rsidR="00AE1AEC" w:rsidRDefault="00226395" w:rsidP="00AE1AEC">
      <w:pPr>
        <w:pStyle w:val="Prrafodelista"/>
        <w:numPr>
          <w:ilvl w:val="0"/>
          <w:numId w:val="6"/>
        </w:numPr>
        <w:jc w:val="both"/>
      </w:pPr>
      <w:r>
        <w:t xml:space="preserve">Ofrecer </w:t>
      </w:r>
      <w:r w:rsidR="00AE1AEC">
        <w:t>explicaciones sobre las informaciones que no se proporcionan.</w:t>
      </w:r>
    </w:p>
    <w:p w:rsidR="00AE1AEC" w:rsidRDefault="00AE1AEC" w:rsidP="00AE1AEC">
      <w:pPr>
        <w:pStyle w:val="Prrafodelista"/>
        <w:numPr>
          <w:ilvl w:val="0"/>
          <w:numId w:val="6"/>
        </w:numPr>
        <w:jc w:val="both"/>
      </w:pPr>
      <w:r>
        <w:t>Señalar las equivalencias entre las informaciones solicitadas y las remitidas, cuando éstas últimas no presentan la misma denominación para facilitar su identificación.</w:t>
      </w:r>
    </w:p>
    <w:p w:rsidR="00AE1AEC" w:rsidRDefault="00AE1AEC" w:rsidP="00AE1AEC">
      <w:pPr>
        <w:pStyle w:val="Prrafodelista"/>
        <w:numPr>
          <w:ilvl w:val="0"/>
          <w:numId w:val="6"/>
        </w:numPr>
        <w:jc w:val="both"/>
      </w:pPr>
      <w:r>
        <w:t>Proporcionar información adicional que puede ser útil para los solicitantes</w:t>
      </w:r>
    </w:p>
    <w:p w:rsidR="00256215" w:rsidRDefault="00256215" w:rsidP="00256215"/>
    <w:p w:rsidR="00256215" w:rsidRDefault="00AD5CC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70DBD" w:rsidRDefault="00B70DBD" w:rsidP="00B70DBD">
      <w:pPr>
        <w:rPr>
          <w:rStyle w:val="Ttulo2Car"/>
          <w:color w:val="00642D"/>
          <w:sz w:val="22"/>
          <w:szCs w:val="22"/>
          <w:lang w:bidi="es-ES"/>
        </w:rPr>
      </w:pPr>
    </w:p>
    <w:p w:rsidR="00B40246" w:rsidRPr="00B70DBD" w:rsidRDefault="00DD3FD5" w:rsidP="00AD49C7">
      <w:pPr>
        <w:pStyle w:val="Prrafodelista"/>
        <w:numPr>
          <w:ilvl w:val="0"/>
          <w:numId w:val="9"/>
        </w:numPr>
        <w:ind w:left="426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4407C1" w:rsidRDefault="004407C1" w:rsidP="00AD49C7">
      <w:pPr>
        <w:pStyle w:val="Prrafodelista"/>
        <w:ind w:left="426"/>
        <w:rPr>
          <w:rStyle w:val="Ttulo2Car"/>
          <w:color w:val="00642D"/>
          <w:sz w:val="22"/>
          <w:szCs w:val="22"/>
          <w:lang w:bidi="es-ES"/>
        </w:rPr>
      </w:pPr>
    </w:p>
    <w:p w:rsidR="004407C1" w:rsidRDefault="0072087A" w:rsidP="00AD49C7">
      <w:pPr>
        <w:pStyle w:val="Prrafodelista"/>
        <w:ind w:left="426"/>
        <w:jc w:val="both"/>
        <w:rPr>
          <w:bCs/>
        </w:rPr>
      </w:pPr>
      <w:r w:rsidRPr="008648E8">
        <w:rPr>
          <w:bCs/>
        </w:rPr>
        <w:t>La AEPD</w:t>
      </w:r>
      <w:r w:rsidR="008648E8">
        <w:rPr>
          <w:bCs/>
        </w:rPr>
        <w:t xml:space="preserve"> tramita prácticamente el 97% de las solicitudes que recibe, admite un poco más de un tercio de ellas aunque esta proporción se explica por el volumen de solicitudes dirigidas a la Agencia solicitando información que no se corresponde con su ámbito competencial. Aunque el número de solicitudes que quedan pendientes de tramitación al finalizar el año es pequeño en términos absolutos, s</w:t>
      </w:r>
      <w:r w:rsidR="00B71C0A">
        <w:rPr>
          <w:bCs/>
        </w:rPr>
        <w:t>í</w:t>
      </w:r>
      <w:r w:rsidR="008648E8">
        <w:rPr>
          <w:bCs/>
        </w:rPr>
        <w:t xml:space="preserve"> que han aumentado respecto de 2019.</w:t>
      </w:r>
      <w:r w:rsidR="00900ADF">
        <w:rPr>
          <w:bCs/>
        </w:rPr>
        <w:t xml:space="preserve">  </w:t>
      </w:r>
    </w:p>
    <w:p w:rsidR="008648E8" w:rsidRDefault="008648E8" w:rsidP="00AD49C7">
      <w:pPr>
        <w:pStyle w:val="Prrafodelista"/>
        <w:ind w:left="426"/>
        <w:jc w:val="both"/>
        <w:rPr>
          <w:bCs/>
        </w:rPr>
      </w:pPr>
    </w:p>
    <w:p w:rsidR="008648E8" w:rsidRDefault="008648E8" w:rsidP="00AD49C7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Por lo que respecta a las resoluciones, emite resolución expresa para la totalidad de las solicitudes admitidas, concediendo el acceso total a la información solicitada en el 80% de los casos. </w:t>
      </w:r>
      <w:r w:rsidR="001F7901">
        <w:rPr>
          <w:bCs/>
        </w:rPr>
        <w:t>Un 4% de las resoluciones deniega la información aplicando los límites del artículo 14</w:t>
      </w:r>
      <w:r w:rsidR="000D759D">
        <w:rPr>
          <w:bCs/>
        </w:rPr>
        <w:t>.1</w:t>
      </w:r>
      <w:r w:rsidR="001F7901">
        <w:rPr>
          <w:bCs/>
        </w:rPr>
        <w:t xml:space="preserve"> de la LTAIBG. Los límites invocados fueron </w:t>
      </w:r>
      <w:r w:rsidR="001F7901" w:rsidRPr="001F7901">
        <w:rPr>
          <w:bCs/>
        </w:rPr>
        <w:t xml:space="preserve">la prevención, investigación y sanción de los ilícitos penales, administrativos o disciplinarios </w:t>
      </w:r>
      <w:r w:rsidR="000D759D">
        <w:rPr>
          <w:bCs/>
        </w:rPr>
        <w:t xml:space="preserve">(letra e) </w:t>
      </w:r>
      <w:r w:rsidR="001F7901" w:rsidRPr="001F7901">
        <w:rPr>
          <w:bCs/>
        </w:rPr>
        <w:t xml:space="preserve">y </w:t>
      </w:r>
      <w:r w:rsidR="001F7901">
        <w:rPr>
          <w:bCs/>
        </w:rPr>
        <w:t>los</w:t>
      </w:r>
      <w:r w:rsidR="001F7901" w:rsidRPr="001F7901">
        <w:rPr>
          <w:bCs/>
        </w:rPr>
        <w:t xml:space="preserve"> intereses económicos y comerciales</w:t>
      </w:r>
      <w:r w:rsidR="000D759D">
        <w:rPr>
          <w:bCs/>
        </w:rPr>
        <w:t xml:space="preserve"> (letra h)</w:t>
      </w:r>
      <w:r w:rsidR="001F7901">
        <w:rPr>
          <w:bCs/>
        </w:rPr>
        <w:t>.</w:t>
      </w:r>
    </w:p>
    <w:p w:rsidR="001F7901" w:rsidRDefault="001F7901" w:rsidP="00AD49C7">
      <w:pPr>
        <w:pStyle w:val="Prrafodelista"/>
        <w:ind w:left="426"/>
        <w:jc w:val="both"/>
        <w:rPr>
          <w:bCs/>
        </w:rPr>
      </w:pPr>
    </w:p>
    <w:p w:rsidR="006D2BE8" w:rsidRDefault="001F7901" w:rsidP="00AD49C7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Una cuestión adicional es que </w:t>
      </w:r>
      <w:r w:rsidR="006D2BE8">
        <w:rPr>
          <w:bCs/>
        </w:rPr>
        <w:t>no se publican las resoluciones que deniegan el acceso a la información en aplicación de los límites del artículo 14.</w:t>
      </w:r>
    </w:p>
    <w:p w:rsidR="001F7901" w:rsidRDefault="006D2BE8" w:rsidP="00AD49C7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 </w:t>
      </w:r>
    </w:p>
    <w:p w:rsidR="001F7901" w:rsidRPr="008648E8" w:rsidRDefault="009456D2" w:rsidP="00AD49C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  <w:rPr>
          <w:bCs/>
        </w:rPr>
      </w:pPr>
      <w:r>
        <w:rPr>
          <w:bCs/>
        </w:rPr>
        <w:t>Aunque la vía para la presentación de las solicitudes</w:t>
      </w:r>
      <w:r w:rsidR="009B6A8B">
        <w:rPr>
          <w:bCs/>
        </w:rPr>
        <w:t xml:space="preserve"> dirigidas a la Agencia sea el Portal de Transparencia y éste publique las resoluciones denegatorias</w:t>
      </w:r>
      <w:r w:rsidR="000D759D">
        <w:rPr>
          <w:bCs/>
        </w:rPr>
        <w:t xml:space="preserve"> por aplicación de los límites del artículo 14</w:t>
      </w:r>
      <w:r w:rsidR="009B6A8B">
        <w:rPr>
          <w:bCs/>
        </w:rPr>
        <w:t xml:space="preserve">, </w:t>
      </w:r>
      <w:r>
        <w:rPr>
          <w:bCs/>
        </w:rPr>
        <w:t xml:space="preserve">esto no </w:t>
      </w:r>
      <w:r w:rsidR="009575D4">
        <w:rPr>
          <w:bCs/>
        </w:rPr>
        <w:t>excluye</w:t>
      </w:r>
      <w:r>
        <w:rPr>
          <w:bCs/>
        </w:rPr>
        <w:t xml:space="preserve"> la obligación de la </w:t>
      </w:r>
      <w:r w:rsidR="001F7901">
        <w:rPr>
          <w:bCs/>
        </w:rPr>
        <w:t xml:space="preserve">AEPD </w:t>
      </w:r>
      <w:r>
        <w:rPr>
          <w:bCs/>
        </w:rPr>
        <w:t>de</w:t>
      </w:r>
      <w:r w:rsidR="001F7901">
        <w:rPr>
          <w:bCs/>
        </w:rPr>
        <w:t xml:space="preserve"> publicar estas resoluciones en su </w:t>
      </w:r>
      <w:r>
        <w:rPr>
          <w:bCs/>
        </w:rPr>
        <w:t>web.</w:t>
      </w:r>
    </w:p>
    <w:p w:rsidR="00DD3FD5" w:rsidRDefault="00DD3FD5" w:rsidP="00AD49C7">
      <w:pPr>
        <w:pStyle w:val="Prrafodelista"/>
        <w:ind w:left="426"/>
      </w:pPr>
    </w:p>
    <w:p w:rsidR="00226395" w:rsidRPr="001018C9" w:rsidRDefault="001018C9" w:rsidP="00AD49C7">
      <w:pPr>
        <w:pStyle w:val="Prrafodelista"/>
        <w:numPr>
          <w:ilvl w:val="0"/>
          <w:numId w:val="9"/>
        </w:numPr>
        <w:ind w:left="426"/>
      </w:pPr>
      <w:r w:rsidRPr="00B70DBD">
        <w:rPr>
          <w:rStyle w:val="Ttulo2Car"/>
          <w:color w:val="00642D"/>
          <w:sz w:val="22"/>
          <w:szCs w:val="22"/>
          <w:lang w:bidi="es-ES"/>
        </w:rPr>
        <w:t xml:space="preserve">Respecto de la localización </w:t>
      </w:r>
      <w:r w:rsidR="00342775" w:rsidRPr="00B70DBD">
        <w:rPr>
          <w:rStyle w:val="Ttulo2Car"/>
          <w:color w:val="00642D"/>
          <w:sz w:val="22"/>
          <w:szCs w:val="22"/>
          <w:lang w:bidi="es-ES"/>
        </w:rPr>
        <w:t xml:space="preserve">de la información </w:t>
      </w:r>
      <w:r w:rsidRPr="00B70DBD">
        <w:rPr>
          <w:rStyle w:val="Ttulo2Car"/>
          <w:color w:val="00642D"/>
          <w:sz w:val="22"/>
          <w:szCs w:val="22"/>
          <w:lang w:bidi="es-ES"/>
        </w:rPr>
        <w:t>y facilidad de acceso al ejercicio del derecho.</w:t>
      </w:r>
    </w:p>
    <w:p w:rsidR="001018C9" w:rsidRDefault="001018C9" w:rsidP="00AD49C7">
      <w:pPr>
        <w:pStyle w:val="Prrafodelista"/>
        <w:ind w:left="426"/>
      </w:pPr>
    </w:p>
    <w:p w:rsidR="001018C9" w:rsidRDefault="006C427D" w:rsidP="00AD49C7">
      <w:pPr>
        <w:pStyle w:val="Prrafodelista"/>
        <w:ind w:left="426"/>
        <w:jc w:val="both"/>
      </w:pPr>
      <w:r>
        <w:t xml:space="preserve">Como se ha indicado, la AEPD no incluye en ningún espacio de su web institucional información sobre la posibilidad de que </w:t>
      </w:r>
      <w:r w:rsidR="00DB09B7">
        <w:t>l</w:t>
      </w:r>
      <w:r>
        <w:t xml:space="preserve">os ciudadanos efectúen solicitudes de información pública </w:t>
      </w:r>
      <w:r w:rsidR="00DB09B7">
        <w:t>dirigidas a la Agencia</w:t>
      </w:r>
      <w:r w:rsidR="00342775">
        <w:t>. T</w:t>
      </w:r>
      <w:r w:rsidR="00DB09B7">
        <w:t>ampoco incluye un enlace, ni instrucciones</w:t>
      </w:r>
      <w:r w:rsidR="00AB083F">
        <w:t>,</w:t>
      </w:r>
      <w:r w:rsidR="00DB09B7">
        <w:t xml:space="preserve"> ni aporta información sobre los medios habilitados ni sobre los requisitos necesarios </w:t>
      </w:r>
      <w:r w:rsidR="00342775" w:rsidRPr="00342775">
        <w:t>para la presentación de estas solicitudes</w:t>
      </w:r>
      <w:r w:rsidR="00342775">
        <w:t>.</w:t>
      </w:r>
    </w:p>
    <w:p w:rsidR="00342775" w:rsidRDefault="00342775" w:rsidP="00AD49C7">
      <w:pPr>
        <w:pStyle w:val="Prrafodelista"/>
        <w:ind w:left="426"/>
        <w:jc w:val="both"/>
      </w:pPr>
    </w:p>
    <w:p w:rsidR="00342775" w:rsidRDefault="00342775" w:rsidP="00AD49C7">
      <w:pPr>
        <w:pStyle w:val="Prrafodelista"/>
        <w:ind w:left="426"/>
        <w:jc w:val="both"/>
      </w:pPr>
      <w:r>
        <w:lastRenderedPageBreak/>
        <w:t>En la información proporcionada a este Consejo, la AEPD indica que toda la tramitación de las solicitudes de acceso se realiza a través del aplicativo GESAT, que es el utilizado para la tramitación de las solicitudes presentadas a través del Portal de Transparencia de la Administración General del Estado (PTAGE), pero esta circunstancia tampoco se indica de manera expresa en su web.</w:t>
      </w:r>
    </w:p>
    <w:p w:rsidR="00342775" w:rsidRDefault="00342775" w:rsidP="00AD49C7">
      <w:pPr>
        <w:pStyle w:val="Prrafodelista"/>
        <w:ind w:left="426"/>
        <w:jc w:val="both"/>
      </w:pPr>
    </w:p>
    <w:p w:rsidR="00342775" w:rsidRDefault="00342775" w:rsidP="00AD49C7">
      <w:pPr>
        <w:pStyle w:val="Prrafodelista"/>
        <w:ind w:left="426"/>
        <w:jc w:val="both"/>
      </w:pPr>
      <w:r>
        <w:t xml:space="preserve">Todo ello </w:t>
      </w:r>
      <w:r w:rsidR="009575D4">
        <w:t xml:space="preserve">puede </w:t>
      </w:r>
      <w:r>
        <w:t>dificulta</w:t>
      </w:r>
      <w:r w:rsidR="009575D4">
        <w:t>r</w:t>
      </w:r>
      <w:r>
        <w:t xml:space="preserve"> el acceso al ejercicio del derecho, ya que el ciudadano que quiera solicitar información pública a la AEPD, tiene que </w:t>
      </w:r>
      <w:r w:rsidR="00AB083F">
        <w:t xml:space="preserve">averiguar </w:t>
      </w:r>
      <w:r>
        <w:t>que al no existir ningún espacio específico en la web institucional de la AEPD, las solicitudes se canalizan a través del PTAGE.</w:t>
      </w:r>
    </w:p>
    <w:p w:rsidR="00342775" w:rsidRDefault="00342775" w:rsidP="00AD49C7">
      <w:pPr>
        <w:pStyle w:val="Prrafodelista"/>
        <w:ind w:left="426"/>
        <w:jc w:val="both"/>
      </w:pPr>
    </w:p>
    <w:p w:rsidR="006D2BE8" w:rsidRDefault="00342775" w:rsidP="00AD49C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>Este Consejo recomienda que</w:t>
      </w:r>
      <w:r w:rsidR="009575D4">
        <w:t>,</w:t>
      </w:r>
      <w:r>
        <w:t xml:space="preserve"> para facilitar el acceso de la ciudadanía al ejercicio del derecho de acceso a la información pública, en el Portal de Transparencia </w:t>
      </w:r>
      <w:r w:rsidR="00DD3FD5">
        <w:t>de la AEPD</w:t>
      </w:r>
      <w:r w:rsidR="009575D4">
        <w:t>,</w:t>
      </w:r>
      <w:r>
        <w:t xml:space="preserve"> se incluya un enlace a un apartado específico en el que se proporcione información sobre el derecho que asiste a los ciudadanos a solicitar información pública, se indiquen los medios habilitados para la presentación de las solicitudes </w:t>
      </w:r>
      <w:r w:rsidR="00DD3FD5">
        <w:t>de información pública dirigidas a la Agencia – incluyendo</w:t>
      </w:r>
      <w:r w:rsidR="004924FE">
        <w:t>,</w:t>
      </w:r>
      <w:r w:rsidR="00DD3FD5">
        <w:t xml:space="preserve"> si así se considera, un enlace al formulario para la solitud de información existente en el PTAGE – y se informe sobre los requisitos necesarios para la presentación de una solicitud de acceso a la información pública de la AEPD. </w:t>
      </w:r>
    </w:p>
    <w:p w:rsidR="006D2BE8" w:rsidRDefault="006D2BE8" w:rsidP="00AD49C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</w:p>
    <w:p w:rsidR="009B6A8B" w:rsidRDefault="009B6A8B" w:rsidP="00AD49C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>Este mismo espacio podría utilizarse para la publicación de las resoluciones denegatorias por aplicación de los límites del artículo14 de la LTAIBG</w:t>
      </w:r>
      <w:r w:rsidR="004924FE">
        <w:t>.</w:t>
      </w:r>
    </w:p>
    <w:p w:rsidR="00342775" w:rsidRDefault="00342775" w:rsidP="00AD49C7">
      <w:pPr>
        <w:pStyle w:val="Prrafodelista"/>
        <w:ind w:left="426"/>
        <w:jc w:val="both"/>
      </w:pPr>
    </w:p>
    <w:p w:rsidR="00342775" w:rsidRDefault="00342775" w:rsidP="00AD49C7">
      <w:pPr>
        <w:pStyle w:val="Prrafodelista"/>
        <w:ind w:left="426"/>
        <w:jc w:val="both"/>
      </w:pPr>
      <w:r>
        <w:t xml:space="preserve"> </w:t>
      </w:r>
    </w:p>
    <w:p w:rsidR="00342775" w:rsidRPr="00B70DBD" w:rsidRDefault="00B70DBD" w:rsidP="00AD49C7">
      <w:pPr>
        <w:pStyle w:val="Prrafodelista"/>
        <w:numPr>
          <w:ilvl w:val="0"/>
          <w:numId w:val="8"/>
        </w:numPr>
        <w:ind w:left="426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342775" w:rsidRDefault="00342775" w:rsidP="00AD49C7">
      <w:pPr>
        <w:pStyle w:val="Prrafodelista"/>
        <w:ind w:left="426"/>
        <w:jc w:val="both"/>
      </w:pPr>
    </w:p>
    <w:p w:rsidR="001F7901" w:rsidRDefault="001F7901" w:rsidP="00AD49C7">
      <w:pPr>
        <w:pStyle w:val="Prrafodelista"/>
        <w:ind w:left="426"/>
        <w:jc w:val="both"/>
      </w:pPr>
      <w:r>
        <w:t xml:space="preserve">La gestión de la solicitud de acceso presentada se ha ajustado al procedimiento establecido por la LTAIBG, con la única excepción de que no se solicitó subsanación a pesar de que no se había definido el periodo de tiempo para el que se </w:t>
      </w:r>
      <w:r w:rsidR="009456D2">
        <w:t>solicitaba</w:t>
      </w:r>
      <w:r>
        <w:t xml:space="preserve"> la información. </w:t>
      </w:r>
    </w:p>
    <w:p w:rsidR="001F7901" w:rsidRDefault="001F7901" w:rsidP="00AD49C7">
      <w:pPr>
        <w:pStyle w:val="Prrafodelista"/>
        <w:ind w:left="426"/>
        <w:jc w:val="both"/>
      </w:pPr>
    </w:p>
    <w:p w:rsidR="001F7901" w:rsidRDefault="001F7901" w:rsidP="00AD49C7">
      <w:pPr>
        <w:pStyle w:val="Prrafodelista"/>
        <w:ind w:left="426"/>
        <w:jc w:val="both"/>
      </w:pPr>
      <w:r>
        <w:t>La resolución emitida por la AEPD está motivada</w:t>
      </w:r>
      <w:r w:rsidR="009456D2">
        <w:t xml:space="preserve"> y correctamente estructurada</w:t>
      </w:r>
      <w:r>
        <w:t>, es clara y comprensible,</w:t>
      </w:r>
      <w:r w:rsidR="009456D2">
        <w:t xml:space="preserve"> incluye pie de recurso y además proporciona explicaciones adicionales – razones por las que no se proporciona determinada información, identificación de los datos que aparecen con una denominación diferente de la utilizada en la solicitud</w:t>
      </w:r>
      <w:r>
        <w:t xml:space="preserve"> </w:t>
      </w:r>
      <w:r w:rsidR="009456D2">
        <w:t>– de utilidad para los solicitantes.</w:t>
      </w:r>
    </w:p>
    <w:p w:rsidR="009456D2" w:rsidRDefault="009456D2" w:rsidP="00AD49C7">
      <w:pPr>
        <w:pStyle w:val="Prrafodelista"/>
        <w:ind w:left="426"/>
        <w:jc w:val="both"/>
      </w:pPr>
    </w:p>
    <w:p w:rsidR="009456D2" w:rsidRDefault="009456D2" w:rsidP="00AD49C7">
      <w:pPr>
        <w:pStyle w:val="Prrafodelista"/>
        <w:tabs>
          <w:tab w:val="left" w:pos="426"/>
        </w:tabs>
        <w:ind w:left="426"/>
        <w:jc w:val="both"/>
      </w:pPr>
      <w:r>
        <w:t xml:space="preserve">La notificación se efectúa por </w:t>
      </w:r>
      <w:r w:rsidR="00AB083F">
        <w:t>el medio</w:t>
      </w:r>
      <w:r>
        <w:t xml:space="preserve"> solicitad</w:t>
      </w:r>
      <w:r w:rsidR="00AB083F">
        <w:t>o</w:t>
      </w:r>
      <w:r>
        <w:t xml:space="preserve"> y la información se proporciona en el momento de la notificación y en el formato indicado por el solicitante.</w:t>
      </w:r>
    </w:p>
    <w:sectPr w:rsidR="009456D2" w:rsidSect="00900ADF">
      <w:footerReference w:type="default" r:id="rId13"/>
      <w:pgSz w:w="11906" w:h="16838"/>
      <w:pgMar w:top="426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B1" w:rsidRDefault="00BA26B1" w:rsidP="00932008">
      <w:pPr>
        <w:spacing w:after="0" w:line="240" w:lineRule="auto"/>
      </w:pPr>
      <w:r>
        <w:separator/>
      </w:r>
    </w:p>
  </w:endnote>
  <w:endnote w:type="continuationSeparator" w:id="0">
    <w:p w:rsidR="00BA26B1" w:rsidRDefault="00BA26B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924FE" w:rsidRPr="004924FE" w:rsidRDefault="004924FE">
        <w:pPr>
          <w:pStyle w:val="Piedepgina"/>
          <w:jc w:val="right"/>
          <w:rPr>
            <w:sz w:val="18"/>
            <w:szCs w:val="18"/>
          </w:rPr>
        </w:pPr>
        <w:r w:rsidRPr="004924FE">
          <w:rPr>
            <w:sz w:val="18"/>
            <w:szCs w:val="18"/>
          </w:rPr>
          <w:fldChar w:fldCharType="begin"/>
        </w:r>
        <w:r w:rsidRPr="004924FE">
          <w:rPr>
            <w:sz w:val="18"/>
            <w:szCs w:val="18"/>
          </w:rPr>
          <w:instrText>PAGE   \* MERGEFORMAT</w:instrText>
        </w:r>
        <w:r w:rsidRPr="004924FE">
          <w:rPr>
            <w:sz w:val="18"/>
            <w:szCs w:val="18"/>
          </w:rPr>
          <w:fldChar w:fldCharType="separate"/>
        </w:r>
        <w:r w:rsidR="00AD5CCC">
          <w:rPr>
            <w:noProof/>
            <w:sz w:val="18"/>
            <w:szCs w:val="18"/>
          </w:rPr>
          <w:t>6</w:t>
        </w:r>
        <w:r w:rsidRPr="004924FE">
          <w:rPr>
            <w:sz w:val="18"/>
            <w:szCs w:val="18"/>
          </w:rPr>
          <w:fldChar w:fldCharType="end"/>
        </w:r>
      </w:p>
    </w:sdtContent>
  </w:sdt>
  <w:p w:rsidR="004924FE" w:rsidRDefault="00492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B1" w:rsidRDefault="00BA26B1" w:rsidP="00932008">
      <w:pPr>
        <w:spacing w:after="0" w:line="240" w:lineRule="auto"/>
      </w:pPr>
      <w:r>
        <w:separator/>
      </w:r>
    </w:p>
  </w:footnote>
  <w:footnote w:type="continuationSeparator" w:id="0">
    <w:p w:rsidR="00BA26B1" w:rsidRDefault="00BA26B1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93466"/>
    <w:multiLevelType w:val="hybridMultilevel"/>
    <w:tmpl w:val="E8B299BE"/>
    <w:lvl w:ilvl="0" w:tplc="73A852D2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5B15"/>
    <w:rsid w:val="000965B3"/>
    <w:rsid w:val="000C6CFF"/>
    <w:rsid w:val="000D2D15"/>
    <w:rsid w:val="000D716A"/>
    <w:rsid w:val="000D759D"/>
    <w:rsid w:val="000F09C8"/>
    <w:rsid w:val="000F09F0"/>
    <w:rsid w:val="001018C9"/>
    <w:rsid w:val="00102733"/>
    <w:rsid w:val="001276B2"/>
    <w:rsid w:val="0012783F"/>
    <w:rsid w:val="001561A4"/>
    <w:rsid w:val="00171C3C"/>
    <w:rsid w:val="00176A94"/>
    <w:rsid w:val="00194000"/>
    <w:rsid w:val="001C3D02"/>
    <w:rsid w:val="001F251B"/>
    <w:rsid w:val="001F7901"/>
    <w:rsid w:val="00212664"/>
    <w:rsid w:val="00226395"/>
    <w:rsid w:val="00256215"/>
    <w:rsid w:val="00272800"/>
    <w:rsid w:val="002734E4"/>
    <w:rsid w:val="00277ACD"/>
    <w:rsid w:val="002919AB"/>
    <w:rsid w:val="002A0044"/>
    <w:rsid w:val="002A154B"/>
    <w:rsid w:val="00334115"/>
    <w:rsid w:val="00340AD6"/>
    <w:rsid w:val="00342775"/>
    <w:rsid w:val="003456B5"/>
    <w:rsid w:val="0038359B"/>
    <w:rsid w:val="003C0F94"/>
    <w:rsid w:val="003E0E99"/>
    <w:rsid w:val="003F271E"/>
    <w:rsid w:val="003F572A"/>
    <w:rsid w:val="004407C1"/>
    <w:rsid w:val="00447AF1"/>
    <w:rsid w:val="004600FF"/>
    <w:rsid w:val="004924FE"/>
    <w:rsid w:val="004A123A"/>
    <w:rsid w:val="004F2655"/>
    <w:rsid w:val="00534956"/>
    <w:rsid w:val="005446A8"/>
    <w:rsid w:val="00561402"/>
    <w:rsid w:val="0057532F"/>
    <w:rsid w:val="00595AAF"/>
    <w:rsid w:val="005B3C15"/>
    <w:rsid w:val="005C4D89"/>
    <w:rsid w:val="00647481"/>
    <w:rsid w:val="0066171E"/>
    <w:rsid w:val="0066188F"/>
    <w:rsid w:val="006A2766"/>
    <w:rsid w:val="006B20DC"/>
    <w:rsid w:val="006C427D"/>
    <w:rsid w:val="006D2BE8"/>
    <w:rsid w:val="006E4DF8"/>
    <w:rsid w:val="00706E04"/>
    <w:rsid w:val="00710031"/>
    <w:rsid w:val="0072087A"/>
    <w:rsid w:val="00723EAB"/>
    <w:rsid w:val="00743756"/>
    <w:rsid w:val="00796C62"/>
    <w:rsid w:val="007B0F99"/>
    <w:rsid w:val="007C2C2B"/>
    <w:rsid w:val="007C6E45"/>
    <w:rsid w:val="007D2C3C"/>
    <w:rsid w:val="007E1649"/>
    <w:rsid w:val="007E45FC"/>
    <w:rsid w:val="00802D12"/>
    <w:rsid w:val="0081249C"/>
    <w:rsid w:val="00815659"/>
    <w:rsid w:val="00844FA9"/>
    <w:rsid w:val="008648E8"/>
    <w:rsid w:val="00867BCC"/>
    <w:rsid w:val="008A4B46"/>
    <w:rsid w:val="008B4BE1"/>
    <w:rsid w:val="008C1E1E"/>
    <w:rsid w:val="00900866"/>
    <w:rsid w:val="00900ADF"/>
    <w:rsid w:val="00901D97"/>
    <w:rsid w:val="00906B4F"/>
    <w:rsid w:val="009079EA"/>
    <w:rsid w:val="00923092"/>
    <w:rsid w:val="00932008"/>
    <w:rsid w:val="009456D2"/>
    <w:rsid w:val="009575D4"/>
    <w:rsid w:val="009609E9"/>
    <w:rsid w:val="00983919"/>
    <w:rsid w:val="00985C93"/>
    <w:rsid w:val="009B01A3"/>
    <w:rsid w:val="009B6A8B"/>
    <w:rsid w:val="00A26009"/>
    <w:rsid w:val="00A41DD5"/>
    <w:rsid w:val="00A5523B"/>
    <w:rsid w:val="00AB083F"/>
    <w:rsid w:val="00AC00D9"/>
    <w:rsid w:val="00AC2330"/>
    <w:rsid w:val="00AD49C7"/>
    <w:rsid w:val="00AD5CCC"/>
    <w:rsid w:val="00AE1AEC"/>
    <w:rsid w:val="00B01ABC"/>
    <w:rsid w:val="00B17C86"/>
    <w:rsid w:val="00B40246"/>
    <w:rsid w:val="00B5583D"/>
    <w:rsid w:val="00B70DBD"/>
    <w:rsid w:val="00B71C0A"/>
    <w:rsid w:val="00B812AB"/>
    <w:rsid w:val="00B841AE"/>
    <w:rsid w:val="00BA26B1"/>
    <w:rsid w:val="00BB6799"/>
    <w:rsid w:val="00BD4582"/>
    <w:rsid w:val="00BE6A46"/>
    <w:rsid w:val="00C06D15"/>
    <w:rsid w:val="00C0787B"/>
    <w:rsid w:val="00C323DC"/>
    <w:rsid w:val="00C32B5A"/>
    <w:rsid w:val="00C33A23"/>
    <w:rsid w:val="00C4479B"/>
    <w:rsid w:val="00C5744D"/>
    <w:rsid w:val="00CB5511"/>
    <w:rsid w:val="00CC2049"/>
    <w:rsid w:val="00CC4737"/>
    <w:rsid w:val="00CF2D87"/>
    <w:rsid w:val="00D96F84"/>
    <w:rsid w:val="00DB09B7"/>
    <w:rsid w:val="00DD3E02"/>
    <w:rsid w:val="00DD3FD5"/>
    <w:rsid w:val="00DE4AA9"/>
    <w:rsid w:val="00DF63E7"/>
    <w:rsid w:val="00E1207B"/>
    <w:rsid w:val="00E3088D"/>
    <w:rsid w:val="00E34195"/>
    <w:rsid w:val="00E47613"/>
    <w:rsid w:val="00E52A1D"/>
    <w:rsid w:val="00E9321A"/>
    <w:rsid w:val="00EE5BDF"/>
    <w:rsid w:val="00F14DA4"/>
    <w:rsid w:val="00F372A0"/>
    <w:rsid w:val="00F47C3B"/>
    <w:rsid w:val="00F71D7D"/>
    <w:rsid w:val="00F93C54"/>
    <w:rsid w:val="00FA1EC0"/>
    <w:rsid w:val="00FA3D08"/>
    <w:rsid w:val="00FA5FDE"/>
    <w:rsid w:val="00FB60A9"/>
    <w:rsid w:val="00FD2365"/>
    <w:rsid w:val="00FE0FC5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7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3EAB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3EAB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985C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276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127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6B2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6B2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7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3EAB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3EAB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985C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276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127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6B2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6B2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3D936A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AEPD!$E$3:$L$3</c:f>
              <c:strCache>
                <c:ptCount val="8"/>
                <c:pt idx="0">
                  <c:v>Causa de inadmisión: información en curso de elaboración o de publicación general</c:v>
                </c:pt>
                <c:pt idx="1">
                  <c:v>Causa de inadmisión: información auxiliar o de apoyo</c:v>
                </c:pt>
                <c:pt idx="2">
                  <c:v>Causa de inadmisión: acción previa de reelaboración</c:v>
                </c:pt>
                <c:pt idx="3">
                  <c:v>Causa de inadmisión: órgano no competente y desconocimiento del competente</c:v>
                </c:pt>
                <c:pt idx="4">
                  <c:v>Causa de inadmisión: solicitud repetitiva o abusiva</c:v>
                </c:pt>
                <c:pt idx="5">
                  <c:v>Causa de inadmisión: solicitudes de información de interesados en un procedimiento administrativo en curso sobre documentos que se integren en el mismo</c:v>
                </c:pt>
                <c:pt idx="6">
                  <c:v>Causa de inadmisión: solicitudes de información con un régimen específico de acceso a la información.</c:v>
                </c:pt>
                <c:pt idx="7">
                  <c:v>Causa de inadmisión: Otras causas.</c:v>
                </c:pt>
              </c:strCache>
            </c:strRef>
          </c:cat>
          <c:val>
            <c:numRef>
              <c:f>AEPD!$E$5:$L$5</c:f>
              <c:numCache>
                <c:formatCode>0.0%</c:formatCode>
                <c:ptCount val="8"/>
                <c:pt idx="0">
                  <c:v>0</c:v>
                </c:pt>
                <c:pt idx="1">
                  <c:v>1.0526315789473684E-2</c:v>
                </c:pt>
                <c:pt idx="2">
                  <c:v>0</c:v>
                </c:pt>
                <c:pt idx="3">
                  <c:v>0.27368421052631581</c:v>
                </c:pt>
                <c:pt idx="4">
                  <c:v>1.0526315789473684E-2</c:v>
                </c:pt>
                <c:pt idx="5">
                  <c:v>0</c:v>
                </c:pt>
                <c:pt idx="6">
                  <c:v>0</c:v>
                </c:pt>
                <c:pt idx="7">
                  <c:v>0.70526315789473681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962624"/>
        <c:axId val="221964160"/>
      </c:barChart>
      <c:catAx>
        <c:axId val="221962624"/>
        <c:scaling>
          <c:orientation val="minMax"/>
        </c:scaling>
        <c:delete val="0"/>
        <c:axPos val="l"/>
        <c:majorTickMark val="out"/>
        <c:minorTickMark val="none"/>
        <c:tickLblPos val="nextTo"/>
        <c:crossAx val="221964160"/>
        <c:crosses val="autoZero"/>
        <c:auto val="1"/>
        <c:lblAlgn val="ctr"/>
        <c:lblOffset val="1000"/>
        <c:noMultiLvlLbl val="0"/>
      </c:catAx>
      <c:valAx>
        <c:axId val="221964160"/>
        <c:scaling>
          <c:orientation val="minMax"/>
          <c:max val="1"/>
        </c:scaling>
        <c:delete val="0"/>
        <c:axPos val="b"/>
        <c:numFmt formatCode="0%" sourceLinked="0"/>
        <c:majorTickMark val="out"/>
        <c:minorTickMark val="none"/>
        <c:tickLblPos val="nextTo"/>
        <c:crossAx val="221962624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5085E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17A3D"/>
    <w:rsid w:val="00065250"/>
    <w:rsid w:val="0013771E"/>
    <w:rsid w:val="002A54AB"/>
    <w:rsid w:val="002C7AFA"/>
    <w:rsid w:val="003370D0"/>
    <w:rsid w:val="0035564C"/>
    <w:rsid w:val="003D088C"/>
    <w:rsid w:val="005E70A4"/>
    <w:rsid w:val="00D35513"/>
    <w:rsid w:val="00D901B3"/>
    <w:rsid w:val="00E147F2"/>
    <w:rsid w:val="00E5085E"/>
    <w:rsid w:val="00F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7A3C-8ED6-4C37-8B52-53BBF5C5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1511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47</cp:revision>
  <cp:lastPrinted>2007-10-26T10:03:00Z</cp:lastPrinted>
  <dcterms:created xsi:type="dcterms:W3CDTF">2021-03-15T11:56:00Z</dcterms:created>
  <dcterms:modified xsi:type="dcterms:W3CDTF">2021-05-06T12:46:00Z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