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252EE" w:rsidRPr="00006957" w:rsidRDefault="001252E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252EE" w:rsidRPr="00006957" w:rsidRDefault="001252E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52EE" w:rsidRDefault="001252E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252EE" w:rsidRDefault="001252E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4934F2">
        <w:tc>
          <w:tcPr>
            <w:tcW w:w="3652" w:type="dxa"/>
          </w:tcPr>
          <w:p w:rsidR="00531D64" w:rsidRPr="00E34195" w:rsidRDefault="00531D64" w:rsidP="004934F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31D64" w:rsidP="0049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Autoridad Independiente de Responsabilidad Fiscal</w:t>
            </w:r>
          </w:p>
        </w:tc>
      </w:tr>
      <w:tr w:rsidR="00531D64" w:rsidRPr="00CB5511" w:rsidTr="004934F2">
        <w:tc>
          <w:tcPr>
            <w:tcW w:w="3652" w:type="dxa"/>
          </w:tcPr>
          <w:p w:rsidR="00531D64" w:rsidRPr="00E34195" w:rsidRDefault="00531D64" w:rsidP="004934F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31D64" w:rsidP="0049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10/02/2021</w:t>
            </w:r>
          </w:p>
        </w:tc>
      </w:tr>
    </w:tbl>
    <w:p w:rsidR="00BA266E" w:rsidRDefault="00BA266E"/>
    <w:p w:rsidR="00561402" w:rsidRPr="0012783F" w:rsidRDefault="00BF247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</w:t>
      </w:r>
      <w:r w:rsidRPr="00BA266E">
        <w:rPr>
          <w:bCs/>
          <w:color w:val="auto"/>
          <w:szCs w:val="22"/>
        </w:rPr>
        <w:t xml:space="preserve">a gestión de las solicitudes </w:t>
      </w:r>
      <w:r>
        <w:rPr>
          <w:bCs/>
          <w:color w:val="auto"/>
          <w:szCs w:val="22"/>
        </w:rPr>
        <w:t>de acceso se efectúa por la División Jurídico-Institucional de la AIREF, que cuenta con dos personas para abordar esta actividad. Ninguna de ellas se dedica exclusivamente</w:t>
      </w:r>
      <w:r w:rsidR="00531D64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a la gestión de las solicitudes</w:t>
      </w:r>
      <w:r w:rsidR="00626819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BF247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F34803" w:rsidRDefault="00F34803" w:rsidP="00F34803">
      <w:pPr>
        <w:ind w:left="426"/>
        <w:jc w:val="both"/>
      </w:pPr>
      <w:r>
        <w:t>En 2020 la AIREF recibió 38 solicitudes de información</w:t>
      </w:r>
      <w:r w:rsidR="00654162">
        <w:t xml:space="preserve">. </w:t>
      </w:r>
      <w:r>
        <w:t xml:space="preserve">Al igual que en 2019 no quedaron solicitudes pendientes de tramitación a 31 de diciembre de 2020. </w:t>
      </w:r>
    </w:p>
    <w:p w:rsidR="00BA266E" w:rsidRDefault="00BA266E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F34803" w:rsidRDefault="00F3480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647481">
        <w:rPr>
          <w:rStyle w:val="Ttulo2Car"/>
          <w:b w:val="0"/>
          <w:color w:val="auto"/>
          <w:sz w:val="22"/>
          <w:szCs w:val="22"/>
          <w:lang w:bidi="es-ES"/>
        </w:rPr>
        <w:t>En 2020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, en promedio, cada una de las personas asignadas a la UIT de la AIREF asumió </w:t>
      </w:r>
      <w:r w:rsidR="00626819">
        <w:rPr>
          <w:rStyle w:val="Ttulo2Car"/>
          <w:b w:val="0"/>
          <w:color w:val="auto"/>
          <w:sz w:val="22"/>
          <w:szCs w:val="22"/>
          <w:lang w:bidi="es-ES"/>
        </w:rPr>
        <w:t>la tramitación de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19 solicitudes. </w:t>
      </w:r>
    </w:p>
    <w:p w:rsidR="00F34803" w:rsidRDefault="0065416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totalidad de las solicitudes se tramitó en el año y todas fueron admitidas.</w:t>
      </w: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Pr="0064748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1F25E4" w:rsidRPr="00706E04" w:rsidTr="001E1C29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1F25E4" w:rsidRDefault="001F25E4" w:rsidP="00055B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19,00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Default="001F25E4" w:rsidP="00055B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19,00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983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983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1F2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983919">
            <w:pPr>
              <w:rPr>
                <w:b/>
                <w:sz w:val="20"/>
                <w:szCs w:val="20"/>
              </w:rPr>
            </w:pPr>
            <w:r w:rsidRPr="00983919">
              <w:rPr>
                <w:b/>
                <w:sz w:val="20"/>
                <w:szCs w:val="20"/>
              </w:rPr>
              <w:t>Tasa de congestión</w:t>
            </w:r>
            <w:r>
              <w:rPr>
                <w:b/>
                <w:sz w:val="20"/>
                <w:szCs w:val="20"/>
              </w:rPr>
              <w:t xml:space="preserve"> ((pendientes a 31/12/2019 + entradas 2020) /</w:t>
            </w:r>
            <w:r w:rsidRPr="009839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tramitadas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Default="001F25E4" w:rsidP="005B3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983919" w:rsidRDefault="001F25E4" w:rsidP="00983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983919" w:rsidRDefault="001F25E4" w:rsidP="00983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983919" w:rsidRDefault="001F25E4" w:rsidP="00983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1F25E4" w:rsidRPr="001F25E4" w:rsidRDefault="001F25E4" w:rsidP="001F25E4">
            <w:pPr>
              <w:jc w:val="center"/>
              <w:rPr>
                <w:sz w:val="20"/>
                <w:szCs w:val="20"/>
              </w:rPr>
            </w:pPr>
            <w:r w:rsidRPr="001F25E4">
              <w:rPr>
                <w:sz w:val="20"/>
                <w:szCs w:val="20"/>
              </w:rPr>
              <w:t>,00</w:t>
            </w:r>
          </w:p>
        </w:tc>
      </w:tr>
    </w:tbl>
    <w:p w:rsidR="00B812AB" w:rsidRDefault="00B812AB" w:rsidP="00B812AB"/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F34803" w:rsidRPr="009079EA" w:rsidRDefault="00F34803" w:rsidP="00F34803">
      <w:pPr>
        <w:ind w:left="426"/>
        <w:jc w:val="both"/>
        <w:rPr>
          <w:rStyle w:val="Ttulo2Car"/>
          <w:color w:val="00642D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>s resoluciones emitidas en 2020, 38, t</w:t>
      </w:r>
      <w:r w:rsidR="00654162">
        <w:rPr>
          <w:rStyle w:val="Ttulo2Car"/>
          <w:b w:val="0"/>
          <w:color w:val="auto"/>
          <w:sz w:val="22"/>
          <w:szCs w:val="22"/>
          <w:lang w:bidi="es-ES"/>
        </w:rPr>
        <w:t xml:space="preserve">odas concedieron acceso a la información. La AIREF no ha proporcionado información sobre cuántas de ellas concedieron acceso total y cuántas acceso parcial.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9079EA">
        <w:rPr>
          <w:rStyle w:val="Ttulo2Car"/>
          <w:b w:val="0"/>
          <w:color w:val="auto"/>
          <w:sz w:val="22"/>
          <w:szCs w:val="22"/>
          <w:lang w:bidi="es-ES"/>
        </w:rPr>
        <w:t>No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>se ha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 xml:space="preserve">localizado en la web de la </w:t>
      </w:r>
      <w:r>
        <w:rPr>
          <w:rStyle w:val="Ttulo2Car"/>
          <w:b w:val="0"/>
          <w:color w:val="auto"/>
          <w:sz w:val="22"/>
          <w:szCs w:val="22"/>
          <w:lang w:bidi="es-ES"/>
        </w:rPr>
        <w:t>AIREF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>
        <w:rPr>
          <w:rStyle w:val="Ttulo2Car"/>
          <w:b w:val="0"/>
          <w:color w:val="auto"/>
          <w:sz w:val="22"/>
          <w:szCs w:val="22"/>
          <w:lang w:bidi="es-ES"/>
        </w:rPr>
        <w:t>información sobre las solicitudes denegadas por aplicación de los límites del artículo 14 de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1252EE" w:rsidRDefault="001252EE" w:rsidP="00F34803">
      <w:pPr>
        <w:ind w:left="426"/>
        <w:jc w:val="both"/>
      </w:pPr>
    </w:p>
    <w:p w:rsidR="00F34803" w:rsidRDefault="00F34803" w:rsidP="00F34803">
      <w:pPr>
        <w:ind w:left="426"/>
        <w:jc w:val="both"/>
      </w:pPr>
      <w:r>
        <w:t>La AIREF emite resoluciones expresas para la totalidad de las solicitudes admitidas. Ninguna solicitud ha sido desestimada por silencio administrativo.</w:t>
      </w:r>
    </w:p>
    <w:p w:rsidR="001E1C29" w:rsidRPr="009079EA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531D64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1F25E4" w:rsidRPr="00706E04" w:rsidTr="001E1C29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1F25E4" w:rsidRDefault="001F25E4" w:rsidP="00AD1D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Tasa de resolución (resoluciones expresas /solicitudes </w:t>
            </w:r>
            <w:r w:rsidR="00AD1DBF">
              <w:rPr>
                <w:b/>
                <w:sz w:val="20"/>
                <w:szCs w:val="20"/>
              </w:rPr>
              <w:t>admitidas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F25E4" w:rsidRPr="001B3D6A" w:rsidRDefault="001F25E4" w:rsidP="001B3D6A">
            <w:pPr>
              <w:jc w:val="center"/>
              <w:rPr>
                <w:sz w:val="20"/>
                <w:szCs w:val="20"/>
              </w:rPr>
            </w:pPr>
            <w:r w:rsidRPr="001B3D6A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Default="001F25E4" w:rsidP="00FD5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</w:tcPr>
          <w:p w:rsidR="001F25E4" w:rsidRPr="001B3D6A" w:rsidRDefault="001F25E4" w:rsidP="001B3D6A">
            <w:pPr>
              <w:jc w:val="center"/>
              <w:rPr>
                <w:sz w:val="20"/>
                <w:szCs w:val="20"/>
              </w:rPr>
            </w:pPr>
            <w:r w:rsidRPr="001B3D6A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Default="001F25E4" w:rsidP="00055B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</w:tcPr>
          <w:p w:rsidR="001F25E4" w:rsidRPr="001B3D6A" w:rsidRDefault="001B3D6A" w:rsidP="001B3D6A">
            <w:pPr>
              <w:jc w:val="center"/>
              <w:rPr>
                <w:sz w:val="20"/>
                <w:szCs w:val="20"/>
              </w:rPr>
            </w:pPr>
            <w:r w:rsidRPr="001B3D6A">
              <w:rPr>
                <w:sz w:val="20"/>
                <w:szCs w:val="20"/>
              </w:rPr>
              <w:t>Sin datos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055B15">
            <w:pPr>
              <w:rPr>
                <w:b/>
                <w:sz w:val="20"/>
                <w:szCs w:val="20"/>
              </w:rPr>
            </w:pPr>
            <w:r w:rsidRPr="00055B15">
              <w:rPr>
                <w:b/>
                <w:sz w:val="20"/>
                <w:szCs w:val="20"/>
              </w:rPr>
              <w:t>Porcentaje de resoluciones que concede</w:t>
            </w:r>
            <w:r>
              <w:rPr>
                <w:b/>
                <w:sz w:val="20"/>
                <w:szCs w:val="20"/>
              </w:rPr>
              <w:t>n</w:t>
            </w:r>
            <w:r w:rsidRPr="00055B15">
              <w:rPr>
                <w:b/>
                <w:sz w:val="20"/>
                <w:szCs w:val="20"/>
              </w:rPr>
              <w:t xml:space="preserve"> acceso </w:t>
            </w: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1F25E4" w:rsidRPr="001B3D6A" w:rsidRDefault="001B3D6A" w:rsidP="001B3D6A">
            <w:pPr>
              <w:jc w:val="center"/>
              <w:rPr>
                <w:sz w:val="20"/>
                <w:szCs w:val="20"/>
              </w:rPr>
            </w:pPr>
            <w:r w:rsidRPr="001B3D6A">
              <w:rPr>
                <w:sz w:val="20"/>
                <w:szCs w:val="20"/>
              </w:rPr>
              <w:t>Sin datos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055B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</w:tcPr>
          <w:p w:rsidR="001F25E4" w:rsidRPr="001B3D6A" w:rsidRDefault="001B3D6A" w:rsidP="001B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25E4" w:rsidRPr="001B3D6A">
              <w:rPr>
                <w:sz w:val="20"/>
                <w:szCs w:val="20"/>
              </w:rPr>
              <w:t>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055B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</w:tcPr>
          <w:p w:rsidR="001F25E4" w:rsidRPr="001B3D6A" w:rsidRDefault="001B3D6A" w:rsidP="001B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25E4" w:rsidRPr="001B3D6A">
              <w:rPr>
                <w:sz w:val="20"/>
                <w:szCs w:val="20"/>
              </w:rPr>
              <w:t>,00</w:t>
            </w:r>
          </w:p>
        </w:tc>
      </w:tr>
      <w:tr w:rsidR="001F25E4" w:rsidRPr="00706E04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706E04" w:rsidRDefault="001F25E4" w:rsidP="00F726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</w:tcPr>
          <w:p w:rsidR="001F25E4" w:rsidRPr="001B3D6A" w:rsidRDefault="001B3D6A" w:rsidP="001B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25E4" w:rsidRPr="001B3D6A">
              <w:rPr>
                <w:sz w:val="20"/>
                <w:szCs w:val="20"/>
              </w:rPr>
              <w:t>,00</w:t>
            </w:r>
          </w:p>
        </w:tc>
      </w:tr>
    </w:tbl>
    <w:p w:rsidR="00055B15" w:rsidRDefault="00055B15" w:rsidP="00B812AB"/>
    <w:p w:rsidR="009239D9" w:rsidRDefault="009239D9" w:rsidP="00B812AB"/>
    <w:p w:rsidR="00BA266E" w:rsidRDefault="00BA266E" w:rsidP="00B812AB"/>
    <w:p w:rsidR="00BA266E" w:rsidRDefault="00BA266E" w:rsidP="00B812AB"/>
    <w:p w:rsidR="00B812AB" w:rsidRPr="00E34195" w:rsidRDefault="00BF247A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95C49" w:rsidRDefault="00F95C4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AIREF dispone de un enlace específico dependiente del acceso “Transparencia” para las solicitudes de acceso a la información pública. En la página que abre este enlace se informa sobre la posibilidad de solicitar información pública a la AIREF.</w:t>
      </w:r>
    </w:p>
    <w:p w:rsidR="00F95C49" w:rsidRDefault="00F95C4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AIREF ha habilitado varios canales para la presentación de las solicitudes de acceso: presencial, correo postal, sede electrónica y registros administrativos.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solicitud, dirección de contacto – preferiblemente 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>electrónic</w:t>
      </w:r>
      <w:r>
        <w:rPr>
          <w:rStyle w:val="Ttulo2Car"/>
          <w:b w:val="0"/>
          <w:color w:val="auto"/>
          <w:sz w:val="22"/>
          <w:szCs w:val="22"/>
          <w:lang w:bidi="es-ES"/>
        </w:rPr>
        <w:t>a -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y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una 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autorización para el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tratamiento de los datos personales. Si la solicitud se realiza a través de la sede electrónica 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requiere certificado digital o PIN 24H o </w:t>
      </w:r>
      <w:proofErr w:type="spellStart"/>
      <w:r w:rsidRPr="00F95C49">
        <w:rPr>
          <w:rStyle w:val="Ttulo2Car"/>
          <w:b w:val="0"/>
          <w:color w:val="auto"/>
          <w:sz w:val="22"/>
          <w:szCs w:val="22"/>
          <w:lang w:bidi="es-ES"/>
        </w:rPr>
        <w:t>cl@ve</w:t>
      </w:r>
      <w:proofErr w:type="spellEnd"/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permanente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34803" w:rsidRDefault="00BA266E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AIREF proporciona un formulario web para la cumplimentación de las solicitudes pero no incluye instrucciones, explicaciones o ayudas adicionales</w:t>
      </w:r>
      <w:r w:rsidR="00626819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ni identifica al órgano competente para resolver.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F247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>1</w:t>
      </w:r>
      <w:r w:rsidR="00904E47">
        <w:rPr>
          <w:color w:val="auto"/>
          <w:lang w:bidi="es-ES"/>
        </w:rPr>
        <w:t>1</w:t>
      </w:r>
      <w:r>
        <w:rPr>
          <w:color w:val="auto"/>
          <w:lang w:bidi="es-ES"/>
        </w:rPr>
        <w:t xml:space="preserve">/02/2021 se presentó </w:t>
      </w:r>
      <w:r w:rsidR="00904E47">
        <w:rPr>
          <w:color w:val="auto"/>
          <w:lang w:bidi="es-ES"/>
        </w:rPr>
        <w:t xml:space="preserve">a través del formulario disponible en la web institucional de la AIREF </w:t>
      </w:r>
      <w:r>
        <w:rPr>
          <w:color w:val="auto"/>
          <w:lang w:bidi="es-ES"/>
        </w:rPr>
        <w:t xml:space="preserve">una solicitud de acceso a información pública. La </w:t>
      </w:r>
      <w:r w:rsidR="00904E47">
        <w:rPr>
          <w:color w:val="auto"/>
          <w:lang w:bidi="es-ES"/>
        </w:rPr>
        <w:t>solicitud</w:t>
      </w:r>
      <w:r>
        <w:rPr>
          <w:color w:val="auto"/>
          <w:lang w:bidi="es-ES"/>
        </w:rPr>
        <w:t xml:space="preserve"> presentaba una incidencia</w:t>
      </w:r>
      <w:r w:rsidR="00904E47">
        <w:rPr>
          <w:color w:val="auto"/>
          <w:lang w:bidi="es-ES"/>
        </w:rPr>
        <w:t xml:space="preserve"> al</w:t>
      </w:r>
      <w:r>
        <w:rPr>
          <w:color w:val="auto"/>
          <w:lang w:bidi="es-ES"/>
        </w:rPr>
        <w:t xml:space="preserve"> no </w:t>
      </w:r>
      <w:r w:rsidR="00904E47">
        <w:rPr>
          <w:color w:val="auto"/>
          <w:lang w:bidi="es-ES"/>
        </w:rPr>
        <w:t>indicarse el formato de entrega de la información.</w:t>
      </w:r>
      <w:r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904E47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F34803">
        <w:rPr>
          <w:color w:val="auto"/>
          <w:lang w:bidi="es-ES"/>
        </w:rPr>
        <w:t xml:space="preserve"> se </w:t>
      </w:r>
      <w:r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280278" w:rsidRDefault="0028027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626819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Se dicta </w:t>
      </w:r>
      <w:r w:rsidR="00F34803" w:rsidRPr="00904E47">
        <w:rPr>
          <w:color w:val="auto"/>
          <w:lang w:bidi="es-ES"/>
        </w:rPr>
        <w:t>resolución expresa</w:t>
      </w:r>
      <w:r>
        <w:rPr>
          <w:color w:val="auto"/>
          <w:lang w:bidi="es-ES"/>
        </w:rPr>
        <w:t xml:space="preserve"> el 15/02/2021 en respuesta a la solicitud de información que se remite por correo electrónico</w:t>
      </w:r>
      <w:r w:rsidR="001C238B">
        <w:rPr>
          <w:color w:val="auto"/>
          <w:lang w:bidi="es-ES"/>
        </w:rPr>
        <w:t xml:space="preserve"> acompañada de un fichero con la información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DF2ACE" w:rsidRDefault="00DF2ACE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Est</w:t>
      </w:r>
      <w:r w:rsidR="001C238B">
        <w:rPr>
          <w:color w:val="auto"/>
          <w:lang w:bidi="es-ES"/>
        </w:rPr>
        <w:t>a resolución</w:t>
      </w:r>
      <w:r>
        <w:rPr>
          <w:color w:val="auto"/>
          <w:lang w:bidi="es-ES"/>
        </w:rPr>
        <w:t xml:space="preserve"> se firma por la persona responsable de la unidad que gestiona las solicitudes de acceso.</w:t>
      </w:r>
    </w:p>
    <w:p w:rsidR="00F34803" w:rsidRDefault="001C238B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Ni en la</w:t>
      </w:r>
      <w:r w:rsidR="00626819">
        <w:rPr>
          <w:color w:val="auto"/>
          <w:lang w:bidi="es-ES"/>
        </w:rPr>
        <w:t xml:space="preserve"> resolución </w:t>
      </w:r>
      <w:r>
        <w:rPr>
          <w:color w:val="auto"/>
          <w:lang w:bidi="es-ES"/>
        </w:rPr>
        <w:t xml:space="preserve">ni en el correo electrónico de remisión se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junto al escrito anterior se remite </w:t>
      </w:r>
      <w:r w:rsidR="00833900">
        <w:rPr>
          <w:color w:val="auto"/>
          <w:lang w:bidi="es-ES"/>
        </w:rPr>
        <w:t>por</w:t>
      </w:r>
      <w:r w:rsidR="001E1C29">
        <w:rPr>
          <w:color w:val="auto"/>
          <w:lang w:bidi="es-ES"/>
        </w:rPr>
        <w:t xml:space="preserve"> correo electrónico </w:t>
      </w:r>
      <w:r w:rsidRPr="00046805">
        <w:rPr>
          <w:color w:val="auto"/>
          <w:lang w:bidi="es-ES"/>
        </w:rPr>
        <w:t xml:space="preserve">mediante un fichero </w:t>
      </w:r>
      <w:proofErr w:type="spellStart"/>
      <w:r w:rsidRPr="00046805">
        <w:rPr>
          <w:color w:val="auto"/>
          <w:lang w:bidi="es-ES"/>
        </w:rPr>
        <w:t>pdf</w:t>
      </w:r>
      <w:proofErr w:type="spellEnd"/>
      <w:r w:rsidRPr="00046805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 w:rsidR="00531D64">
        <w:rPr>
          <w:color w:val="auto"/>
          <w:lang w:bidi="es-ES"/>
        </w:rPr>
        <w:t xml:space="preserve"> </w:t>
      </w:r>
      <w:r w:rsidR="007C57AB">
        <w:rPr>
          <w:color w:val="auto"/>
          <w:lang w:bidi="es-ES"/>
        </w:rPr>
        <w:t>ya que no se especificó otro medio distinto de notificación</w:t>
      </w:r>
      <w:r>
        <w:rPr>
          <w:color w:val="auto"/>
          <w:lang w:bidi="es-ES"/>
        </w:rPr>
        <w:t>.</w:t>
      </w:r>
    </w:p>
    <w:p w:rsidR="00046805" w:rsidRDefault="00046805" w:rsidP="00046805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lastRenderedPageBreak/>
        <w:t>Se entrega la totalidad de la información solicitada.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256215">
          <w:pPr>
            <w:pStyle w:val="Cuerpodelboletn"/>
            <w:spacing w:before="120" w:after="120" w:line="312" w:lineRule="auto"/>
            <w:ind w:left="709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</w:p>
      </w:sdtContent>
    </w:sdt>
    <w:p w:rsidR="00256215" w:rsidRDefault="00256215" w:rsidP="00256215">
      <w:pPr>
        <w:pStyle w:val="Cuerpodelboletn"/>
      </w:pPr>
    </w:p>
    <w:p w:rsidR="00F34803" w:rsidRDefault="00F34803" w:rsidP="00F34803">
      <w:pPr>
        <w:pStyle w:val="Cuerpodelboletn"/>
        <w:spacing w:line="276" w:lineRule="auto"/>
        <w:ind w:left="426"/>
        <w:rPr>
          <w:color w:val="auto"/>
        </w:rPr>
      </w:pPr>
      <w:r>
        <w:rPr>
          <w:color w:val="auto"/>
        </w:rPr>
        <w:t xml:space="preserve">El CTBG ha recibido </w:t>
      </w:r>
      <w:r w:rsidR="00280278" w:rsidRPr="00280278">
        <w:rPr>
          <w:color w:val="auto"/>
        </w:rPr>
        <w:t>en el periodo 2015-2020,</w:t>
      </w:r>
      <w:r w:rsidR="00280278">
        <w:rPr>
          <w:color w:val="auto"/>
        </w:rPr>
        <w:t xml:space="preserve"> </w:t>
      </w:r>
      <w:r w:rsidR="00046805">
        <w:rPr>
          <w:color w:val="auto"/>
        </w:rPr>
        <w:t>una</w:t>
      </w:r>
      <w:r>
        <w:rPr>
          <w:color w:val="auto"/>
        </w:rPr>
        <w:t xml:space="preserve"> reclamaci</w:t>
      </w:r>
      <w:r w:rsidR="00046805">
        <w:rPr>
          <w:color w:val="auto"/>
        </w:rPr>
        <w:t>ón</w:t>
      </w:r>
      <w:r>
        <w:rPr>
          <w:color w:val="auto"/>
        </w:rPr>
        <w:t xml:space="preserve"> contra resoluciones de la AIREF en materia de acceso a la información pública. </w:t>
      </w:r>
      <w:r w:rsidR="00046805">
        <w:rPr>
          <w:color w:val="auto"/>
        </w:rPr>
        <w:t>Esta reclamación fue estimada por el CTBG y en consecuencia favorable al reclamante, aunque la AIREF dio acceso a la información reclamada antes de finalizar el procedimiento de reclamación ante el Consejo.</w:t>
      </w:r>
    </w:p>
    <w:p w:rsidR="001E1C29" w:rsidRPr="003456B5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3456B5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t>3</w:t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t>: Reclamaciones ante el Consejo de Transparencia y Buen Gobierno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F34803" w:rsidRPr="0048443D" w:rsidTr="001E1C29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F34803" w:rsidRPr="0048443D" w:rsidRDefault="00F34803" w:rsidP="00F34803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4803" w:rsidRPr="0048443D" w:rsidTr="001E1C2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  <w:tr w:rsidR="00F34803" w:rsidRPr="0048443D" w:rsidTr="001E1C2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  <w:tr w:rsidR="00F34803" w:rsidRPr="0048443D" w:rsidTr="001E1C2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4803" w:rsidRPr="0048443D" w:rsidTr="001E1C2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34803" w:rsidRPr="0048443D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  <w:tr w:rsidR="00F34803" w:rsidRPr="0048443D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  <w:tr w:rsidR="00F34803" w:rsidRPr="0048443D" w:rsidTr="001E1C2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  <w:tr w:rsidR="00F34803" w:rsidRPr="0048443D" w:rsidTr="001E1C29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  <w:tr w:rsidR="00F34803" w:rsidRPr="0048443D" w:rsidTr="001E1C2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  <w:tr w:rsidR="00F34803" w:rsidRPr="0048443D" w:rsidTr="001E1C2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34803" w:rsidRPr="0048443D" w:rsidRDefault="00F34803" w:rsidP="00F34803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34803" w:rsidRPr="0048443D" w:rsidRDefault="00F34803" w:rsidP="00F34803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34803" w:rsidRPr="0048443D" w:rsidRDefault="00F34803" w:rsidP="00F348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4803" w:rsidRDefault="00F34803" w:rsidP="00256215">
      <w:pPr>
        <w:pStyle w:val="Cuerpodelboletn"/>
      </w:pPr>
    </w:p>
    <w:p w:rsidR="00F34803" w:rsidRDefault="00F34803" w:rsidP="00256215">
      <w:pPr>
        <w:pStyle w:val="Cuerpodelboletn"/>
      </w:pPr>
    </w:p>
    <w:p w:rsidR="001F251B" w:rsidRPr="00256215" w:rsidRDefault="00BF247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de la </w:t>
      </w:r>
      <w:r>
        <w:t>AIREF</w:t>
      </w:r>
      <w:r w:rsidRPr="00DC0848">
        <w:t xml:space="preserve"> presenta algunas buenas prácticas que serían aplicables por otras organizaciones públicas.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>La disponibilidad de un formulario web para la presentación de las solicitudes.</w:t>
      </w:r>
    </w:p>
    <w:p w:rsidR="00A544D3" w:rsidRDefault="00A544D3" w:rsidP="00A544D3">
      <w:pPr>
        <w:pStyle w:val="Prrafodelista"/>
        <w:numPr>
          <w:ilvl w:val="0"/>
          <w:numId w:val="5"/>
        </w:numPr>
      </w:pPr>
      <w:r>
        <w:t>La posibilidad de efectuar la solicitud sin más requisitos que la identificación y un correo electrónico.</w:t>
      </w:r>
    </w:p>
    <w:p w:rsidR="00A544D3" w:rsidRDefault="00A544D3" w:rsidP="00A544D3">
      <w:pPr>
        <w:pStyle w:val="Prrafodelista"/>
        <w:numPr>
          <w:ilvl w:val="0"/>
          <w:numId w:val="5"/>
        </w:numPr>
      </w:pPr>
      <w:r>
        <w:t>El establecimiento de diversos canales</w:t>
      </w:r>
      <w:r w:rsidR="00531D64">
        <w:t xml:space="preserve"> </w:t>
      </w:r>
      <w:r>
        <w:t xml:space="preserve">para presentar las solicitudes. </w:t>
      </w:r>
    </w:p>
    <w:p w:rsidR="00DC0848" w:rsidRDefault="00DC0848" w:rsidP="00256215"/>
    <w:p w:rsidR="00256215" w:rsidRDefault="00BF247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F34803" w:rsidP="00F34803">
      <w:pPr>
        <w:pStyle w:val="Prrafodelista"/>
        <w:ind w:left="644"/>
        <w:jc w:val="both"/>
        <w:rPr>
          <w:bCs/>
        </w:rPr>
      </w:pPr>
      <w:r w:rsidRPr="008648E8">
        <w:rPr>
          <w:bCs/>
        </w:rPr>
        <w:t xml:space="preserve">La </w:t>
      </w:r>
      <w:r>
        <w:rPr>
          <w:bCs/>
        </w:rPr>
        <w:t xml:space="preserve">AIREF, tramita </w:t>
      </w:r>
      <w:r w:rsidR="001E1C29">
        <w:rPr>
          <w:bCs/>
        </w:rPr>
        <w:t xml:space="preserve">el </w:t>
      </w:r>
      <w:r w:rsidR="00D74E79">
        <w:rPr>
          <w:bCs/>
        </w:rPr>
        <w:t>100% de las solicitudes que recibe y</w:t>
      </w:r>
      <w:r>
        <w:rPr>
          <w:bCs/>
        </w:rPr>
        <w:t xml:space="preserve"> admite </w:t>
      </w:r>
      <w:r w:rsidR="00D74E79">
        <w:rPr>
          <w:bCs/>
        </w:rPr>
        <w:t>la totalidad</w:t>
      </w:r>
      <w:r>
        <w:rPr>
          <w:bCs/>
        </w:rPr>
        <w:t xml:space="preserve"> de ellas</w:t>
      </w:r>
      <w:r w:rsidR="00D74E79">
        <w:rPr>
          <w:bCs/>
        </w:rPr>
        <w:t>. La información aportada indica que se emite resolución expresa para el 100% de las solicitudes admitidas. No se han aportado datos para conocer cuántas de estas solicitudes conceden acceso total y cuántas parcial.</w:t>
      </w:r>
      <w:r w:rsidR="00531D64">
        <w:rPr>
          <w:bCs/>
        </w:rPr>
        <w:t xml:space="preserve"> </w:t>
      </w:r>
      <w:r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Pr="008648E8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 AIREF debería publicar en su Portal de Transparencia las resoluciones que deniegan el acceso a la información por aplicación de los límites del artículo 14, según lo dispuesto por el artículo 14.3 de la LTAIBG.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F34803" w:rsidP="00F34803">
      <w:pPr>
        <w:pStyle w:val="Prrafodelista"/>
        <w:ind w:left="644"/>
        <w:jc w:val="both"/>
      </w:pPr>
      <w:r>
        <w:t xml:space="preserve">Como se ha indicado, la AIREF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5A0354">
        <w:t xml:space="preserve">ofrece </w:t>
      </w:r>
      <w:r>
        <w:t xml:space="preserve">información 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  <w:r w:rsidR="005A0354">
        <w:t xml:space="preserve">También proporciona un formulario web y ha habilitado diversos canales para la presentación de las solicitudes. </w:t>
      </w:r>
    </w:p>
    <w:p w:rsidR="00A915A2" w:rsidRDefault="00A915A2" w:rsidP="00F34803">
      <w:pPr>
        <w:pStyle w:val="Prrafodelista"/>
        <w:ind w:left="644"/>
        <w:jc w:val="both"/>
      </w:pPr>
    </w:p>
    <w:p w:rsidR="00F34803" w:rsidRDefault="005A0354" w:rsidP="00F34803">
      <w:pPr>
        <w:pStyle w:val="Prrafodelista"/>
        <w:ind w:left="644"/>
        <w:jc w:val="both"/>
      </w:pPr>
      <w:r>
        <w:t xml:space="preserve">Salvo si se solicitud se presenta a través de la sede electrónica – en cuyo caso es preciso contar con certificado digital, </w:t>
      </w:r>
      <w:r w:rsidRPr="005A0354">
        <w:t xml:space="preserve">PIN 24H o </w:t>
      </w:r>
      <w:proofErr w:type="spellStart"/>
      <w:r w:rsidRPr="005A0354">
        <w:t>cl@ve</w:t>
      </w:r>
      <w:proofErr w:type="spellEnd"/>
      <w:r>
        <w:t xml:space="preserve"> -</w:t>
      </w:r>
      <w:r w:rsidR="00A915A2">
        <w:t xml:space="preserve"> </w:t>
      </w:r>
      <w:r>
        <w:t>solo se exige la identificación del solicitante</w:t>
      </w:r>
      <w:r w:rsidR="00A915A2">
        <w:t xml:space="preserve">, </w:t>
      </w:r>
      <w:r>
        <w:t>una dirección de contacto, preferiblemente electrónica</w:t>
      </w:r>
      <w:r w:rsidR="00A915A2">
        <w:t xml:space="preserve"> y la aceptación del tratamiento de los datos personales.</w:t>
      </w:r>
      <w:r>
        <w:t xml:space="preserve"> </w:t>
      </w:r>
      <w:r w:rsidR="00A915A2">
        <w:t>Lo que facilita la accesibilidad al ejercicio del derecho.</w:t>
      </w:r>
    </w:p>
    <w:p w:rsidR="005A0354" w:rsidRDefault="005A035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F34803" w:rsidRDefault="00F34803" w:rsidP="00F34803">
      <w:pPr>
        <w:pStyle w:val="Prrafodelista"/>
        <w:ind w:left="644"/>
        <w:jc w:val="both"/>
      </w:pPr>
      <w:r>
        <w:t xml:space="preserve">La gestión de la solicitud de acceso presentada </w:t>
      </w:r>
      <w:r w:rsidR="00A915A2">
        <w:t xml:space="preserve">no </w:t>
      </w:r>
      <w:r>
        <w:t>se ha ajustado al procedimiento establecido po</w:t>
      </w:r>
      <w:r w:rsidR="00BF247A">
        <w:t>r la LTAIBG, dado que s</w:t>
      </w:r>
      <w:r w:rsidR="00DF2ACE">
        <w:t xml:space="preserve">e emite una resolución </w:t>
      </w:r>
      <w:r w:rsidR="00626819">
        <w:t>que no recoge todos los requ</w:t>
      </w:r>
      <w:r w:rsidR="00930638">
        <w:t>isitos</w:t>
      </w:r>
      <w:r w:rsidR="00626819">
        <w:t xml:space="preserve">, ya que carece de </w:t>
      </w:r>
      <w:r w:rsidR="001E1C29">
        <w:t>información</w:t>
      </w:r>
      <w:r w:rsidR="00626819">
        <w:t xml:space="preserve"> sobre los medios de impugnación en caso de disconformidad</w:t>
      </w:r>
      <w:r w:rsidR="00531D64">
        <w:t xml:space="preserve"> </w:t>
      </w:r>
      <w:r w:rsidR="00626819">
        <w:t>con la respuesta proporcionada</w:t>
      </w:r>
      <w:r w:rsidR="00DF2ACE">
        <w:t>, cuesti</w:t>
      </w:r>
      <w:bookmarkStart w:id="0" w:name="_GoBack"/>
      <w:bookmarkEnd w:id="0"/>
      <w:r w:rsidR="00DF2ACE">
        <w:t>ón sobre la que tampoco se informa en el Portal de Transparencia de la entidad.</w:t>
      </w:r>
      <w:r w:rsidR="00531D64">
        <w:t xml:space="preserve"> </w:t>
      </w:r>
    </w:p>
    <w:p w:rsidR="00F34803" w:rsidRDefault="00F34803" w:rsidP="00F34803">
      <w:pPr>
        <w:pStyle w:val="Prrafodelista"/>
        <w:ind w:left="644"/>
        <w:jc w:val="both"/>
      </w:pPr>
    </w:p>
    <w:p w:rsidR="00F34803" w:rsidRDefault="00DF2ACE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</w:pPr>
      <w:r>
        <w:t xml:space="preserve">Aun cuando </w:t>
      </w:r>
      <w:r w:rsidR="00930638">
        <w:t xml:space="preserve">la AIREF ha dado respuesta a la solicitud de información </w:t>
      </w:r>
      <w:r w:rsidR="000A1C07">
        <w:t xml:space="preserve">con rapidez y </w:t>
      </w:r>
      <w:r w:rsidR="00930638">
        <w:t xml:space="preserve">en un plazo muy corto de tiempo </w:t>
      </w:r>
      <w:r w:rsidR="000A1C07">
        <w:t>(cuatro días</w:t>
      </w:r>
      <w:r w:rsidR="00930638">
        <w:t xml:space="preserve"> naturales</w:t>
      </w:r>
      <w:r w:rsidR="000A1C07">
        <w:t>)</w:t>
      </w:r>
      <w:r w:rsidR="00930638">
        <w:t xml:space="preserve"> desde su presentación), la resolución dictada no expresa los recursos que contra la misma procede</w:t>
      </w:r>
      <w:r w:rsidR="00833900">
        <w:t>n</w:t>
      </w:r>
      <w:r w:rsidR="00930638">
        <w:t xml:space="preserve">, órgano administrativo o judicial ante el que presentarlos y el plazo para interponerlos. </w:t>
      </w:r>
    </w:p>
    <w:p w:rsidR="00B40246" w:rsidRDefault="00B40246"/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EE" w:rsidRDefault="001252EE" w:rsidP="00932008">
      <w:pPr>
        <w:spacing w:after="0" w:line="240" w:lineRule="auto"/>
      </w:pPr>
      <w:r>
        <w:separator/>
      </w:r>
    </w:p>
  </w:endnote>
  <w:endnote w:type="continuationSeparator" w:id="0">
    <w:p w:rsidR="001252EE" w:rsidRDefault="001252E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533E7" w:rsidRPr="00C533E7" w:rsidRDefault="00C533E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F247A">
          <w:rPr>
            <w:noProof/>
            <w:sz w:val="18"/>
            <w:szCs w:val="18"/>
          </w:rPr>
          <w:t>5</w:t>
        </w:r>
        <w:r w:rsidRPr="00C533E7">
          <w:rPr>
            <w:sz w:val="18"/>
            <w:szCs w:val="18"/>
          </w:rPr>
          <w:fldChar w:fldCharType="end"/>
        </w:r>
      </w:p>
    </w:sdtContent>
  </w:sdt>
  <w:p w:rsidR="00C533E7" w:rsidRDefault="00C53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EE" w:rsidRDefault="001252EE" w:rsidP="00932008">
      <w:pPr>
        <w:spacing w:after="0" w:line="240" w:lineRule="auto"/>
      </w:pPr>
      <w:r>
        <w:separator/>
      </w:r>
    </w:p>
  </w:footnote>
  <w:footnote w:type="continuationSeparator" w:id="0">
    <w:p w:rsidR="001252EE" w:rsidRDefault="001252E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80278"/>
    <w:rsid w:val="002A154B"/>
    <w:rsid w:val="003145AD"/>
    <w:rsid w:val="00334115"/>
    <w:rsid w:val="003B5288"/>
    <w:rsid w:val="003F271E"/>
    <w:rsid w:val="003F572A"/>
    <w:rsid w:val="004A12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706E04"/>
    <w:rsid w:val="00707CFE"/>
    <w:rsid w:val="00710031"/>
    <w:rsid w:val="00727BA2"/>
    <w:rsid w:val="00743756"/>
    <w:rsid w:val="007B0F99"/>
    <w:rsid w:val="007C57AB"/>
    <w:rsid w:val="007D6B40"/>
    <w:rsid w:val="00815659"/>
    <w:rsid w:val="008207D9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83919"/>
    <w:rsid w:val="00A41DD5"/>
    <w:rsid w:val="00A544D3"/>
    <w:rsid w:val="00A8003E"/>
    <w:rsid w:val="00A915A2"/>
    <w:rsid w:val="00AD1DBF"/>
    <w:rsid w:val="00AE788F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247A"/>
    <w:rsid w:val="00C33A23"/>
    <w:rsid w:val="00C34BB5"/>
    <w:rsid w:val="00C4479B"/>
    <w:rsid w:val="00C533E7"/>
    <w:rsid w:val="00C5744D"/>
    <w:rsid w:val="00CB5511"/>
    <w:rsid w:val="00CB7518"/>
    <w:rsid w:val="00CC2049"/>
    <w:rsid w:val="00CC587B"/>
    <w:rsid w:val="00CC610D"/>
    <w:rsid w:val="00CD0605"/>
    <w:rsid w:val="00D445A7"/>
    <w:rsid w:val="00D52E43"/>
    <w:rsid w:val="00D74E79"/>
    <w:rsid w:val="00D96F84"/>
    <w:rsid w:val="00DC0848"/>
    <w:rsid w:val="00DD3E02"/>
    <w:rsid w:val="00DE4AA9"/>
    <w:rsid w:val="00DF2ACE"/>
    <w:rsid w:val="00DF63E7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87096B"/>
    <w:rsid w:val="00AB1850"/>
    <w:rsid w:val="00C26568"/>
    <w:rsid w:val="00C60DC9"/>
    <w:rsid w:val="00D35513"/>
    <w:rsid w:val="00E147F2"/>
    <w:rsid w:val="00E16D50"/>
    <w:rsid w:val="00E30568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1D353-1D50-450A-A9B6-9FEA796C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1154</TotalTime>
  <Pages>5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28</cp:revision>
  <cp:lastPrinted>2007-10-26T10:03:00Z</cp:lastPrinted>
  <dcterms:created xsi:type="dcterms:W3CDTF">2021-02-10T16:24:00Z</dcterms:created>
  <dcterms:modified xsi:type="dcterms:W3CDTF">2021-05-10T10:30:00Z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