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F15E0C" w:rsidRPr="00006957" w:rsidRDefault="00F15E0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F15E0C" w:rsidRPr="00006957" w:rsidRDefault="00F15E0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15E0C" w:rsidRDefault="00F15E0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15E0C" w:rsidRDefault="00F15E0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133620" w:rsidRPr="00CB5511" w:rsidTr="009F3CEB">
        <w:tc>
          <w:tcPr>
            <w:tcW w:w="3652" w:type="dxa"/>
          </w:tcPr>
          <w:p w:rsidR="00133620" w:rsidRPr="00E34195" w:rsidRDefault="00133620" w:rsidP="009F3CEB">
            <w:pPr>
              <w:rPr>
                <w:b/>
                <w:color w:val="00642D"/>
                <w:sz w:val="24"/>
                <w:szCs w:val="24"/>
              </w:rPr>
            </w:pPr>
            <w:r w:rsidRPr="00E34195">
              <w:rPr>
                <w:b/>
                <w:color w:val="00642D"/>
                <w:sz w:val="24"/>
                <w:szCs w:val="24"/>
              </w:rPr>
              <w:t>Entidad evaluada</w:t>
            </w:r>
          </w:p>
        </w:tc>
        <w:tc>
          <w:tcPr>
            <w:tcW w:w="6954" w:type="dxa"/>
          </w:tcPr>
          <w:p w:rsidR="00133620" w:rsidRPr="00CB5511" w:rsidRDefault="00133620" w:rsidP="009F3CEB">
            <w:pPr>
              <w:rPr>
                <w:sz w:val="24"/>
                <w:szCs w:val="24"/>
              </w:rPr>
            </w:pPr>
            <w:r>
              <w:rPr>
                <w:sz w:val="24"/>
                <w:szCs w:val="24"/>
              </w:rPr>
              <w:t>Banco de España</w:t>
            </w:r>
          </w:p>
        </w:tc>
      </w:tr>
      <w:tr w:rsidR="00133620" w:rsidRPr="00CB5511" w:rsidTr="009F3CEB">
        <w:tc>
          <w:tcPr>
            <w:tcW w:w="3652" w:type="dxa"/>
          </w:tcPr>
          <w:p w:rsidR="00133620" w:rsidRPr="00E34195" w:rsidRDefault="00133620" w:rsidP="009F3CEB">
            <w:pPr>
              <w:rPr>
                <w:b/>
                <w:color w:val="00642D"/>
                <w:sz w:val="24"/>
                <w:szCs w:val="24"/>
              </w:rPr>
            </w:pPr>
            <w:r w:rsidRPr="00E34195">
              <w:rPr>
                <w:b/>
                <w:color w:val="00642D"/>
                <w:sz w:val="24"/>
                <w:szCs w:val="24"/>
              </w:rPr>
              <w:t>Fecha de la evaluación</w:t>
            </w:r>
          </w:p>
        </w:tc>
        <w:tc>
          <w:tcPr>
            <w:tcW w:w="6954" w:type="dxa"/>
          </w:tcPr>
          <w:p w:rsidR="00133620" w:rsidRPr="00CB5511" w:rsidRDefault="00133620" w:rsidP="009F3CEB">
            <w:pPr>
              <w:rPr>
                <w:sz w:val="24"/>
                <w:szCs w:val="24"/>
              </w:rPr>
            </w:pPr>
            <w:r>
              <w:rPr>
                <w:sz w:val="24"/>
                <w:szCs w:val="24"/>
              </w:rPr>
              <w:t>12/02/2021</w:t>
            </w:r>
          </w:p>
        </w:tc>
      </w:tr>
    </w:tbl>
    <w:p w:rsidR="00133620" w:rsidRDefault="00133620"/>
    <w:p w:rsidR="00561402" w:rsidRPr="0012783F" w:rsidRDefault="007C51B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B149F8" w:rsidP="0012783F">
      <w:pPr>
        <w:pStyle w:val="Cuerpodelboletn"/>
        <w:spacing w:before="120" w:after="120" w:line="312" w:lineRule="auto"/>
        <w:ind w:left="360"/>
        <w:rPr>
          <w:rStyle w:val="Ttulo2Car"/>
          <w:b w:val="0"/>
          <w:color w:val="auto"/>
          <w:sz w:val="22"/>
          <w:szCs w:val="22"/>
          <w:lang w:bidi="es-ES"/>
        </w:rPr>
      </w:pPr>
      <w:r w:rsidRPr="00B149F8">
        <w:rPr>
          <w:rStyle w:val="Ttulo2Car"/>
          <w:b w:val="0"/>
          <w:color w:val="auto"/>
          <w:sz w:val="22"/>
          <w:szCs w:val="22"/>
          <w:lang w:bidi="es-ES"/>
        </w:rPr>
        <w:t xml:space="preserve">El </w:t>
      </w:r>
      <w:r>
        <w:rPr>
          <w:rStyle w:val="Ttulo2Car"/>
          <w:b w:val="0"/>
          <w:color w:val="auto"/>
          <w:sz w:val="22"/>
          <w:szCs w:val="22"/>
          <w:lang w:bidi="es-ES"/>
        </w:rPr>
        <w:t>Banco de España ha asignado la gestión de las solicitudes de acceso a la información pública de</w:t>
      </w:r>
      <w:r w:rsidR="00057C7A">
        <w:rPr>
          <w:rStyle w:val="Ttulo2Car"/>
          <w:b w:val="0"/>
          <w:color w:val="auto"/>
          <w:sz w:val="22"/>
          <w:szCs w:val="22"/>
          <w:lang w:bidi="es-ES"/>
        </w:rPr>
        <w:t xml:space="preserve"> </w:t>
      </w:r>
      <w:r>
        <w:rPr>
          <w:rStyle w:val="Ttulo2Car"/>
          <w:b w:val="0"/>
          <w:color w:val="auto"/>
          <w:sz w:val="22"/>
          <w:szCs w:val="22"/>
          <w:lang w:bidi="es-ES"/>
        </w:rPr>
        <w:t xml:space="preserve">la entidad a la </w:t>
      </w:r>
      <w:r w:rsidRPr="00B149F8">
        <w:rPr>
          <w:rStyle w:val="Ttulo2Car"/>
          <w:b w:val="0"/>
          <w:color w:val="auto"/>
          <w:sz w:val="22"/>
          <w:szCs w:val="22"/>
          <w:lang w:bidi="es-ES"/>
        </w:rPr>
        <w:t>División de Gobernanza y Transparencia de la Dirección General Adjunta de Vicesecretaría General</w:t>
      </w:r>
      <w:r>
        <w:rPr>
          <w:rStyle w:val="Ttulo2Car"/>
          <w:b w:val="0"/>
          <w:color w:val="auto"/>
          <w:sz w:val="22"/>
          <w:szCs w:val="22"/>
          <w:lang w:bidi="es-ES"/>
        </w:rPr>
        <w:t>. Para ello cuenta con tres personas de las cuales ninguna se dedica exclusivamente a esta actividad.</w:t>
      </w:r>
      <w:r w:rsidR="00133620">
        <w:rPr>
          <w:rStyle w:val="Ttulo2Car"/>
          <w:b w:val="0"/>
          <w:color w:val="auto"/>
          <w:sz w:val="22"/>
          <w:szCs w:val="22"/>
          <w:lang w:bidi="es-ES"/>
        </w:rPr>
        <w:t xml:space="preserve"> </w:t>
      </w:r>
    </w:p>
    <w:p w:rsidR="00057C7A" w:rsidRPr="00B149F8" w:rsidRDefault="00057C7A" w:rsidP="0012783F">
      <w:pPr>
        <w:pStyle w:val="Cuerpodelboletn"/>
        <w:spacing w:before="120" w:after="120" w:line="312" w:lineRule="auto"/>
        <w:ind w:left="360"/>
        <w:rPr>
          <w:rStyle w:val="Ttulo2Car"/>
          <w:b w:val="0"/>
          <w:color w:val="auto"/>
          <w:sz w:val="22"/>
          <w:szCs w:val="22"/>
          <w:lang w:bidi="es-ES"/>
        </w:rPr>
      </w:pPr>
    </w:p>
    <w:p w:rsidR="00B812AB" w:rsidRPr="0012783F" w:rsidRDefault="007C51B4"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133620">
            <w:rPr>
              <w:b/>
              <w:color w:val="00642D"/>
              <w:sz w:val="30"/>
              <w:szCs w:val="30"/>
            </w:rPr>
            <w:t xml:space="preserve"> </w:t>
          </w:r>
        </w:sdtContent>
      </w:sdt>
    </w:p>
    <w:p w:rsidR="00057C7A" w:rsidRDefault="00057C7A"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8967F8" w:rsidRDefault="008967F8" w:rsidP="00B149F8">
      <w:pPr>
        <w:ind w:left="426"/>
      </w:pPr>
    </w:p>
    <w:p w:rsidR="00B149F8" w:rsidRDefault="00B149F8" w:rsidP="00057C7A">
      <w:pPr>
        <w:ind w:left="426"/>
        <w:jc w:val="both"/>
      </w:pPr>
      <w:r>
        <w:t>En 2020, El BdE recibió 45 solicitudes, a las</w:t>
      </w:r>
      <w:r w:rsidR="00133620">
        <w:t xml:space="preserve"> </w:t>
      </w:r>
      <w:r>
        <w:t>que hay que añadir 18 que quedaron pendientes a finales de 2019. De estas 63 solicitudes se tramitaron 63 a lo largo de 2020, quedando pendientes a 31de diciembre de ese año 3 solicitudes</w:t>
      </w:r>
      <w:r>
        <w:rPr>
          <w:rStyle w:val="Refdenotaalpie"/>
        </w:rPr>
        <w:footnoteReference w:id="1"/>
      </w:r>
      <w:r>
        <w:t>.</w:t>
      </w:r>
    </w:p>
    <w:p w:rsidR="00F14DA4" w:rsidRDefault="00B149F8" w:rsidP="008967F8">
      <w:pPr>
        <w:ind w:left="426"/>
        <w:jc w:val="both"/>
      </w:pPr>
      <w:r>
        <w:t>De estas 63 solicitudes tramitadas, 58 fueron admitidas</w:t>
      </w:r>
      <w:r w:rsidR="008967F8">
        <w:t xml:space="preserve"> –según señala el BdE algunas solicitudes fueron admitidas de manera parcial -</w:t>
      </w:r>
      <w:r>
        <w:t xml:space="preserve">, quedando inadmitidas </w:t>
      </w:r>
      <w:r w:rsidR="008967F8">
        <w:t>en su totalidad 4</w:t>
      </w:r>
      <w:r>
        <w:t xml:space="preserve">, de las cuales </w:t>
      </w:r>
      <w:r w:rsidR="008967F8">
        <w:t>3</w:t>
      </w:r>
      <w:r>
        <w:t xml:space="preserve"> lo fueron porque </w:t>
      </w:r>
      <w:r w:rsidR="008967F8">
        <w:t>los solicitantes tenían la condición de</w:t>
      </w:r>
      <w:r w:rsidR="00133620">
        <w:t xml:space="preserve"> </w:t>
      </w:r>
      <w:r w:rsidR="008967F8" w:rsidRPr="008967F8">
        <w:t xml:space="preserve">interesados en un </w:t>
      </w:r>
      <w:r w:rsidR="008967F8" w:rsidRPr="008967F8">
        <w:lastRenderedPageBreak/>
        <w:t>procedimiento administrativo en curso</w:t>
      </w:r>
      <w:r w:rsidR="00057C7A">
        <w:t xml:space="preserve"> y la solicitud se refería a</w:t>
      </w:r>
      <w:r w:rsidR="008967F8" w:rsidRPr="008967F8">
        <w:t xml:space="preserve"> documentos que se integren en el mismo </w:t>
      </w:r>
      <w:r>
        <w:t xml:space="preserve">y </w:t>
      </w:r>
      <w:r w:rsidR="008967F8">
        <w:t xml:space="preserve">la </w:t>
      </w:r>
      <w:r w:rsidR="00057C7A">
        <w:t>restante</w:t>
      </w:r>
      <w:r w:rsidR="008967F8">
        <w:t xml:space="preserve"> </w:t>
      </w:r>
      <w:r w:rsidR="008967F8" w:rsidRPr="008967F8">
        <w:t xml:space="preserve">fue inadmitida por no constituir la información solicitada «información pública» en el sentido del artículo 13 de la Ley 19/2013, de 9 de diciembre, de transparencia, acceso a la información pública y buen gobierno y, por tanto, no poder otorgarse el acceso a dicha información al amparo de esta norma. </w:t>
      </w:r>
    </w:p>
    <w:p w:rsidR="00A41DD5" w:rsidRPr="008967F8" w:rsidRDefault="008967F8" w:rsidP="00057C7A">
      <w:pPr>
        <w:ind w:left="426"/>
        <w:jc w:val="both"/>
      </w:pPr>
      <w:r w:rsidRPr="008967F8">
        <w:t xml:space="preserve">Una de las solicitudes fue </w:t>
      </w:r>
      <w:r>
        <w:t>archivada</w:t>
      </w:r>
      <w:r w:rsidR="00690993">
        <w:t xml:space="preserve"> </w:t>
      </w:r>
      <w:r w:rsidR="00690993" w:rsidRPr="00690993">
        <w:t>por no contar con información suficiente para realizar su tramitación, de conformidad con el artículo 17 de la Ley 19/2013, de 9 de diciembre, de transparencia, acceso a la información y buen gobierno</w:t>
      </w:r>
      <w:r w:rsidR="00690993">
        <w:t>. Según indica el BdE.</w:t>
      </w:r>
    </w:p>
    <w:p w:rsidR="00057C7A" w:rsidRDefault="00057C7A"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057C7A" w:rsidRDefault="00057C7A" w:rsidP="00F7263F">
      <w:pPr>
        <w:pStyle w:val="Cuerpodelboletn"/>
        <w:spacing w:before="120" w:after="120" w:line="312" w:lineRule="auto"/>
        <w:ind w:left="360"/>
        <w:rPr>
          <w:rStyle w:val="Ttulo2Car"/>
          <w:color w:val="00642D"/>
          <w:lang w:bidi="es-ES"/>
        </w:rPr>
      </w:pPr>
    </w:p>
    <w:p w:rsidR="00690993" w:rsidRDefault="00690993" w:rsidP="00690993">
      <w:pPr>
        <w:ind w:left="426"/>
        <w:jc w:val="both"/>
        <w:rPr>
          <w:rStyle w:val="Ttulo2Car"/>
          <w:b w:val="0"/>
          <w:color w:val="auto"/>
          <w:sz w:val="22"/>
          <w:szCs w:val="22"/>
          <w:lang w:bidi="es-ES"/>
        </w:rPr>
      </w:pPr>
      <w:r w:rsidRPr="00647481">
        <w:rPr>
          <w:rStyle w:val="Ttulo2Car"/>
          <w:b w:val="0"/>
          <w:color w:val="auto"/>
          <w:sz w:val="22"/>
          <w:szCs w:val="22"/>
          <w:lang w:bidi="es-ES"/>
        </w:rPr>
        <w:t>En 2020</w:t>
      </w:r>
      <w:r>
        <w:rPr>
          <w:rStyle w:val="Ttulo2Car"/>
          <w:b w:val="0"/>
          <w:color w:val="auto"/>
          <w:sz w:val="22"/>
          <w:szCs w:val="22"/>
          <w:lang w:bidi="es-ES"/>
        </w:rPr>
        <w:t xml:space="preserve">, en promedio, cada una de las personas asignadas a la gestión de las solicitudes de acceso a información pública del BdE, asumió 21 solicitudes de las cuales tramitó 21. </w:t>
      </w:r>
    </w:p>
    <w:p w:rsidR="001F378E" w:rsidRDefault="001F378E" w:rsidP="00690993">
      <w:pPr>
        <w:ind w:left="426"/>
        <w:jc w:val="both"/>
        <w:rPr>
          <w:rStyle w:val="Ttulo2Car"/>
          <w:b w:val="0"/>
          <w:color w:val="auto"/>
          <w:sz w:val="22"/>
          <w:szCs w:val="22"/>
          <w:lang w:bidi="es-ES"/>
        </w:rPr>
      </w:pPr>
      <w:r>
        <w:rPr>
          <w:rStyle w:val="Ttulo2Car"/>
          <w:b w:val="0"/>
          <w:color w:val="auto"/>
          <w:sz w:val="22"/>
          <w:szCs w:val="22"/>
          <w:lang w:bidi="es-ES"/>
        </w:rPr>
        <w:t>Según los datos aportados por el BdE, e</w:t>
      </w:r>
      <w:r w:rsidR="00690993">
        <w:rPr>
          <w:rStyle w:val="Ttulo2Car"/>
          <w:b w:val="0"/>
          <w:color w:val="auto"/>
          <w:sz w:val="22"/>
          <w:szCs w:val="22"/>
          <w:lang w:bidi="es-ES"/>
        </w:rPr>
        <w:t xml:space="preserve">n 2020 se tramitó </w:t>
      </w:r>
      <w:r>
        <w:rPr>
          <w:rStyle w:val="Ttulo2Car"/>
          <w:b w:val="0"/>
          <w:color w:val="auto"/>
          <w:sz w:val="22"/>
          <w:szCs w:val="22"/>
          <w:lang w:bidi="es-ES"/>
        </w:rPr>
        <w:t>la totalidad</w:t>
      </w:r>
      <w:r w:rsidR="00690993">
        <w:rPr>
          <w:rStyle w:val="Ttulo2Car"/>
          <w:b w:val="0"/>
          <w:color w:val="auto"/>
          <w:sz w:val="22"/>
          <w:szCs w:val="22"/>
          <w:lang w:bidi="es-ES"/>
        </w:rPr>
        <w:t xml:space="preserve"> de las solicitudes, tanto entradas en el año como pendientes a finales de2019. Sin embargo,</w:t>
      </w:r>
      <w:r>
        <w:rPr>
          <w:rStyle w:val="Ttulo2Car"/>
          <w:b w:val="0"/>
          <w:color w:val="auto"/>
          <w:sz w:val="22"/>
          <w:szCs w:val="22"/>
          <w:lang w:bidi="es-ES"/>
        </w:rPr>
        <w:t xml:space="preserve"> al mismo tiempo se indica que en diciembre de 2020 quedaron 3 solicitudes pendientes de tramitación,</w:t>
      </w:r>
      <w:r w:rsidR="002D404B">
        <w:rPr>
          <w:rStyle w:val="Ttulo2Car"/>
          <w:b w:val="0"/>
          <w:color w:val="auto"/>
          <w:sz w:val="22"/>
          <w:szCs w:val="22"/>
          <w:lang w:bidi="es-ES"/>
        </w:rPr>
        <w:t xml:space="preserve"> l</w:t>
      </w:r>
      <w:r>
        <w:rPr>
          <w:rStyle w:val="Ttulo2Car"/>
          <w:b w:val="0"/>
          <w:color w:val="auto"/>
          <w:sz w:val="22"/>
          <w:szCs w:val="22"/>
          <w:lang w:bidi="es-ES"/>
        </w:rPr>
        <w:t>o que sitúa la tasa de pendencia en 4,76, con una notable reducción respecto de 2019, año en el que quedaron pendientes de tramitación 19 solicitudes.</w:t>
      </w:r>
      <w:r w:rsidR="00133620">
        <w:rPr>
          <w:rStyle w:val="Ttulo2Car"/>
          <w:b w:val="0"/>
          <w:color w:val="auto"/>
          <w:sz w:val="22"/>
          <w:szCs w:val="22"/>
          <w:lang w:bidi="es-ES"/>
        </w:rPr>
        <w:t xml:space="preserve"> </w:t>
      </w:r>
    </w:p>
    <w:p w:rsidR="00690993" w:rsidRDefault="00690993" w:rsidP="00690993">
      <w:pPr>
        <w:ind w:left="426"/>
        <w:jc w:val="both"/>
        <w:rPr>
          <w:rStyle w:val="Ttulo2Car"/>
          <w:b w:val="0"/>
          <w:color w:val="auto"/>
          <w:sz w:val="22"/>
          <w:szCs w:val="22"/>
          <w:lang w:bidi="es-ES"/>
        </w:rPr>
      </w:pPr>
      <w:r>
        <w:rPr>
          <w:rStyle w:val="Ttulo2Car"/>
          <w:b w:val="0"/>
          <w:color w:val="auto"/>
          <w:sz w:val="22"/>
          <w:szCs w:val="22"/>
          <w:lang w:bidi="es-ES"/>
        </w:rPr>
        <w:t>El tiempo medio estimado para la tramitación de las solicitudes pendientes es de poco más de 1</w:t>
      </w:r>
      <w:r w:rsidR="001F378E">
        <w:rPr>
          <w:rStyle w:val="Ttulo2Car"/>
          <w:b w:val="0"/>
          <w:color w:val="auto"/>
          <w:sz w:val="22"/>
          <w:szCs w:val="22"/>
          <w:lang w:bidi="es-ES"/>
        </w:rPr>
        <w:t>7</w:t>
      </w:r>
      <w:r w:rsidR="00057C7A">
        <w:rPr>
          <w:rStyle w:val="Ttulo2Car"/>
          <w:b w:val="0"/>
          <w:color w:val="auto"/>
          <w:sz w:val="22"/>
          <w:szCs w:val="22"/>
          <w:lang w:bidi="es-ES"/>
        </w:rPr>
        <w:t xml:space="preserve"> </w:t>
      </w:r>
      <w:r>
        <w:rPr>
          <w:rStyle w:val="Ttulo2Car"/>
          <w:b w:val="0"/>
          <w:color w:val="auto"/>
          <w:sz w:val="22"/>
          <w:szCs w:val="22"/>
          <w:lang w:bidi="es-ES"/>
        </w:rPr>
        <w:t>días naturales.</w:t>
      </w:r>
    </w:p>
    <w:p w:rsidR="00690993" w:rsidRPr="00647481" w:rsidRDefault="001F378E" w:rsidP="00690993">
      <w:pPr>
        <w:ind w:left="426"/>
        <w:jc w:val="both"/>
        <w:rPr>
          <w:rStyle w:val="Ttulo2Car"/>
          <w:b w:val="0"/>
          <w:color w:val="auto"/>
          <w:sz w:val="22"/>
          <w:szCs w:val="22"/>
          <w:lang w:bidi="es-ES"/>
        </w:rPr>
      </w:pPr>
      <w:r>
        <w:rPr>
          <w:rStyle w:val="Ttulo2Car"/>
          <w:b w:val="0"/>
          <w:color w:val="auto"/>
          <w:sz w:val="22"/>
          <w:szCs w:val="22"/>
          <w:lang w:bidi="es-ES"/>
        </w:rPr>
        <w:t xml:space="preserve">El BdE </w:t>
      </w:r>
      <w:r w:rsidR="00690993">
        <w:rPr>
          <w:rStyle w:val="Ttulo2Car"/>
          <w:b w:val="0"/>
          <w:color w:val="auto"/>
          <w:sz w:val="22"/>
          <w:szCs w:val="22"/>
          <w:lang w:bidi="es-ES"/>
        </w:rPr>
        <w:t xml:space="preserve">admite </w:t>
      </w:r>
      <w:r>
        <w:rPr>
          <w:rStyle w:val="Ttulo2Car"/>
          <w:b w:val="0"/>
          <w:color w:val="auto"/>
          <w:sz w:val="22"/>
          <w:szCs w:val="22"/>
          <w:lang w:bidi="es-ES"/>
        </w:rPr>
        <w:t>el 92% delas solicitudes que tramita, situándose la tasa de inadmisión en 6,35</w:t>
      </w:r>
      <w:r w:rsidR="00133620">
        <w:rPr>
          <w:rStyle w:val="Ttulo2Car"/>
          <w:b w:val="0"/>
          <w:color w:val="auto"/>
          <w:sz w:val="22"/>
          <w:szCs w:val="22"/>
          <w:lang w:bidi="es-ES"/>
        </w:rPr>
        <w:t xml:space="preserve"> </w:t>
      </w:r>
      <w:r>
        <w:rPr>
          <w:rStyle w:val="Ttulo2Car"/>
          <w:b w:val="0"/>
          <w:color w:val="auto"/>
          <w:sz w:val="22"/>
          <w:szCs w:val="22"/>
          <w:lang w:bidi="es-ES"/>
        </w:rPr>
        <w:t xml:space="preserve">y la de archivo en 1,59. </w:t>
      </w:r>
    </w:p>
    <w:p w:rsidR="001F378E" w:rsidRPr="00647481" w:rsidRDefault="001F378E" w:rsidP="001F378E">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520456" w:rsidRPr="00706E04" w:rsidTr="001F378E">
        <w:tc>
          <w:tcPr>
            <w:tcW w:w="1299" w:type="dxa"/>
            <w:vMerge w:val="restart"/>
            <w:tcBorders>
              <w:top w:val="nil"/>
              <w:right w:val="nil"/>
            </w:tcBorders>
            <w:shd w:val="clear" w:color="auto" w:fill="4D7F52"/>
            <w:textDirection w:val="btLr"/>
          </w:tcPr>
          <w:p w:rsidR="00520456" w:rsidRPr="005B3C15" w:rsidRDefault="00520456"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520456" w:rsidRPr="001F378E" w:rsidRDefault="00520456" w:rsidP="00055B15">
            <w:pPr>
              <w:rPr>
                <w:sz w:val="20"/>
                <w:szCs w:val="20"/>
              </w:rPr>
            </w:pPr>
            <w:r w:rsidRPr="001F378E">
              <w:rPr>
                <w:sz w:val="20"/>
                <w:szCs w:val="20"/>
              </w:rPr>
              <w:t>Solicitudes/persona UIT</w:t>
            </w:r>
          </w:p>
        </w:tc>
        <w:tc>
          <w:tcPr>
            <w:tcW w:w="1559" w:type="dxa"/>
          </w:tcPr>
          <w:p w:rsidR="00520456" w:rsidRPr="00520456" w:rsidRDefault="00520456" w:rsidP="00520456">
            <w:pPr>
              <w:jc w:val="center"/>
              <w:rPr>
                <w:sz w:val="16"/>
                <w:szCs w:val="16"/>
              </w:rPr>
            </w:pPr>
            <w:r w:rsidRPr="00520456">
              <w:rPr>
                <w:sz w:val="16"/>
                <w:szCs w:val="16"/>
              </w:rPr>
              <w:t>21,00</w:t>
            </w:r>
          </w:p>
        </w:tc>
      </w:tr>
      <w:tr w:rsidR="00520456" w:rsidRPr="00706E04" w:rsidTr="001F378E">
        <w:tc>
          <w:tcPr>
            <w:tcW w:w="1299" w:type="dxa"/>
            <w:vMerge/>
            <w:tcBorders>
              <w:top w:val="nil"/>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055B15">
            <w:pPr>
              <w:rPr>
                <w:sz w:val="20"/>
                <w:szCs w:val="20"/>
              </w:rPr>
            </w:pPr>
            <w:r w:rsidRPr="001F378E">
              <w:rPr>
                <w:sz w:val="20"/>
                <w:szCs w:val="20"/>
              </w:rPr>
              <w:t>Solicitudes tramitadas/persona UIT</w:t>
            </w:r>
          </w:p>
        </w:tc>
        <w:tc>
          <w:tcPr>
            <w:tcW w:w="1559" w:type="dxa"/>
          </w:tcPr>
          <w:p w:rsidR="00520456" w:rsidRPr="00520456" w:rsidRDefault="00520456" w:rsidP="00520456">
            <w:pPr>
              <w:jc w:val="center"/>
              <w:rPr>
                <w:sz w:val="16"/>
                <w:szCs w:val="16"/>
              </w:rPr>
            </w:pPr>
            <w:r w:rsidRPr="00520456">
              <w:rPr>
                <w:sz w:val="16"/>
                <w:szCs w:val="16"/>
              </w:rPr>
              <w:t>21,00</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Tramitación (tramitadas/(pendientes a 31/12/2019 + recibidas 2020))</w:t>
            </w:r>
          </w:p>
        </w:tc>
        <w:tc>
          <w:tcPr>
            <w:tcW w:w="1559" w:type="dxa"/>
          </w:tcPr>
          <w:p w:rsidR="00520456" w:rsidRPr="00520456" w:rsidRDefault="00520456" w:rsidP="00520456">
            <w:pPr>
              <w:jc w:val="center"/>
              <w:rPr>
                <w:sz w:val="16"/>
                <w:szCs w:val="16"/>
              </w:rPr>
            </w:pPr>
            <w:r w:rsidRPr="00520456">
              <w:rPr>
                <w:sz w:val="16"/>
                <w:szCs w:val="16"/>
              </w:rPr>
              <w:t>100,00</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pendencia (pendientes a 31/12/2020 / tramitadas)</w:t>
            </w:r>
          </w:p>
        </w:tc>
        <w:tc>
          <w:tcPr>
            <w:tcW w:w="1559" w:type="dxa"/>
          </w:tcPr>
          <w:p w:rsidR="00520456" w:rsidRPr="00520456" w:rsidRDefault="00520456" w:rsidP="00520456">
            <w:pPr>
              <w:jc w:val="center"/>
              <w:rPr>
                <w:sz w:val="16"/>
                <w:szCs w:val="16"/>
              </w:rPr>
            </w:pPr>
            <w:r w:rsidRPr="00520456">
              <w:rPr>
                <w:sz w:val="16"/>
                <w:szCs w:val="16"/>
              </w:rPr>
              <w:t>4,76</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1F251B">
            <w:pPr>
              <w:rPr>
                <w:sz w:val="20"/>
                <w:szCs w:val="20"/>
              </w:rPr>
            </w:pPr>
            <w:r w:rsidRPr="001F378E">
              <w:rPr>
                <w:sz w:val="20"/>
                <w:szCs w:val="20"/>
              </w:rPr>
              <w:t>Tasa de resolución en la tramitación (tramitadas/entradas en 2020)</w:t>
            </w:r>
          </w:p>
        </w:tc>
        <w:tc>
          <w:tcPr>
            <w:tcW w:w="1559" w:type="dxa"/>
          </w:tcPr>
          <w:p w:rsidR="00520456" w:rsidRPr="00520456" w:rsidRDefault="00520456" w:rsidP="00520456">
            <w:pPr>
              <w:jc w:val="center"/>
              <w:rPr>
                <w:sz w:val="16"/>
                <w:szCs w:val="16"/>
              </w:rPr>
            </w:pPr>
            <w:r w:rsidRPr="00520456">
              <w:rPr>
                <w:sz w:val="16"/>
                <w:szCs w:val="16"/>
              </w:rPr>
              <w:t>140,00</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congestión ((pendientes a 31/12/2019 + entradas 2020) / tramitadas</w:t>
            </w:r>
          </w:p>
        </w:tc>
        <w:tc>
          <w:tcPr>
            <w:tcW w:w="1559" w:type="dxa"/>
          </w:tcPr>
          <w:p w:rsidR="00520456" w:rsidRPr="00520456" w:rsidRDefault="00520456" w:rsidP="00520456">
            <w:pPr>
              <w:jc w:val="center"/>
              <w:rPr>
                <w:sz w:val="16"/>
                <w:szCs w:val="16"/>
              </w:rPr>
            </w:pPr>
            <w:r w:rsidRPr="00520456">
              <w:rPr>
                <w:sz w:val="16"/>
                <w:szCs w:val="16"/>
              </w:rPr>
              <w:t>100,00</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5B3C15">
            <w:pPr>
              <w:rPr>
                <w:sz w:val="20"/>
                <w:szCs w:val="20"/>
              </w:rPr>
            </w:pPr>
            <w:r w:rsidRPr="001F378E">
              <w:rPr>
                <w:sz w:val="20"/>
                <w:szCs w:val="20"/>
              </w:rPr>
              <w:t xml:space="preserve">Tiempo medio estimado para la tramitación de las solicitudes pendientes ((pendientes a 31/12/2020 / tramitadas)*365 </w:t>
            </w:r>
          </w:p>
        </w:tc>
        <w:tc>
          <w:tcPr>
            <w:tcW w:w="1559" w:type="dxa"/>
          </w:tcPr>
          <w:p w:rsidR="00520456" w:rsidRPr="00520456" w:rsidRDefault="00520456" w:rsidP="00520456">
            <w:pPr>
              <w:jc w:val="center"/>
              <w:rPr>
                <w:sz w:val="16"/>
                <w:szCs w:val="16"/>
              </w:rPr>
            </w:pPr>
            <w:r w:rsidRPr="00520456">
              <w:rPr>
                <w:sz w:val="16"/>
                <w:szCs w:val="16"/>
              </w:rPr>
              <w:t>17,38</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admisión (admitidas/tramitadas)</w:t>
            </w:r>
          </w:p>
        </w:tc>
        <w:tc>
          <w:tcPr>
            <w:tcW w:w="1559" w:type="dxa"/>
          </w:tcPr>
          <w:p w:rsidR="00520456" w:rsidRPr="00520456" w:rsidRDefault="00520456" w:rsidP="00520456">
            <w:pPr>
              <w:jc w:val="center"/>
              <w:rPr>
                <w:sz w:val="16"/>
                <w:szCs w:val="16"/>
              </w:rPr>
            </w:pPr>
            <w:r w:rsidRPr="00520456">
              <w:rPr>
                <w:sz w:val="16"/>
                <w:szCs w:val="16"/>
              </w:rPr>
              <w:t>92,06</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inadmisión (inadmitidas/ tramitadas)</w:t>
            </w:r>
          </w:p>
        </w:tc>
        <w:tc>
          <w:tcPr>
            <w:tcW w:w="1559" w:type="dxa"/>
          </w:tcPr>
          <w:p w:rsidR="00520456" w:rsidRPr="00520456" w:rsidRDefault="00520456" w:rsidP="00520456">
            <w:pPr>
              <w:jc w:val="center"/>
              <w:rPr>
                <w:sz w:val="16"/>
                <w:szCs w:val="16"/>
              </w:rPr>
            </w:pPr>
            <w:r w:rsidRPr="00520456">
              <w:rPr>
                <w:sz w:val="16"/>
                <w:szCs w:val="16"/>
              </w:rPr>
              <w:t>6,35</w:t>
            </w:r>
          </w:p>
        </w:tc>
      </w:tr>
      <w:tr w:rsidR="00520456" w:rsidRPr="00706E04" w:rsidTr="001F378E">
        <w:tc>
          <w:tcPr>
            <w:tcW w:w="1299" w:type="dxa"/>
            <w:vMerge/>
            <w:tcBorders>
              <w:right w:val="nil"/>
            </w:tcBorders>
            <w:shd w:val="clear" w:color="auto" w:fill="4D7F52"/>
            <w:textDirection w:val="btLr"/>
          </w:tcPr>
          <w:p w:rsidR="00520456" w:rsidRPr="005B3C15" w:rsidRDefault="00520456" w:rsidP="00983919">
            <w:pPr>
              <w:ind w:left="113" w:right="113"/>
              <w:jc w:val="center"/>
              <w:rPr>
                <w:b/>
                <w:color w:val="FFFFFF" w:themeColor="background1"/>
              </w:rPr>
            </w:pPr>
          </w:p>
        </w:tc>
        <w:tc>
          <w:tcPr>
            <w:tcW w:w="6322" w:type="dxa"/>
            <w:tcBorders>
              <w:left w:val="nil"/>
            </w:tcBorders>
          </w:tcPr>
          <w:p w:rsidR="00520456" w:rsidRPr="001F378E" w:rsidRDefault="00520456" w:rsidP="00983919">
            <w:pPr>
              <w:rPr>
                <w:sz w:val="20"/>
                <w:szCs w:val="20"/>
              </w:rPr>
            </w:pPr>
            <w:r w:rsidRPr="001F378E">
              <w:rPr>
                <w:sz w:val="20"/>
                <w:szCs w:val="20"/>
              </w:rPr>
              <w:t>Tasa de archivo (archivadas/tramitadas)</w:t>
            </w:r>
          </w:p>
        </w:tc>
        <w:tc>
          <w:tcPr>
            <w:tcW w:w="1559" w:type="dxa"/>
          </w:tcPr>
          <w:p w:rsidR="00520456" w:rsidRPr="00520456" w:rsidRDefault="00520456" w:rsidP="00520456">
            <w:pPr>
              <w:jc w:val="center"/>
              <w:rPr>
                <w:sz w:val="16"/>
                <w:szCs w:val="16"/>
              </w:rPr>
            </w:pPr>
            <w:r w:rsidRPr="00520456">
              <w:rPr>
                <w:sz w:val="16"/>
                <w:szCs w:val="16"/>
              </w:rPr>
              <w:t>1,59</w:t>
            </w:r>
          </w:p>
        </w:tc>
      </w:tr>
    </w:tbl>
    <w:p w:rsidR="00B812AB" w:rsidRDefault="00B812AB" w:rsidP="00B812AB"/>
    <w:p w:rsidR="00133620" w:rsidRDefault="00133620" w:rsidP="00B812AB"/>
    <w:p w:rsidR="00133620" w:rsidRDefault="00133620" w:rsidP="00B812AB"/>
    <w:p w:rsidR="00133620" w:rsidRDefault="00133620"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057C7A" w:rsidRDefault="00057C7A" w:rsidP="002D404B">
      <w:pPr>
        <w:ind w:left="426"/>
        <w:jc w:val="both"/>
        <w:rPr>
          <w:rStyle w:val="Ttulo2Car"/>
          <w:b w:val="0"/>
          <w:color w:val="auto"/>
          <w:sz w:val="22"/>
          <w:szCs w:val="22"/>
          <w:lang w:bidi="es-ES"/>
        </w:rPr>
      </w:pPr>
    </w:p>
    <w:p w:rsidR="002D404B" w:rsidRDefault="002D404B" w:rsidP="002D404B">
      <w:pPr>
        <w:ind w:left="426"/>
        <w:jc w:val="both"/>
        <w:rPr>
          <w:rStyle w:val="Ttulo2Car"/>
          <w:b w:val="0"/>
          <w:color w:val="auto"/>
          <w:sz w:val="22"/>
          <w:szCs w:val="22"/>
          <w:lang w:bidi="es-ES"/>
        </w:rPr>
      </w:pPr>
      <w:r>
        <w:rPr>
          <w:rStyle w:val="Ttulo2Car"/>
          <w:b w:val="0"/>
          <w:color w:val="auto"/>
          <w:sz w:val="22"/>
          <w:szCs w:val="22"/>
          <w:lang w:bidi="es-ES"/>
        </w:rPr>
        <w:t xml:space="preserve">Respecto de las resoluciones emitidas en 2020, 22 concedieron la información, de las cuales 12 dieron acceso total y 10 parcial. En estas 10 solicitudes con concesión de acceso parcial, </w:t>
      </w:r>
      <w:r w:rsidRPr="002D404B">
        <w:rPr>
          <w:rStyle w:val="Ttulo2Car"/>
          <w:b w:val="0"/>
          <w:color w:val="auto"/>
          <w:sz w:val="22"/>
          <w:szCs w:val="22"/>
          <w:lang w:bidi="es-ES"/>
        </w:rPr>
        <w:t>se han contabilizado</w:t>
      </w:r>
      <w:r>
        <w:rPr>
          <w:rStyle w:val="Ttulo2Car"/>
          <w:b w:val="0"/>
          <w:color w:val="auto"/>
          <w:sz w:val="22"/>
          <w:szCs w:val="22"/>
          <w:lang w:bidi="es-ES"/>
        </w:rPr>
        <w:t>, según indica el BdE,</w:t>
      </w:r>
      <w:r w:rsidRPr="002D404B">
        <w:rPr>
          <w:rStyle w:val="Ttulo2Car"/>
          <w:b w:val="0"/>
          <w:color w:val="auto"/>
          <w:sz w:val="22"/>
          <w:szCs w:val="22"/>
          <w:lang w:bidi="es-ES"/>
        </w:rPr>
        <w:t xml:space="preserve"> tres solicitudes de acceso en las que una parte de la solicitud fue desestimada por aplicación de los límites del artículo 14.1 de la Ley 19/2013. En concreto, en un caso se aplicó el límite previsto en la letra f (igualdad de las partes en los procesos judiciales y la tutela judicial efectiva) y en los otros dos casos el límite de la letra h (intereses económicos y comerciales).</w:t>
      </w:r>
    </w:p>
    <w:p w:rsidR="00AF2617" w:rsidRPr="00AF2617" w:rsidRDefault="00133620" w:rsidP="00AF2617">
      <w:pPr>
        <w:ind w:left="426"/>
        <w:jc w:val="both"/>
        <w:rPr>
          <w:rStyle w:val="Ttulo2Car"/>
          <w:b w:val="0"/>
          <w:color w:val="auto"/>
          <w:sz w:val="22"/>
          <w:szCs w:val="22"/>
          <w:lang w:bidi="es-ES"/>
        </w:rPr>
      </w:pPr>
      <w:r>
        <w:rPr>
          <w:rStyle w:val="Ttulo2Car"/>
          <w:b w:val="0"/>
          <w:color w:val="auto"/>
          <w:sz w:val="22"/>
          <w:szCs w:val="22"/>
          <w:lang w:bidi="es-ES"/>
        </w:rPr>
        <w:t xml:space="preserve">Diecisiete solicitudes se denegaron, </w:t>
      </w:r>
      <w:r w:rsidR="002D404B">
        <w:rPr>
          <w:rStyle w:val="Ttulo2Car"/>
          <w:b w:val="0"/>
          <w:color w:val="auto"/>
          <w:sz w:val="22"/>
          <w:szCs w:val="22"/>
          <w:lang w:bidi="es-ES"/>
        </w:rPr>
        <w:t xml:space="preserve">6 aplicando como causa de denegación la </w:t>
      </w:r>
      <w:r w:rsidR="00A224A8" w:rsidRPr="00A224A8">
        <w:rPr>
          <w:rStyle w:val="Ttulo2Car"/>
          <w:b w:val="0"/>
          <w:color w:val="auto"/>
          <w:sz w:val="22"/>
          <w:szCs w:val="22"/>
          <w:lang w:bidi="es-ES"/>
        </w:rPr>
        <w:t xml:space="preserve">igualdad de las partes en los procesos judiciales y la tutela judicial efectiva </w:t>
      </w:r>
      <w:r w:rsidR="002D404B">
        <w:rPr>
          <w:rStyle w:val="Ttulo2Car"/>
          <w:b w:val="0"/>
          <w:color w:val="auto"/>
          <w:sz w:val="22"/>
          <w:szCs w:val="22"/>
          <w:lang w:bidi="es-ES"/>
        </w:rPr>
        <w:t>y otra</w:t>
      </w:r>
      <w:r w:rsidR="00A224A8">
        <w:rPr>
          <w:rStyle w:val="Ttulo2Car"/>
          <w:b w:val="0"/>
          <w:color w:val="auto"/>
          <w:sz w:val="22"/>
          <w:szCs w:val="22"/>
          <w:lang w:bidi="es-ES"/>
        </w:rPr>
        <w:t>s 6</w:t>
      </w:r>
      <w:r w:rsidR="002D404B">
        <w:rPr>
          <w:rStyle w:val="Ttulo2Car"/>
          <w:b w:val="0"/>
          <w:color w:val="auto"/>
          <w:sz w:val="22"/>
          <w:szCs w:val="22"/>
          <w:lang w:bidi="es-ES"/>
        </w:rPr>
        <w:t xml:space="preserve"> por afectar la solicitud a intereses económicos y comerciales</w:t>
      </w:r>
      <w:r w:rsidR="002D404B" w:rsidRPr="002D404B">
        <w:rPr>
          <w:rStyle w:val="Ttulo2Car"/>
          <w:b w:val="0"/>
          <w:color w:val="auto"/>
          <w:sz w:val="22"/>
          <w:szCs w:val="22"/>
          <w:lang w:bidi="es-ES"/>
        </w:rPr>
        <w:t>.</w:t>
      </w:r>
      <w:r w:rsidR="002D404B">
        <w:rPr>
          <w:rStyle w:val="Ttulo2Car"/>
          <w:b w:val="0"/>
          <w:color w:val="auto"/>
          <w:sz w:val="22"/>
          <w:szCs w:val="22"/>
          <w:lang w:bidi="es-ES"/>
        </w:rPr>
        <w:t xml:space="preserve"> </w:t>
      </w:r>
      <w:r w:rsidR="00AF2617">
        <w:rPr>
          <w:rStyle w:val="Ttulo2Car"/>
          <w:b w:val="0"/>
          <w:color w:val="auto"/>
          <w:sz w:val="22"/>
          <w:szCs w:val="22"/>
          <w:lang w:bidi="es-ES"/>
        </w:rPr>
        <w:t>Indica el BdE que “</w:t>
      </w:r>
      <w:r w:rsidR="00AF2617" w:rsidRPr="00AF2617">
        <w:rPr>
          <w:rStyle w:val="Ttulo2Car"/>
          <w:b w:val="0"/>
          <w:i/>
          <w:color w:val="auto"/>
          <w:sz w:val="22"/>
          <w:szCs w:val="22"/>
          <w:lang w:bidi="es-ES"/>
        </w:rPr>
        <w:t>la desestimación de las solicitudes de acceso a información pública del Banco de España se produjo por quedar la información solicitada sujeta al deber de secreto y confidencialidad establecido en el artículo 82 de la Ley 10/2014, de 26 de junio, de ordenación, supervisión y solvencia de entidades de crédito. Este régimen de secreto, de conformidad con lo establecido en la disposición adicional primera, apartado dos, de la Ley 19/2013, de 9 de diciembre, de transparencia, acceso a la información pública y buen gobierno, resultó de aplicación a las referidas solicitudes, sin que concurriera ninguno de los supuestos excepcionales que conforme a lo establecido en el referido precepto hubieran permitido aportar al solicitante la información solicitada</w:t>
      </w:r>
      <w:r w:rsidR="00AF2617" w:rsidRPr="00AF2617">
        <w:rPr>
          <w:rStyle w:val="Ttulo2Car"/>
          <w:b w:val="0"/>
          <w:color w:val="auto"/>
          <w:sz w:val="22"/>
          <w:szCs w:val="22"/>
          <w:lang w:bidi="es-ES"/>
        </w:rPr>
        <w:t>.</w:t>
      </w:r>
      <w:r w:rsidR="00AF2617" w:rsidRPr="00AF2617">
        <w:t xml:space="preserve"> </w:t>
      </w:r>
      <w:r w:rsidR="00AF2617" w:rsidRPr="00AF2617">
        <w:rPr>
          <w:rStyle w:val="Ttulo2Car"/>
          <w:b w:val="0"/>
          <w:i/>
          <w:color w:val="auto"/>
          <w:sz w:val="22"/>
          <w:szCs w:val="22"/>
          <w:lang w:bidi="es-ES"/>
        </w:rPr>
        <w:t>La Audiencia Nacional, en su sentencia de 16 de octubre de 2019 (recurso n.º 610/2018), ha reconocido la especialidad de la normativa reguladora del Banco de España en relación con el derecho de acceso a información pública, así como el régimen de «secreto prudencial» que ampara a la información de la que dispone esta institución en el ejercicio de sus facultades</w:t>
      </w:r>
      <w:r w:rsidR="00AF2617">
        <w:rPr>
          <w:rStyle w:val="Ttulo2Car"/>
          <w:b w:val="0"/>
          <w:i/>
          <w:color w:val="auto"/>
          <w:sz w:val="22"/>
          <w:szCs w:val="22"/>
          <w:lang w:bidi="es-ES"/>
        </w:rPr>
        <w:t>”</w:t>
      </w:r>
      <w:r w:rsidR="00AF2617" w:rsidRPr="00AF2617">
        <w:rPr>
          <w:rStyle w:val="Ttulo2Car"/>
          <w:b w:val="0"/>
          <w:color w:val="auto"/>
          <w:sz w:val="22"/>
          <w:szCs w:val="22"/>
          <w:lang w:bidi="es-ES"/>
        </w:rPr>
        <w:t>.</w:t>
      </w:r>
    </w:p>
    <w:p w:rsidR="002D404B" w:rsidRDefault="00AF2617" w:rsidP="002D404B">
      <w:pPr>
        <w:ind w:left="426"/>
        <w:jc w:val="both"/>
        <w:rPr>
          <w:rStyle w:val="Ttulo2Car"/>
          <w:b w:val="0"/>
          <w:color w:val="auto"/>
          <w:sz w:val="22"/>
          <w:szCs w:val="22"/>
          <w:lang w:bidi="es-ES"/>
        </w:rPr>
      </w:pPr>
      <w:r>
        <w:rPr>
          <w:rStyle w:val="Ttulo2Car"/>
          <w:b w:val="0"/>
          <w:color w:val="auto"/>
          <w:sz w:val="22"/>
          <w:szCs w:val="22"/>
          <w:lang w:bidi="es-ES"/>
        </w:rPr>
        <w:t xml:space="preserve">Ninguna de las resoluciones emitidas finalizó el procedimiento por silencio administrativo </w:t>
      </w:r>
      <w:r w:rsidR="00A224A8">
        <w:rPr>
          <w:rStyle w:val="Ttulo2Car"/>
          <w:b w:val="0"/>
          <w:color w:val="auto"/>
          <w:sz w:val="22"/>
          <w:szCs w:val="22"/>
          <w:lang w:bidi="es-ES"/>
        </w:rPr>
        <w:t xml:space="preserve">y 16 lo hicieron por </w:t>
      </w:r>
      <w:r>
        <w:rPr>
          <w:rStyle w:val="Ttulo2Car"/>
          <w:b w:val="0"/>
          <w:color w:val="auto"/>
          <w:sz w:val="22"/>
          <w:szCs w:val="22"/>
          <w:lang w:bidi="es-ES"/>
        </w:rPr>
        <w:t>desistimiento y otras causas de causas de finalización.</w:t>
      </w:r>
    </w:p>
    <w:p w:rsidR="002D404B" w:rsidRPr="00AF2617" w:rsidRDefault="00AF2617" w:rsidP="002D404B">
      <w:pPr>
        <w:ind w:left="426"/>
        <w:jc w:val="both"/>
        <w:rPr>
          <w:rStyle w:val="Ttulo2Car"/>
          <w:b w:val="0"/>
          <w:color w:val="auto"/>
          <w:sz w:val="22"/>
          <w:szCs w:val="22"/>
          <w:lang w:bidi="es-ES"/>
        </w:rPr>
      </w:pPr>
      <w:r w:rsidRPr="00AF2617">
        <w:rPr>
          <w:rStyle w:val="Ttulo2Car"/>
          <w:b w:val="0"/>
          <w:color w:val="auto"/>
          <w:sz w:val="22"/>
          <w:szCs w:val="22"/>
          <w:lang w:bidi="es-ES"/>
        </w:rPr>
        <w:t>El BdE</w:t>
      </w:r>
      <w:r>
        <w:rPr>
          <w:rStyle w:val="Ttulo2Car"/>
          <w:b w:val="0"/>
          <w:color w:val="auto"/>
          <w:sz w:val="22"/>
          <w:szCs w:val="22"/>
          <w:lang w:bidi="es-ES"/>
        </w:rPr>
        <w:t xml:space="preserve"> publica en el Portal de Transparencia las resoluciones denegatorias por aplicación de los límites del art. 14.1 de la LTAIBG, dando así cumplimiento a lo establecido en el artículo 14.3 de la norma.</w:t>
      </w: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2D404B" w:rsidRDefault="00A224A8" w:rsidP="00133620">
      <w:pPr>
        <w:ind w:left="426"/>
        <w:jc w:val="both"/>
      </w:pPr>
      <w:r>
        <w:t>El BdE</w:t>
      </w:r>
      <w:r w:rsidR="002D404B">
        <w:t xml:space="preserve"> emite resoluciones expresas para </w:t>
      </w:r>
      <w:r>
        <w:t>casi el 95%</w:t>
      </w:r>
      <w:r>
        <w:rPr>
          <w:rStyle w:val="Refdenotaalpie"/>
        </w:rPr>
        <w:footnoteReference w:id="2"/>
      </w:r>
      <w:r w:rsidR="002D404B">
        <w:t xml:space="preserve"> de las solicitudes admitidas. Ninguna solicitud ha sido desestimada por silencio administrativo.</w:t>
      </w:r>
    </w:p>
    <w:p w:rsidR="00F7263F" w:rsidRDefault="002D404B" w:rsidP="00133620">
      <w:pPr>
        <w:ind w:left="426"/>
        <w:jc w:val="both"/>
      </w:pPr>
      <w:r>
        <w:t xml:space="preserve">Un </w:t>
      </w:r>
      <w:r w:rsidR="00A224A8">
        <w:t>37,97</w:t>
      </w:r>
      <w:r>
        <w:t>%</w:t>
      </w:r>
      <w:r w:rsidR="00A224A8" w:rsidRPr="00A224A8">
        <w:rPr>
          <w:vertAlign w:val="superscript"/>
        </w:rPr>
        <w:t>2</w:t>
      </w:r>
      <w:r>
        <w:t xml:space="preserve"> de las </w:t>
      </w:r>
      <w:r w:rsidR="00133620">
        <w:t>r</w:t>
      </w:r>
      <w:r>
        <w:t xml:space="preserve">esoluciones concede el acceso a la información. De ellas, el </w:t>
      </w:r>
      <w:r w:rsidR="00A224A8">
        <w:t>54,55</w:t>
      </w:r>
      <w:r>
        <w:t xml:space="preserve">% concede acceso total y el </w:t>
      </w:r>
      <w:r w:rsidR="00A224A8">
        <w:t>45</w:t>
      </w:r>
      <w:r>
        <w:t>,</w:t>
      </w:r>
      <w:r w:rsidR="00A224A8">
        <w:t>4</w:t>
      </w:r>
      <w:r>
        <w:t xml:space="preserve">5% acceso parcial. Un </w:t>
      </w:r>
      <w:r w:rsidR="00A224A8">
        <w:t>29,31</w:t>
      </w:r>
      <w:r>
        <w:t>%</w:t>
      </w:r>
      <w:r w:rsidR="001F5D3F" w:rsidRPr="001F5D3F">
        <w:rPr>
          <w:vertAlign w:val="superscript"/>
        </w:rPr>
        <w:t>2</w:t>
      </w:r>
      <w:r>
        <w:t xml:space="preserve"> deniega la información y el </w:t>
      </w:r>
      <w:r w:rsidR="00A224A8">
        <w:t>27,59</w:t>
      </w:r>
      <w:r>
        <w:t>%</w:t>
      </w:r>
      <w:r w:rsidR="001F5D3F" w:rsidRPr="001F5D3F">
        <w:rPr>
          <w:vertAlign w:val="superscript"/>
        </w:rPr>
        <w:t>2</w:t>
      </w:r>
      <w:r>
        <w:t xml:space="preserve"> adicional, determina la finalización del procedimiento por desistimiento y otras causas.</w:t>
      </w:r>
    </w:p>
    <w:p w:rsidR="002D404B" w:rsidRPr="009079EA" w:rsidRDefault="002D404B" w:rsidP="002D404B">
      <w:pPr>
        <w:pStyle w:val="Epgrafe"/>
        <w:keepNext/>
        <w:ind w:left="426"/>
        <w:rPr>
          <w:rStyle w:val="Ttulo2Car"/>
          <w:b/>
          <w:color w:val="00642D"/>
          <w:sz w:val="22"/>
          <w:szCs w:val="22"/>
          <w:lang w:bidi="es-ES"/>
        </w:rPr>
      </w:pPr>
      <w:r w:rsidRPr="009079EA">
        <w:rPr>
          <w:rStyle w:val="Ttulo2Car"/>
          <w:b/>
          <w:color w:val="00642D"/>
          <w:sz w:val="22"/>
          <w:szCs w:val="22"/>
          <w:lang w:bidi="es-ES"/>
        </w:rPr>
        <w:lastRenderedPageBreak/>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sidR="00133620">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A224A8" w:rsidRPr="00706E04" w:rsidTr="00057C7A">
        <w:tc>
          <w:tcPr>
            <w:tcW w:w="1299" w:type="dxa"/>
            <w:vMerge w:val="restart"/>
            <w:tcBorders>
              <w:top w:val="nil"/>
              <w:right w:val="nil"/>
            </w:tcBorders>
            <w:shd w:val="clear" w:color="auto" w:fill="4D7F52"/>
            <w:textDirection w:val="btLr"/>
          </w:tcPr>
          <w:p w:rsidR="00A224A8" w:rsidRPr="005B3C15" w:rsidRDefault="00A224A8"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A224A8" w:rsidRPr="00A224A8" w:rsidRDefault="00A224A8" w:rsidP="00C247AE">
            <w:pPr>
              <w:rPr>
                <w:sz w:val="20"/>
                <w:szCs w:val="20"/>
              </w:rPr>
            </w:pPr>
            <w:r w:rsidRPr="00A224A8">
              <w:rPr>
                <w:sz w:val="20"/>
                <w:szCs w:val="20"/>
              </w:rPr>
              <w:t>Tasa de resolución (resoluciones expresas /solicitudes admitidas)</w:t>
            </w:r>
          </w:p>
        </w:tc>
        <w:tc>
          <w:tcPr>
            <w:tcW w:w="1559" w:type="dxa"/>
          </w:tcPr>
          <w:p w:rsidR="00A224A8" w:rsidRPr="00A224A8" w:rsidRDefault="00A224A8" w:rsidP="00A224A8">
            <w:pPr>
              <w:jc w:val="center"/>
              <w:rPr>
                <w:sz w:val="20"/>
                <w:szCs w:val="20"/>
              </w:rPr>
            </w:pPr>
            <w:r w:rsidRPr="00A224A8">
              <w:rPr>
                <w:sz w:val="20"/>
                <w:szCs w:val="20"/>
              </w:rPr>
              <w:t>94,83</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FD5B21">
            <w:pPr>
              <w:rPr>
                <w:sz w:val="20"/>
                <w:szCs w:val="20"/>
              </w:rPr>
            </w:pPr>
            <w:r w:rsidRPr="00A224A8">
              <w:rPr>
                <w:sz w:val="20"/>
                <w:szCs w:val="20"/>
              </w:rPr>
              <w:t>Porcentaje de resoluciones que conceden el acceso</w:t>
            </w:r>
          </w:p>
        </w:tc>
        <w:tc>
          <w:tcPr>
            <w:tcW w:w="1559" w:type="dxa"/>
          </w:tcPr>
          <w:p w:rsidR="00A224A8" w:rsidRPr="00A224A8" w:rsidRDefault="00A224A8" w:rsidP="00A224A8">
            <w:pPr>
              <w:jc w:val="center"/>
              <w:rPr>
                <w:sz w:val="20"/>
                <w:szCs w:val="20"/>
              </w:rPr>
            </w:pPr>
            <w:r w:rsidRPr="00A224A8">
              <w:rPr>
                <w:sz w:val="20"/>
                <w:szCs w:val="20"/>
              </w:rPr>
              <w:t>37,93</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055B15">
            <w:pPr>
              <w:rPr>
                <w:sz w:val="20"/>
                <w:szCs w:val="20"/>
              </w:rPr>
            </w:pPr>
            <w:r w:rsidRPr="00A224A8">
              <w:rPr>
                <w:sz w:val="20"/>
                <w:szCs w:val="20"/>
              </w:rPr>
              <w:t>Porcentaje de resoluciones que conceden acceso parcial</w:t>
            </w:r>
          </w:p>
        </w:tc>
        <w:tc>
          <w:tcPr>
            <w:tcW w:w="1559" w:type="dxa"/>
          </w:tcPr>
          <w:p w:rsidR="00A224A8" w:rsidRPr="00A224A8" w:rsidRDefault="00A224A8" w:rsidP="00A224A8">
            <w:pPr>
              <w:jc w:val="center"/>
              <w:rPr>
                <w:sz w:val="20"/>
                <w:szCs w:val="20"/>
              </w:rPr>
            </w:pPr>
            <w:r w:rsidRPr="00A224A8">
              <w:rPr>
                <w:sz w:val="20"/>
                <w:szCs w:val="20"/>
              </w:rPr>
              <w:t>45,45</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055B15">
            <w:pPr>
              <w:rPr>
                <w:sz w:val="20"/>
                <w:szCs w:val="20"/>
              </w:rPr>
            </w:pPr>
            <w:r w:rsidRPr="00A224A8">
              <w:rPr>
                <w:sz w:val="20"/>
                <w:szCs w:val="20"/>
              </w:rPr>
              <w:t>Porcentaje de resoluciones que conceden acceso total</w:t>
            </w:r>
          </w:p>
        </w:tc>
        <w:tc>
          <w:tcPr>
            <w:tcW w:w="1559" w:type="dxa"/>
          </w:tcPr>
          <w:p w:rsidR="00A224A8" w:rsidRPr="00A224A8" w:rsidRDefault="00A224A8" w:rsidP="00A224A8">
            <w:pPr>
              <w:jc w:val="center"/>
              <w:rPr>
                <w:sz w:val="20"/>
                <w:szCs w:val="20"/>
              </w:rPr>
            </w:pPr>
            <w:r w:rsidRPr="00A224A8">
              <w:rPr>
                <w:sz w:val="20"/>
                <w:szCs w:val="20"/>
              </w:rPr>
              <w:t>54,55</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055B15">
            <w:pPr>
              <w:rPr>
                <w:sz w:val="20"/>
                <w:szCs w:val="20"/>
              </w:rPr>
            </w:pPr>
            <w:r w:rsidRPr="00A224A8">
              <w:rPr>
                <w:sz w:val="20"/>
                <w:szCs w:val="20"/>
              </w:rPr>
              <w:t>Porcentaje de resoluciones que deniegan el acceso</w:t>
            </w:r>
          </w:p>
        </w:tc>
        <w:tc>
          <w:tcPr>
            <w:tcW w:w="1559" w:type="dxa"/>
          </w:tcPr>
          <w:p w:rsidR="00A224A8" w:rsidRPr="00A224A8" w:rsidRDefault="00A224A8" w:rsidP="00A224A8">
            <w:pPr>
              <w:jc w:val="center"/>
              <w:rPr>
                <w:sz w:val="20"/>
                <w:szCs w:val="20"/>
              </w:rPr>
            </w:pPr>
            <w:r w:rsidRPr="00A224A8">
              <w:rPr>
                <w:sz w:val="20"/>
                <w:szCs w:val="20"/>
              </w:rPr>
              <w:t>29,31</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055B15">
            <w:pPr>
              <w:rPr>
                <w:sz w:val="20"/>
                <w:szCs w:val="20"/>
              </w:rPr>
            </w:pPr>
            <w:r w:rsidRPr="00A224A8">
              <w:rPr>
                <w:sz w:val="20"/>
                <w:szCs w:val="20"/>
              </w:rPr>
              <w:t>Porcentaje de resoluciones que finalizan por silencio administrativo</w:t>
            </w:r>
          </w:p>
        </w:tc>
        <w:tc>
          <w:tcPr>
            <w:tcW w:w="1559" w:type="dxa"/>
          </w:tcPr>
          <w:p w:rsidR="00A224A8" w:rsidRPr="00A224A8" w:rsidRDefault="00A224A8" w:rsidP="00A224A8">
            <w:pPr>
              <w:jc w:val="center"/>
              <w:rPr>
                <w:sz w:val="20"/>
                <w:szCs w:val="20"/>
              </w:rPr>
            </w:pPr>
            <w:r w:rsidRPr="00A224A8">
              <w:rPr>
                <w:sz w:val="20"/>
                <w:szCs w:val="20"/>
              </w:rPr>
              <w:t>,00</w:t>
            </w:r>
          </w:p>
        </w:tc>
      </w:tr>
      <w:tr w:rsidR="00A224A8" w:rsidRPr="00706E04" w:rsidTr="00057C7A">
        <w:tc>
          <w:tcPr>
            <w:tcW w:w="1299" w:type="dxa"/>
            <w:vMerge/>
            <w:tcBorders>
              <w:right w:val="nil"/>
            </w:tcBorders>
            <w:shd w:val="clear" w:color="auto" w:fill="4D7F52"/>
            <w:textDirection w:val="btLr"/>
          </w:tcPr>
          <w:p w:rsidR="00A224A8" w:rsidRPr="005B3C15" w:rsidRDefault="00A224A8" w:rsidP="00055B15">
            <w:pPr>
              <w:ind w:left="113" w:right="113"/>
              <w:jc w:val="center"/>
              <w:rPr>
                <w:b/>
                <w:color w:val="FFFFFF" w:themeColor="background1"/>
              </w:rPr>
            </w:pPr>
          </w:p>
        </w:tc>
        <w:tc>
          <w:tcPr>
            <w:tcW w:w="6322" w:type="dxa"/>
            <w:tcBorders>
              <w:left w:val="nil"/>
            </w:tcBorders>
          </w:tcPr>
          <w:p w:rsidR="00A224A8" w:rsidRPr="00A224A8" w:rsidRDefault="00A224A8" w:rsidP="00F7263F">
            <w:pPr>
              <w:rPr>
                <w:sz w:val="20"/>
                <w:szCs w:val="20"/>
              </w:rPr>
            </w:pPr>
            <w:r w:rsidRPr="00A224A8">
              <w:rPr>
                <w:sz w:val="20"/>
                <w:szCs w:val="20"/>
              </w:rPr>
              <w:t>Porcentaje de solicitudes finalizadas por desistimiento y otras causas</w:t>
            </w:r>
          </w:p>
        </w:tc>
        <w:tc>
          <w:tcPr>
            <w:tcW w:w="1559" w:type="dxa"/>
          </w:tcPr>
          <w:p w:rsidR="00A224A8" w:rsidRPr="00A224A8" w:rsidRDefault="00A224A8" w:rsidP="00A224A8">
            <w:pPr>
              <w:jc w:val="center"/>
              <w:rPr>
                <w:sz w:val="20"/>
                <w:szCs w:val="20"/>
              </w:rPr>
            </w:pPr>
            <w:r w:rsidRPr="00A224A8">
              <w:rPr>
                <w:sz w:val="20"/>
                <w:szCs w:val="20"/>
              </w:rPr>
              <w:t>27,59</w:t>
            </w:r>
          </w:p>
        </w:tc>
      </w:tr>
    </w:tbl>
    <w:p w:rsidR="00055B15" w:rsidRDefault="00055B15" w:rsidP="00B812AB"/>
    <w:p w:rsidR="00B812AB" w:rsidRPr="00E34195" w:rsidRDefault="007C51B4"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133620">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057C7A" w:rsidRDefault="00057C7A" w:rsidP="002D404B">
      <w:pPr>
        <w:ind w:left="426"/>
        <w:jc w:val="both"/>
        <w:rPr>
          <w:rStyle w:val="Ttulo2Car"/>
          <w:b w:val="0"/>
          <w:color w:val="auto"/>
          <w:sz w:val="22"/>
          <w:szCs w:val="22"/>
          <w:lang w:bidi="es-ES"/>
        </w:rPr>
      </w:pPr>
    </w:p>
    <w:p w:rsidR="002D404B" w:rsidRDefault="001F5D3F" w:rsidP="002D404B">
      <w:pPr>
        <w:ind w:left="426"/>
        <w:jc w:val="both"/>
        <w:rPr>
          <w:rStyle w:val="Ttulo2Car"/>
          <w:b w:val="0"/>
          <w:color w:val="auto"/>
          <w:sz w:val="22"/>
          <w:szCs w:val="22"/>
          <w:lang w:bidi="es-ES"/>
        </w:rPr>
      </w:pPr>
      <w:r>
        <w:rPr>
          <w:rStyle w:val="Ttulo2Car"/>
          <w:b w:val="0"/>
          <w:color w:val="auto"/>
          <w:sz w:val="22"/>
          <w:szCs w:val="22"/>
          <w:lang w:bidi="es-ES"/>
        </w:rPr>
        <w:t>El BdE dispone</w:t>
      </w:r>
      <w:r w:rsidR="002D404B" w:rsidRPr="00A26009">
        <w:rPr>
          <w:rStyle w:val="Ttulo2Car"/>
          <w:b w:val="0"/>
          <w:color w:val="auto"/>
          <w:sz w:val="22"/>
          <w:szCs w:val="22"/>
          <w:lang w:bidi="es-ES"/>
        </w:rPr>
        <w:t xml:space="preserve"> </w:t>
      </w:r>
      <w:r w:rsidR="002D404B">
        <w:rPr>
          <w:rStyle w:val="Ttulo2Car"/>
          <w:b w:val="0"/>
          <w:color w:val="auto"/>
          <w:sz w:val="22"/>
          <w:szCs w:val="22"/>
          <w:lang w:bidi="es-ES"/>
        </w:rPr>
        <w:t xml:space="preserve">en </w:t>
      </w:r>
      <w:r w:rsidR="00133620">
        <w:rPr>
          <w:rStyle w:val="Ttulo2Car"/>
          <w:b w:val="0"/>
          <w:color w:val="auto"/>
          <w:sz w:val="22"/>
          <w:szCs w:val="22"/>
          <w:lang w:bidi="es-ES"/>
        </w:rPr>
        <w:t>su</w:t>
      </w:r>
      <w:r w:rsidR="002D404B" w:rsidRPr="00A26009">
        <w:rPr>
          <w:rStyle w:val="Ttulo2Car"/>
          <w:b w:val="0"/>
          <w:color w:val="auto"/>
          <w:sz w:val="22"/>
          <w:szCs w:val="22"/>
          <w:lang w:bidi="es-ES"/>
        </w:rPr>
        <w:t xml:space="preserve"> Portal de Transparencia </w:t>
      </w:r>
      <w:r>
        <w:rPr>
          <w:rStyle w:val="Ttulo2Car"/>
          <w:b w:val="0"/>
          <w:color w:val="auto"/>
          <w:sz w:val="22"/>
          <w:szCs w:val="22"/>
          <w:lang w:bidi="es-ES"/>
        </w:rPr>
        <w:t>de un espacio específico</w:t>
      </w:r>
      <w:r w:rsidR="002D404B">
        <w:rPr>
          <w:rStyle w:val="Ttulo2Car"/>
          <w:b w:val="0"/>
          <w:color w:val="auto"/>
          <w:sz w:val="22"/>
          <w:szCs w:val="22"/>
          <w:lang w:bidi="es-ES"/>
        </w:rPr>
        <w:t xml:space="preserve"> dedicado al ejercicio del derecho de acceso a la información pública. </w:t>
      </w:r>
    </w:p>
    <w:p w:rsidR="002D404B" w:rsidRDefault="001F5D3F" w:rsidP="002D404B">
      <w:pPr>
        <w:ind w:left="426"/>
        <w:jc w:val="both"/>
        <w:rPr>
          <w:rStyle w:val="Ttulo2Car"/>
          <w:b w:val="0"/>
          <w:color w:val="auto"/>
          <w:sz w:val="22"/>
          <w:szCs w:val="22"/>
          <w:lang w:bidi="es-ES"/>
        </w:rPr>
      </w:pPr>
      <w:r>
        <w:rPr>
          <w:rStyle w:val="Ttulo2Car"/>
          <w:b w:val="0"/>
          <w:color w:val="auto"/>
          <w:sz w:val="22"/>
          <w:szCs w:val="22"/>
          <w:lang w:bidi="es-ES"/>
        </w:rPr>
        <w:t xml:space="preserve">En este espacio se </w:t>
      </w:r>
      <w:r w:rsidR="002D404B">
        <w:rPr>
          <w:rStyle w:val="Ttulo2Car"/>
          <w:b w:val="0"/>
          <w:color w:val="auto"/>
          <w:sz w:val="22"/>
          <w:szCs w:val="22"/>
          <w:lang w:bidi="es-ES"/>
        </w:rPr>
        <w:t>hace referencia expresa a</w:t>
      </w:r>
      <w:r w:rsidR="002D404B" w:rsidRPr="00A26009">
        <w:rPr>
          <w:rStyle w:val="Ttulo2Car"/>
          <w:b w:val="0"/>
          <w:color w:val="auto"/>
          <w:sz w:val="22"/>
          <w:szCs w:val="22"/>
          <w:lang w:bidi="es-ES"/>
        </w:rPr>
        <w:t xml:space="preserve"> la posibilidad</w:t>
      </w:r>
      <w:r w:rsidR="002D404B">
        <w:rPr>
          <w:rStyle w:val="Ttulo2Car"/>
          <w:b w:val="0"/>
          <w:color w:val="auto"/>
          <w:sz w:val="22"/>
          <w:szCs w:val="22"/>
          <w:lang w:bidi="es-ES"/>
        </w:rPr>
        <w:t xml:space="preserve"> que tiene la ciudadanía </w:t>
      </w:r>
      <w:r w:rsidR="002D404B" w:rsidRPr="00A26009">
        <w:rPr>
          <w:rStyle w:val="Ttulo2Car"/>
          <w:b w:val="0"/>
          <w:color w:val="auto"/>
          <w:sz w:val="22"/>
          <w:szCs w:val="22"/>
          <w:lang w:bidi="es-ES"/>
        </w:rPr>
        <w:t>de solicitar información pública de acuerdo con la Ley de Transparencia</w:t>
      </w:r>
      <w:r w:rsidR="002D404B">
        <w:rPr>
          <w:rStyle w:val="Ttulo2Car"/>
          <w:b w:val="0"/>
          <w:color w:val="auto"/>
          <w:sz w:val="22"/>
          <w:szCs w:val="22"/>
          <w:lang w:bidi="es-ES"/>
        </w:rPr>
        <w:t>.</w:t>
      </w:r>
    </w:p>
    <w:p w:rsidR="001F5D3F" w:rsidRDefault="001F5D3F" w:rsidP="002D404B">
      <w:pPr>
        <w:ind w:left="426"/>
        <w:jc w:val="both"/>
        <w:rPr>
          <w:rStyle w:val="Ttulo2Car"/>
          <w:b w:val="0"/>
          <w:color w:val="auto"/>
          <w:sz w:val="22"/>
          <w:szCs w:val="22"/>
          <w:lang w:bidi="es-ES"/>
        </w:rPr>
      </w:pPr>
      <w:r>
        <w:rPr>
          <w:rStyle w:val="Ttulo2Car"/>
          <w:b w:val="0"/>
          <w:color w:val="auto"/>
          <w:sz w:val="22"/>
          <w:szCs w:val="22"/>
          <w:lang w:bidi="es-ES"/>
        </w:rPr>
        <w:t>También informa de los medios habilitados para</w:t>
      </w:r>
      <w:r w:rsidR="00133620">
        <w:rPr>
          <w:rStyle w:val="Ttulo2Car"/>
          <w:b w:val="0"/>
          <w:color w:val="auto"/>
          <w:sz w:val="22"/>
          <w:szCs w:val="22"/>
          <w:lang w:bidi="es-ES"/>
        </w:rPr>
        <w:t xml:space="preserve"> </w:t>
      </w:r>
      <w:r>
        <w:rPr>
          <w:rStyle w:val="Ttulo2Car"/>
          <w:b w:val="0"/>
          <w:color w:val="auto"/>
          <w:sz w:val="22"/>
          <w:szCs w:val="22"/>
          <w:lang w:bidi="es-ES"/>
        </w:rPr>
        <w:t>la presentación de las solicitudes: a través del Registro Electrónico del BdE, por correo postal y presencialmente</w:t>
      </w:r>
    </w:p>
    <w:p w:rsidR="006D2B2C" w:rsidRPr="003807D8" w:rsidRDefault="001F5D3F" w:rsidP="006D2B2C">
      <w:pPr>
        <w:ind w:left="426"/>
        <w:jc w:val="both"/>
        <w:rPr>
          <w:rStyle w:val="Ttulo2Car"/>
          <w:b w:val="0"/>
          <w:color w:val="auto"/>
          <w:sz w:val="22"/>
          <w:szCs w:val="22"/>
          <w:lang w:bidi="es-ES"/>
        </w:rPr>
      </w:pPr>
      <w:r>
        <w:rPr>
          <w:rStyle w:val="Ttulo2Car"/>
          <w:b w:val="0"/>
          <w:color w:val="auto"/>
          <w:sz w:val="22"/>
          <w:szCs w:val="22"/>
          <w:lang w:bidi="es-ES"/>
        </w:rPr>
        <w:t xml:space="preserve">En cuanto a los requisitos </w:t>
      </w:r>
      <w:r w:rsidR="00802391">
        <w:rPr>
          <w:rStyle w:val="Ttulo2Car"/>
          <w:b w:val="0"/>
          <w:color w:val="auto"/>
          <w:sz w:val="22"/>
          <w:szCs w:val="22"/>
          <w:lang w:bidi="es-ES"/>
        </w:rPr>
        <w:t xml:space="preserve">exigidos, si la </w:t>
      </w:r>
      <w:r w:rsidR="006D2B2C">
        <w:rPr>
          <w:rStyle w:val="Ttulo2Car"/>
          <w:b w:val="0"/>
          <w:color w:val="auto"/>
          <w:sz w:val="22"/>
          <w:szCs w:val="22"/>
          <w:lang w:bidi="es-ES"/>
        </w:rPr>
        <w:t>solicitud</w:t>
      </w:r>
      <w:r w:rsidR="00802391">
        <w:rPr>
          <w:rStyle w:val="Ttulo2Car"/>
          <w:b w:val="0"/>
          <w:color w:val="auto"/>
          <w:sz w:val="22"/>
          <w:szCs w:val="22"/>
          <w:lang w:bidi="es-ES"/>
        </w:rPr>
        <w:t xml:space="preserve"> se presenta de manera presencial o por correo postal </w:t>
      </w:r>
      <w:r w:rsidR="00802391" w:rsidRPr="00802391">
        <w:rPr>
          <w:rStyle w:val="Ttulo2Car"/>
          <w:b w:val="0"/>
          <w:color w:val="auto"/>
          <w:sz w:val="22"/>
          <w:szCs w:val="22"/>
          <w:lang w:bidi="es-ES"/>
        </w:rPr>
        <w:t>se exige señalar de manera precisa la información que se solicita</w:t>
      </w:r>
      <w:r w:rsidR="00057C7A">
        <w:rPr>
          <w:rStyle w:val="Ttulo2Car"/>
          <w:b w:val="0"/>
          <w:color w:val="auto"/>
          <w:sz w:val="22"/>
          <w:szCs w:val="22"/>
          <w:lang w:bidi="es-ES"/>
        </w:rPr>
        <w:t>,</w:t>
      </w:r>
      <w:r w:rsidR="00802391" w:rsidRPr="00802391">
        <w:rPr>
          <w:rStyle w:val="Ttulo2Car"/>
          <w:b w:val="0"/>
          <w:color w:val="auto"/>
          <w:sz w:val="22"/>
          <w:szCs w:val="22"/>
          <w:lang w:bidi="es-ES"/>
        </w:rPr>
        <w:t xml:space="preserve"> identificar al </w:t>
      </w:r>
      <w:r w:rsidR="006D2B2C" w:rsidRPr="006D2B2C">
        <w:rPr>
          <w:rStyle w:val="Ttulo2Car"/>
          <w:b w:val="0"/>
          <w:color w:val="auto"/>
          <w:sz w:val="22"/>
          <w:szCs w:val="22"/>
          <w:lang w:bidi="es-ES"/>
        </w:rPr>
        <w:t>solicitante que debe acompañar de manera obligatoria la documentación que acredite la identificación (DNI, NIE) y en su caso, el poder de representación</w:t>
      </w:r>
      <w:r w:rsidR="006D2B2C">
        <w:rPr>
          <w:rStyle w:val="Ttulo2Car"/>
          <w:b w:val="0"/>
          <w:color w:val="auto"/>
          <w:sz w:val="22"/>
          <w:szCs w:val="22"/>
          <w:lang w:bidi="es-ES"/>
        </w:rPr>
        <w:t xml:space="preserve">. Si la presentación se realiza por medios electrónicos se exige </w:t>
      </w:r>
      <w:r w:rsidR="006D2B2C" w:rsidRPr="003807D8">
        <w:rPr>
          <w:rStyle w:val="Ttulo2Car"/>
          <w:b w:val="0"/>
          <w:color w:val="auto"/>
          <w:sz w:val="22"/>
          <w:szCs w:val="22"/>
          <w:lang w:bidi="es-ES"/>
        </w:rPr>
        <w:t xml:space="preserve">certificado digital y además como </w:t>
      </w:r>
      <w:r w:rsidR="003807D8" w:rsidRPr="003807D8">
        <w:rPr>
          <w:rStyle w:val="Ttulo2Car"/>
          <w:b w:val="0"/>
          <w:color w:val="auto"/>
          <w:sz w:val="22"/>
          <w:szCs w:val="22"/>
          <w:lang w:bidi="es-ES"/>
        </w:rPr>
        <w:t xml:space="preserve">requisitos </w:t>
      </w:r>
      <w:r w:rsidR="006D2B2C" w:rsidRPr="003807D8">
        <w:rPr>
          <w:rStyle w:val="Ttulo2Car"/>
          <w:b w:val="0"/>
          <w:color w:val="auto"/>
          <w:sz w:val="22"/>
          <w:szCs w:val="22"/>
          <w:lang w:bidi="es-ES"/>
        </w:rPr>
        <w:t>obligatorios: nombre, apellidos y DNI; dirección postal (vía, nombre y número); población, provincia, código postal, país y lugar de presentación.</w:t>
      </w:r>
      <w:r w:rsidR="00133620">
        <w:rPr>
          <w:rStyle w:val="Ttulo2Car"/>
          <w:b w:val="0"/>
          <w:color w:val="auto"/>
          <w:sz w:val="22"/>
          <w:szCs w:val="22"/>
          <w:lang w:bidi="es-ES"/>
        </w:rPr>
        <w:t xml:space="preserve"> </w:t>
      </w:r>
    </w:p>
    <w:p w:rsidR="006D2B2C" w:rsidRDefault="003807D8" w:rsidP="003807D8">
      <w:pPr>
        <w:ind w:left="426"/>
        <w:jc w:val="both"/>
      </w:pPr>
      <w:r>
        <w:rPr>
          <w:rStyle w:val="Ttulo2Car"/>
          <w:b w:val="0"/>
          <w:color w:val="auto"/>
          <w:sz w:val="22"/>
          <w:szCs w:val="22"/>
          <w:lang w:bidi="es-ES"/>
        </w:rPr>
        <w:t>Por otra parte el BdE proporciona información adicional para el ejercicio del derecho de acceso.</w:t>
      </w:r>
      <w:r w:rsidRPr="003807D8">
        <w:rPr>
          <w:sz w:val="20"/>
          <w:szCs w:val="20"/>
        </w:rPr>
        <w:t xml:space="preserve"> </w:t>
      </w:r>
      <w:r w:rsidRPr="003807D8">
        <w:t xml:space="preserve">Informa de las causas de denegación de los artículos 14 y 15 LTAIBG, de los órganos competentes para su resolución y del plazo para resolver. Además, en un apartado denominado “Tramitación” se facilita un formulario denominado «Solicitud de acceso a información pública» que </w:t>
      </w:r>
      <w:r w:rsidR="008E2602">
        <w:t>puede</w:t>
      </w:r>
      <w:r w:rsidRPr="003807D8">
        <w:t xml:space="preserve"> utilizarse para presentar la solicitud.</w:t>
      </w:r>
    </w:p>
    <w:p w:rsidR="003807D8" w:rsidRPr="003807D8" w:rsidRDefault="003807D8" w:rsidP="003807D8">
      <w:pPr>
        <w:ind w:left="426"/>
        <w:jc w:val="both"/>
        <w:rPr>
          <w:rStyle w:val="Ttulo2Car"/>
          <w:b w:val="0"/>
          <w:color w:val="auto"/>
          <w:sz w:val="22"/>
          <w:szCs w:val="22"/>
          <w:lang w:bidi="es-ES"/>
        </w:rPr>
      </w:pPr>
    </w:p>
    <w:p w:rsidR="00B40246" w:rsidRPr="00E34195" w:rsidRDefault="007C51B4"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3807D8" w:rsidRDefault="00E3088D" w:rsidP="002D404B">
      <w:pPr>
        <w:pStyle w:val="Cuerpodelboletn"/>
        <w:spacing w:before="120" w:after="120" w:line="312" w:lineRule="auto"/>
        <w:ind w:left="426"/>
        <w:rPr>
          <w:color w:val="00642D"/>
          <w:lang w:bidi="es-ES"/>
        </w:rPr>
      </w:pPr>
      <w:r w:rsidRPr="00C33A23">
        <w:rPr>
          <w:color w:val="00642D"/>
          <w:lang w:bidi="es-ES"/>
        </w:rPr>
        <w:t xml:space="preserve"> </w:t>
      </w:r>
    </w:p>
    <w:p w:rsidR="002D404B" w:rsidRDefault="002D404B" w:rsidP="002D404B">
      <w:pPr>
        <w:pStyle w:val="Cuerpodelboletn"/>
        <w:spacing w:before="120" w:after="120" w:line="312" w:lineRule="auto"/>
        <w:ind w:left="426"/>
        <w:rPr>
          <w:color w:val="auto"/>
          <w:lang w:bidi="es-ES"/>
        </w:rPr>
      </w:pPr>
      <w:r w:rsidRPr="001276B2">
        <w:rPr>
          <w:rStyle w:val="Ttulo2Car"/>
          <w:sz w:val="22"/>
          <w:szCs w:val="22"/>
        </w:rPr>
        <w:t>Inicio del procedimiento</w:t>
      </w:r>
      <w:r>
        <w:rPr>
          <w:color w:val="auto"/>
          <w:lang w:bidi="es-ES"/>
        </w:rPr>
        <w:t xml:space="preserve">. </w:t>
      </w:r>
    </w:p>
    <w:p w:rsidR="003807D8" w:rsidRDefault="002D404B" w:rsidP="002D404B">
      <w:pPr>
        <w:pStyle w:val="Cuerpodelboletn"/>
        <w:spacing w:before="120" w:after="120" w:line="312" w:lineRule="auto"/>
        <w:ind w:left="426"/>
        <w:rPr>
          <w:color w:val="auto"/>
          <w:lang w:bidi="es-ES"/>
        </w:rPr>
      </w:pPr>
      <w:r w:rsidRPr="005C4D89">
        <w:rPr>
          <w:color w:val="auto"/>
          <w:lang w:bidi="es-ES"/>
        </w:rPr>
        <w:t xml:space="preserve">Con fecha </w:t>
      </w:r>
      <w:r>
        <w:rPr>
          <w:color w:val="auto"/>
          <w:lang w:bidi="es-ES"/>
        </w:rPr>
        <w:t>1</w:t>
      </w:r>
      <w:r w:rsidR="003807D8">
        <w:rPr>
          <w:color w:val="auto"/>
          <w:lang w:bidi="es-ES"/>
        </w:rPr>
        <w:t>2</w:t>
      </w:r>
      <w:r>
        <w:rPr>
          <w:color w:val="auto"/>
          <w:lang w:bidi="es-ES"/>
        </w:rPr>
        <w:t xml:space="preserve">/02/2021 se presentó </w:t>
      </w:r>
      <w:r w:rsidR="003807D8">
        <w:rPr>
          <w:color w:val="auto"/>
          <w:lang w:bidi="es-ES"/>
        </w:rPr>
        <w:t>a través de</w:t>
      </w:r>
      <w:r w:rsidR="00F15E0C">
        <w:rPr>
          <w:color w:val="auto"/>
          <w:lang w:bidi="es-ES"/>
        </w:rPr>
        <w:t xml:space="preserve">l </w:t>
      </w:r>
      <w:r w:rsidR="00F15E0C" w:rsidRPr="00800A30">
        <w:rPr>
          <w:color w:val="auto"/>
          <w:lang w:bidi="es-ES"/>
        </w:rPr>
        <w:t>Registro  Electrónico</w:t>
      </w:r>
      <w:r w:rsidR="00735ADC">
        <w:rPr>
          <w:color w:val="auto"/>
          <w:lang w:bidi="es-ES"/>
        </w:rPr>
        <w:t xml:space="preserve"> </w:t>
      </w:r>
      <w:r w:rsidR="003807D8">
        <w:rPr>
          <w:color w:val="auto"/>
          <w:lang w:bidi="es-ES"/>
        </w:rPr>
        <w:t>del BdE</w:t>
      </w:r>
      <w:r>
        <w:rPr>
          <w:color w:val="auto"/>
          <w:lang w:bidi="es-ES"/>
        </w:rPr>
        <w:t xml:space="preserve"> una solicitud de acceso a información pública. </w:t>
      </w:r>
    </w:p>
    <w:p w:rsidR="003807D8" w:rsidRDefault="003807D8" w:rsidP="002D404B">
      <w:pPr>
        <w:pStyle w:val="Cuerpodelboletn"/>
        <w:spacing w:before="120" w:after="120" w:line="312" w:lineRule="auto"/>
        <w:ind w:left="426"/>
        <w:rPr>
          <w:color w:val="auto"/>
          <w:lang w:bidi="es-ES"/>
        </w:rPr>
      </w:pPr>
      <w:r>
        <w:rPr>
          <w:color w:val="auto"/>
          <w:lang w:bidi="es-ES"/>
        </w:rPr>
        <w:lastRenderedPageBreak/>
        <w:t xml:space="preserve">Aunque el BdE posibilita la descarga de un acuse de recibo </w:t>
      </w:r>
      <w:r w:rsidR="00F15E0C">
        <w:rPr>
          <w:color w:val="auto"/>
          <w:lang w:bidi="es-ES"/>
        </w:rPr>
        <w:t xml:space="preserve">y una copia de la solicitud en el </w:t>
      </w:r>
      <w:r w:rsidR="00800A30">
        <w:rPr>
          <w:color w:val="auto"/>
          <w:lang w:bidi="es-ES"/>
        </w:rPr>
        <w:t xml:space="preserve">mismo </w:t>
      </w:r>
      <w:r w:rsidR="00F15E0C">
        <w:rPr>
          <w:color w:val="auto"/>
          <w:lang w:bidi="es-ES"/>
        </w:rPr>
        <w:t>momento</w:t>
      </w:r>
      <w:r w:rsidR="00800A30">
        <w:rPr>
          <w:color w:val="auto"/>
          <w:lang w:bidi="es-ES"/>
        </w:rPr>
        <w:t xml:space="preserve"> de su presentación</w:t>
      </w:r>
      <w:r w:rsidR="00F15E0C">
        <w:rPr>
          <w:color w:val="auto"/>
          <w:lang w:bidi="es-ES"/>
        </w:rPr>
        <w:t xml:space="preserve">, </w:t>
      </w:r>
      <w:r>
        <w:rPr>
          <w:color w:val="auto"/>
          <w:lang w:bidi="es-ES"/>
        </w:rPr>
        <w:t xml:space="preserve">la persona </w:t>
      </w:r>
      <w:r w:rsidR="00800A30">
        <w:rPr>
          <w:color w:val="auto"/>
          <w:lang w:bidi="es-ES"/>
        </w:rPr>
        <w:t xml:space="preserve">solicitante </w:t>
      </w:r>
      <w:r>
        <w:rPr>
          <w:color w:val="auto"/>
          <w:lang w:bidi="es-ES"/>
        </w:rPr>
        <w:t>no consiguió esta descarga</w:t>
      </w:r>
      <w:r w:rsidR="009F3CEB">
        <w:rPr>
          <w:color w:val="auto"/>
          <w:lang w:bidi="es-ES"/>
        </w:rPr>
        <w:t xml:space="preserve">, y obtuvo el acuse de recibo </w:t>
      </w:r>
      <w:r w:rsidR="00800A30">
        <w:rPr>
          <w:color w:val="auto"/>
          <w:lang w:bidi="es-ES"/>
        </w:rPr>
        <w:t xml:space="preserve">y la copia </w:t>
      </w:r>
      <w:r w:rsidR="009F3CEB">
        <w:rPr>
          <w:color w:val="auto"/>
          <w:lang w:bidi="es-ES"/>
        </w:rPr>
        <w:t>cuando lo intentó</w:t>
      </w:r>
      <w:r w:rsidR="008E2602">
        <w:rPr>
          <w:color w:val="auto"/>
          <w:lang w:bidi="es-ES"/>
        </w:rPr>
        <w:t xml:space="preserve"> de nuevo</w:t>
      </w:r>
      <w:r w:rsidR="009F3CEB">
        <w:rPr>
          <w:color w:val="auto"/>
          <w:lang w:bidi="es-ES"/>
        </w:rPr>
        <w:t xml:space="preserve">, tres días más tarde. </w:t>
      </w:r>
      <w:r>
        <w:rPr>
          <w:color w:val="auto"/>
          <w:lang w:bidi="es-ES"/>
        </w:rPr>
        <w:t>El acuse de recibo incluye</w:t>
      </w:r>
      <w:r w:rsidRPr="003807D8">
        <w:t xml:space="preserve"> </w:t>
      </w:r>
      <w:r>
        <w:rPr>
          <w:color w:val="auto"/>
          <w:lang w:bidi="es-ES"/>
        </w:rPr>
        <w:t>el nº de</w:t>
      </w:r>
      <w:r w:rsidRPr="003807D8">
        <w:rPr>
          <w:color w:val="auto"/>
          <w:lang w:bidi="es-ES"/>
        </w:rPr>
        <w:t xml:space="preserve"> registro de entrada,</w:t>
      </w:r>
      <w:r w:rsidR="00133620">
        <w:rPr>
          <w:color w:val="auto"/>
          <w:lang w:bidi="es-ES"/>
        </w:rPr>
        <w:t xml:space="preserve"> </w:t>
      </w:r>
      <w:r w:rsidRPr="003807D8">
        <w:rPr>
          <w:color w:val="auto"/>
          <w:lang w:bidi="es-ES"/>
        </w:rPr>
        <w:t>fecha y hora y un resumen de la solicitud (datos</w:t>
      </w:r>
      <w:r w:rsidR="00133620">
        <w:rPr>
          <w:color w:val="auto"/>
          <w:lang w:bidi="es-ES"/>
        </w:rPr>
        <w:t xml:space="preserve"> </w:t>
      </w:r>
      <w:r w:rsidRPr="003807D8">
        <w:rPr>
          <w:color w:val="auto"/>
          <w:lang w:bidi="es-ES"/>
        </w:rPr>
        <w:t>solicitante y destinatario; trámite; asunto (sol</w:t>
      </w:r>
      <w:r>
        <w:rPr>
          <w:color w:val="auto"/>
          <w:lang w:bidi="es-ES"/>
        </w:rPr>
        <w:t>icitud); documentos presentados), la</w:t>
      </w:r>
      <w:r w:rsidRPr="003807D8">
        <w:rPr>
          <w:color w:val="auto"/>
          <w:lang w:bidi="es-ES"/>
        </w:rPr>
        <w:t xml:space="preserve"> fecha </w:t>
      </w:r>
      <w:r w:rsidR="00800A30">
        <w:rPr>
          <w:color w:val="auto"/>
          <w:lang w:bidi="es-ES"/>
        </w:rPr>
        <w:t xml:space="preserve">de su expedición </w:t>
      </w:r>
      <w:r w:rsidRPr="003807D8">
        <w:rPr>
          <w:color w:val="auto"/>
          <w:lang w:bidi="es-ES"/>
        </w:rPr>
        <w:t>(15/02) y hora de expedición</w:t>
      </w:r>
      <w:r>
        <w:rPr>
          <w:color w:val="auto"/>
          <w:lang w:bidi="es-ES"/>
        </w:rPr>
        <w:t>.</w:t>
      </w:r>
      <w:r w:rsidRPr="003807D8">
        <w:rPr>
          <w:color w:val="auto"/>
          <w:lang w:bidi="es-ES"/>
        </w:rPr>
        <w:t xml:space="preserve"> </w:t>
      </w:r>
    </w:p>
    <w:p w:rsidR="00BE4E28" w:rsidRDefault="003807D8" w:rsidP="002D404B">
      <w:pPr>
        <w:pStyle w:val="Cuerpodelboletn"/>
        <w:spacing w:before="120" w:after="120" w:line="312" w:lineRule="auto"/>
        <w:ind w:left="426"/>
        <w:rPr>
          <w:bCs/>
          <w:color w:val="auto"/>
          <w:szCs w:val="22"/>
        </w:rPr>
      </w:pPr>
      <w:r>
        <w:rPr>
          <w:color w:val="auto"/>
          <w:lang w:bidi="es-ES"/>
        </w:rPr>
        <w:t xml:space="preserve">En relación con el inicio del procedimiento cabe destacar, que </w:t>
      </w:r>
      <w:r w:rsidRPr="003807D8">
        <w:rPr>
          <w:color w:val="auto"/>
          <w:szCs w:val="22"/>
          <w:lang w:bidi="es-ES"/>
        </w:rPr>
        <w:t>l</w:t>
      </w:r>
      <w:r w:rsidRPr="003807D8">
        <w:rPr>
          <w:bCs/>
          <w:color w:val="auto"/>
          <w:szCs w:val="22"/>
        </w:rPr>
        <w:t xml:space="preserve">a presentación de la solicitud a través de </w:t>
      </w:r>
      <w:r w:rsidRPr="00800A30">
        <w:rPr>
          <w:bCs/>
          <w:color w:val="auto"/>
          <w:szCs w:val="22"/>
        </w:rPr>
        <w:t xml:space="preserve">su </w:t>
      </w:r>
      <w:r w:rsidR="00F15E0C" w:rsidRPr="00800A30">
        <w:rPr>
          <w:color w:val="auto"/>
          <w:lang w:bidi="es-ES"/>
        </w:rPr>
        <w:t>Registro  Electrónico</w:t>
      </w:r>
      <w:r w:rsidRPr="00800A30">
        <w:rPr>
          <w:bCs/>
          <w:color w:val="auto"/>
          <w:szCs w:val="22"/>
        </w:rPr>
        <w:t xml:space="preserve"> no</w:t>
      </w:r>
      <w:r w:rsidRPr="003807D8">
        <w:rPr>
          <w:bCs/>
          <w:color w:val="auto"/>
          <w:szCs w:val="22"/>
        </w:rPr>
        <w:t xml:space="preserve"> </w:t>
      </w:r>
      <w:r w:rsidR="00BE4E28">
        <w:rPr>
          <w:bCs/>
          <w:color w:val="auto"/>
          <w:szCs w:val="22"/>
        </w:rPr>
        <w:t xml:space="preserve">resulto fácil y se empleó más tiempo del habitual para este tipo de trámites.  Sí no se desea utilizar el modelo de solicitud que facilitan, resultado que el </w:t>
      </w:r>
      <w:r w:rsidRPr="003807D8">
        <w:rPr>
          <w:bCs/>
          <w:color w:val="auto"/>
          <w:szCs w:val="22"/>
        </w:rPr>
        <w:t xml:space="preserve">recuadro de formulario dedicado a exponer la solicitud </w:t>
      </w:r>
      <w:r w:rsidR="00BE4E28">
        <w:rPr>
          <w:bCs/>
          <w:color w:val="auto"/>
          <w:szCs w:val="22"/>
        </w:rPr>
        <w:t xml:space="preserve">tiene un </w:t>
      </w:r>
      <w:r w:rsidRPr="003807D8">
        <w:rPr>
          <w:bCs/>
          <w:color w:val="auto"/>
          <w:szCs w:val="22"/>
        </w:rPr>
        <w:t xml:space="preserve">límite máximo de </w:t>
      </w:r>
      <w:r w:rsidR="00BE4E28">
        <w:rPr>
          <w:bCs/>
          <w:color w:val="auto"/>
          <w:szCs w:val="22"/>
        </w:rPr>
        <w:t xml:space="preserve">240 </w:t>
      </w:r>
      <w:r w:rsidRPr="003807D8">
        <w:rPr>
          <w:bCs/>
          <w:color w:val="auto"/>
          <w:szCs w:val="22"/>
        </w:rPr>
        <w:t>caracteres</w:t>
      </w:r>
      <w:r w:rsidR="00BE4E28">
        <w:rPr>
          <w:bCs/>
          <w:color w:val="auto"/>
          <w:szCs w:val="22"/>
        </w:rPr>
        <w:t xml:space="preserve">, muy fácil de superar. </w:t>
      </w:r>
    </w:p>
    <w:p w:rsidR="002D404B" w:rsidRDefault="002D404B" w:rsidP="002D404B">
      <w:pPr>
        <w:pStyle w:val="Cuerpodelboletn"/>
        <w:spacing w:before="120" w:after="120" w:line="312" w:lineRule="auto"/>
        <w:ind w:left="426"/>
        <w:rPr>
          <w:color w:val="auto"/>
          <w:lang w:bidi="es-ES"/>
        </w:rPr>
      </w:pPr>
      <w:r>
        <w:rPr>
          <w:rStyle w:val="Ttulo2Car"/>
          <w:sz w:val="22"/>
          <w:szCs w:val="22"/>
        </w:rPr>
        <w:t>Tramitación</w:t>
      </w:r>
    </w:p>
    <w:p w:rsidR="002D404B" w:rsidRPr="001B3CF5" w:rsidRDefault="00133620" w:rsidP="002D404B">
      <w:pPr>
        <w:pStyle w:val="Cuerpodelboletn"/>
        <w:spacing w:before="120" w:after="120" w:line="312" w:lineRule="auto"/>
        <w:ind w:left="426"/>
        <w:rPr>
          <w:color w:val="auto"/>
          <w:lang w:bidi="es-ES"/>
        </w:rPr>
      </w:pPr>
      <w:r w:rsidRPr="001B3CF5">
        <w:rPr>
          <w:color w:val="auto"/>
          <w:lang w:bidi="es-ES"/>
        </w:rPr>
        <w:t>No se ha reci</w:t>
      </w:r>
      <w:r w:rsidR="009F3CEB" w:rsidRPr="001B3CF5">
        <w:rPr>
          <w:color w:val="auto"/>
          <w:lang w:bidi="es-ES"/>
        </w:rPr>
        <w:t>bido</w:t>
      </w:r>
      <w:r w:rsidRPr="001B3CF5">
        <w:rPr>
          <w:color w:val="auto"/>
          <w:lang w:bidi="es-ES"/>
        </w:rPr>
        <w:t xml:space="preserve"> comunicación del inicio de </w:t>
      </w:r>
      <w:r w:rsidR="002D404B" w:rsidRPr="001B3CF5">
        <w:rPr>
          <w:color w:val="auto"/>
          <w:lang w:bidi="es-ES"/>
        </w:rPr>
        <w:t xml:space="preserve">la tramitación de la solicitud. </w:t>
      </w:r>
    </w:p>
    <w:p w:rsidR="002D404B" w:rsidRPr="00696607" w:rsidRDefault="002D404B" w:rsidP="002D404B">
      <w:pPr>
        <w:pStyle w:val="Cuerpodelboletn"/>
        <w:spacing w:before="120" w:after="120" w:line="312" w:lineRule="auto"/>
        <w:ind w:left="426"/>
        <w:rPr>
          <w:color w:val="auto"/>
          <w:lang w:bidi="es-ES"/>
        </w:rPr>
      </w:pPr>
      <w:r w:rsidRPr="00696607">
        <w:rPr>
          <w:rStyle w:val="Ttulo2Car"/>
          <w:sz w:val="22"/>
          <w:szCs w:val="22"/>
        </w:rPr>
        <w:t>Resolución</w:t>
      </w:r>
    </w:p>
    <w:p w:rsidR="002D404B" w:rsidRPr="001B3CF5" w:rsidRDefault="002D404B" w:rsidP="002D404B">
      <w:pPr>
        <w:pStyle w:val="Cuerpodelboletn"/>
        <w:numPr>
          <w:ilvl w:val="0"/>
          <w:numId w:val="6"/>
        </w:numPr>
        <w:spacing w:before="120" w:after="120" w:line="312" w:lineRule="auto"/>
        <w:rPr>
          <w:color w:val="auto"/>
          <w:lang w:bidi="es-ES"/>
        </w:rPr>
      </w:pPr>
      <w:r w:rsidRPr="001B3CF5">
        <w:rPr>
          <w:color w:val="auto"/>
          <w:lang w:bidi="es-ES"/>
        </w:rPr>
        <w:t>Se dicta resolución expresa con fecha 0</w:t>
      </w:r>
      <w:r w:rsidR="00696607" w:rsidRPr="001B3CF5">
        <w:rPr>
          <w:color w:val="auto"/>
          <w:lang w:bidi="es-ES"/>
        </w:rPr>
        <w:t>5</w:t>
      </w:r>
      <w:r w:rsidRPr="001B3CF5">
        <w:rPr>
          <w:color w:val="auto"/>
          <w:lang w:bidi="es-ES"/>
        </w:rPr>
        <w:t xml:space="preserve">/03/2021 – por lo tanto dentro de plazo – firmada por </w:t>
      </w:r>
      <w:r w:rsidR="00696607" w:rsidRPr="001B3CF5">
        <w:rPr>
          <w:color w:val="auto"/>
          <w:lang w:bidi="es-ES"/>
        </w:rPr>
        <w:t>el Vicesecretario general del BdE</w:t>
      </w:r>
      <w:r w:rsidRPr="001B3CF5">
        <w:rPr>
          <w:color w:val="auto"/>
          <w:lang w:bidi="es-ES"/>
        </w:rPr>
        <w:t>.</w:t>
      </w:r>
    </w:p>
    <w:p w:rsidR="002D404B" w:rsidRPr="001B3CF5" w:rsidRDefault="002D404B" w:rsidP="002D404B">
      <w:pPr>
        <w:pStyle w:val="Cuerpodelboletn"/>
        <w:numPr>
          <w:ilvl w:val="0"/>
          <w:numId w:val="6"/>
        </w:numPr>
        <w:spacing w:before="120" w:after="120" w:line="312" w:lineRule="auto"/>
        <w:rPr>
          <w:color w:val="auto"/>
          <w:lang w:bidi="es-ES"/>
        </w:rPr>
      </w:pPr>
      <w:r w:rsidRPr="001B3CF5">
        <w:rPr>
          <w:color w:val="auto"/>
          <w:lang w:bidi="es-ES"/>
        </w:rPr>
        <w:t>La resolución está motivada.</w:t>
      </w:r>
    </w:p>
    <w:p w:rsidR="002D404B" w:rsidRPr="001B3CF5" w:rsidRDefault="002D404B" w:rsidP="002D404B">
      <w:pPr>
        <w:pStyle w:val="Prrafodelista"/>
        <w:numPr>
          <w:ilvl w:val="0"/>
          <w:numId w:val="6"/>
        </w:numPr>
        <w:jc w:val="both"/>
      </w:pPr>
      <w:r w:rsidRPr="001B3CF5">
        <w:rPr>
          <w:lang w:bidi="es-ES"/>
        </w:rPr>
        <w:t xml:space="preserve">La resolución responde a la totalidad de la información solicitada. </w:t>
      </w:r>
      <w:r w:rsidR="00696607" w:rsidRPr="001B3CF5">
        <w:rPr>
          <w:lang w:bidi="es-ES"/>
        </w:rPr>
        <w:t>Es más, en la resolución se indica el enlace de su web donde publican información estadística sobre las SI</w:t>
      </w:r>
      <w:r w:rsidR="008E2602" w:rsidRPr="001B3CF5">
        <w:rPr>
          <w:lang w:bidi="es-ES"/>
        </w:rPr>
        <w:t xml:space="preserve"> que, s</w:t>
      </w:r>
      <w:r w:rsidR="00696607" w:rsidRPr="001B3CF5">
        <w:rPr>
          <w:lang w:bidi="es-ES"/>
        </w:rPr>
        <w:t xml:space="preserve">in embargo, al no ajustarse </w:t>
      </w:r>
      <w:r w:rsidR="008E2602" w:rsidRPr="001B3CF5">
        <w:rPr>
          <w:lang w:bidi="es-ES"/>
        </w:rPr>
        <w:t xml:space="preserve">literalmente </w:t>
      </w:r>
      <w:r w:rsidR="00696607" w:rsidRPr="001B3CF5">
        <w:rPr>
          <w:lang w:bidi="es-ES"/>
        </w:rPr>
        <w:t xml:space="preserve">a los datos solicitados, </w:t>
      </w:r>
      <w:r w:rsidR="008E2602" w:rsidRPr="001B3CF5">
        <w:rPr>
          <w:lang w:bidi="es-ES"/>
        </w:rPr>
        <w:t xml:space="preserve">hace necesario </w:t>
      </w:r>
      <w:r w:rsidR="00696607" w:rsidRPr="001B3CF5">
        <w:rPr>
          <w:lang w:bidi="es-ES"/>
        </w:rPr>
        <w:t xml:space="preserve">ofrecer </w:t>
      </w:r>
      <w:r w:rsidR="008E2602" w:rsidRPr="001B3CF5">
        <w:rPr>
          <w:lang w:bidi="es-ES"/>
        </w:rPr>
        <w:t>más</w:t>
      </w:r>
      <w:r w:rsidR="00696607" w:rsidRPr="001B3CF5">
        <w:rPr>
          <w:lang w:bidi="es-ES"/>
        </w:rPr>
        <w:t xml:space="preserve"> detalle </w:t>
      </w:r>
      <w:r w:rsidR="008E2602" w:rsidRPr="001B3CF5">
        <w:rPr>
          <w:lang w:bidi="es-ES"/>
        </w:rPr>
        <w:t xml:space="preserve">para satisfacer completamente la </w:t>
      </w:r>
      <w:r w:rsidR="00800A30" w:rsidRPr="001B3CF5">
        <w:rPr>
          <w:lang w:bidi="es-ES"/>
        </w:rPr>
        <w:t xml:space="preserve">solicitud presentada </w:t>
      </w:r>
      <w:r w:rsidR="00696607" w:rsidRPr="001B3CF5">
        <w:rPr>
          <w:lang w:bidi="es-ES"/>
        </w:rPr>
        <w:t xml:space="preserve">en los términos </w:t>
      </w:r>
      <w:r w:rsidR="008E2602" w:rsidRPr="001B3CF5">
        <w:rPr>
          <w:lang w:bidi="es-ES"/>
        </w:rPr>
        <w:t>en los que ha sido formulada.</w:t>
      </w:r>
      <w:r w:rsidR="00696607" w:rsidRPr="001B3CF5">
        <w:rPr>
          <w:lang w:bidi="es-ES"/>
        </w:rPr>
        <w:t xml:space="preserve"> </w:t>
      </w:r>
    </w:p>
    <w:p w:rsidR="002D404B" w:rsidRPr="001B3CF5" w:rsidRDefault="002D404B" w:rsidP="002D404B">
      <w:pPr>
        <w:pStyle w:val="Cuerpodelboletn"/>
        <w:numPr>
          <w:ilvl w:val="0"/>
          <w:numId w:val="6"/>
        </w:numPr>
        <w:spacing w:before="120" w:after="120" w:line="312" w:lineRule="auto"/>
        <w:rPr>
          <w:color w:val="auto"/>
          <w:lang w:bidi="es-ES"/>
        </w:rPr>
      </w:pPr>
      <w:r w:rsidRPr="001B3CF5">
        <w:rPr>
          <w:color w:val="auto"/>
          <w:lang w:bidi="es-ES"/>
        </w:rPr>
        <w:t>La resolución es clara, comprensible y está estructurada con antecedentes de hecho, los fundamentos de derecho y la decisión adoptada.</w:t>
      </w:r>
    </w:p>
    <w:p w:rsidR="002D404B" w:rsidRPr="001B3CF5" w:rsidRDefault="002D404B" w:rsidP="002D404B">
      <w:pPr>
        <w:pStyle w:val="Cuerpodelboletn"/>
        <w:numPr>
          <w:ilvl w:val="0"/>
          <w:numId w:val="6"/>
        </w:numPr>
        <w:spacing w:before="120" w:after="120" w:line="312" w:lineRule="auto"/>
        <w:rPr>
          <w:color w:val="auto"/>
          <w:lang w:bidi="es-ES"/>
        </w:rPr>
      </w:pPr>
      <w:r w:rsidRPr="001B3CF5">
        <w:rPr>
          <w:color w:val="auto"/>
          <w:lang w:bidi="es-ES"/>
        </w:rPr>
        <w:t xml:space="preserve">Incluye pie de recurso indicando que pone fin a la vía administrativa, los recursos que pueden interponerse, el órgano competente para resolverlos y el plazo para su interposición. </w:t>
      </w:r>
    </w:p>
    <w:p w:rsidR="00696607" w:rsidRPr="001B3CF5" w:rsidRDefault="002D404B" w:rsidP="002D404B">
      <w:pPr>
        <w:pStyle w:val="Cuerpodelboletn"/>
        <w:numPr>
          <w:ilvl w:val="0"/>
          <w:numId w:val="6"/>
        </w:numPr>
        <w:spacing w:before="120" w:after="120" w:line="312" w:lineRule="auto"/>
        <w:rPr>
          <w:color w:val="auto"/>
          <w:lang w:bidi="es-ES"/>
        </w:rPr>
      </w:pPr>
      <w:r w:rsidRPr="001B3CF5">
        <w:rPr>
          <w:color w:val="auto"/>
          <w:lang w:bidi="es-ES"/>
        </w:rPr>
        <w:t xml:space="preserve">La resolución se notifica </w:t>
      </w:r>
      <w:r w:rsidR="00696607" w:rsidRPr="001B3CF5">
        <w:rPr>
          <w:color w:val="auto"/>
          <w:lang w:bidi="es-ES"/>
        </w:rPr>
        <w:t>por carta certificada con acuse de recibo</w:t>
      </w:r>
      <w:r w:rsidR="0058021F" w:rsidRPr="001B3CF5">
        <w:rPr>
          <w:color w:val="auto"/>
          <w:lang w:bidi="es-ES"/>
        </w:rPr>
        <w:t>.</w:t>
      </w:r>
      <w:r w:rsidR="00696607" w:rsidRPr="001B3CF5">
        <w:rPr>
          <w:color w:val="auto"/>
          <w:lang w:bidi="es-ES"/>
        </w:rPr>
        <w:t xml:space="preserve"> </w:t>
      </w:r>
    </w:p>
    <w:p w:rsidR="002D404B" w:rsidRPr="00696607" w:rsidRDefault="002D404B" w:rsidP="002D404B">
      <w:pPr>
        <w:pStyle w:val="Cuerpodelboletn"/>
        <w:numPr>
          <w:ilvl w:val="0"/>
          <w:numId w:val="6"/>
        </w:numPr>
        <w:spacing w:before="120" w:after="120" w:line="312" w:lineRule="auto"/>
        <w:rPr>
          <w:color w:val="FF0000"/>
          <w:lang w:bidi="es-ES"/>
        </w:rPr>
      </w:pPr>
      <w:r w:rsidRPr="001B3CF5">
        <w:rPr>
          <w:color w:val="auto"/>
          <w:lang w:bidi="es-ES"/>
        </w:rPr>
        <w:t>Se facilita el acceso a la información en el momento de la notificación de la resolución y en el formato solicitado</w:t>
      </w:r>
      <w:r w:rsidR="00696607" w:rsidRPr="001B3CF5">
        <w:rPr>
          <w:color w:val="auto"/>
          <w:lang w:bidi="es-ES"/>
        </w:rPr>
        <w:t xml:space="preserve"> (la carta se acompaña de un pen drive con los datos en excel)</w:t>
      </w:r>
      <w:r w:rsidRPr="001B3CF5">
        <w:rPr>
          <w:color w:val="auto"/>
          <w:lang w:bidi="es-ES"/>
        </w:rPr>
        <w:t>.</w:t>
      </w:r>
    </w:p>
    <w:p w:rsidR="0031411B" w:rsidRDefault="0031411B" w:rsidP="0031411B">
      <w:pPr>
        <w:pStyle w:val="Cuerpodelboletn"/>
        <w:spacing w:before="120" w:after="120" w:line="312" w:lineRule="auto"/>
        <w:rPr>
          <w:color w:val="auto"/>
          <w:highlight w:val="yellow"/>
          <w:lang w:bidi="es-ES"/>
        </w:rPr>
      </w:pPr>
    </w:p>
    <w:p w:rsidR="00BE4E28" w:rsidRDefault="00BE4E28" w:rsidP="0031411B">
      <w:pPr>
        <w:pStyle w:val="Cuerpodelboletn"/>
        <w:spacing w:before="120" w:after="120" w:line="312" w:lineRule="auto"/>
        <w:rPr>
          <w:color w:val="auto"/>
          <w:highlight w:val="yellow"/>
          <w:lang w:bidi="es-ES"/>
        </w:rPr>
      </w:pPr>
    </w:p>
    <w:p w:rsidR="0031411B" w:rsidRDefault="0031411B" w:rsidP="0031411B">
      <w:pPr>
        <w:pStyle w:val="Cuerpodelboletn"/>
        <w:spacing w:before="120" w:after="120" w:line="312" w:lineRule="auto"/>
        <w:rPr>
          <w:color w:val="auto"/>
          <w:highlight w:val="yellow"/>
          <w:lang w:bidi="es-ES"/>
        </w:rPr>
      </w:pPr>
    </w:p>
    <w:p w:rsidR="001B3CF5" w:rsidRDefault="001B3CF5" w:rsidP="0031411B">
      <w:pPr>
        <w:pStyle w:val="Cuerpodelboletn"/>
        <w:spacing w:before="120" w:after="120" w:line="312" w:lineRule="auto"/>
        <w:rPr>
          <w:color w:val="auto"/>
          <w:highlight w:val="yellow"/>
          <w:lang w:bidi="es-ES"/>
        </w:rPr>
      </w:pPr>
    </w:p>
    <w:p w:rsidR="001F251B" w:rsidRPr="00256215" w:rsidRDefault="007C51B4" w:rsidP="00256215">
      <w:pPr>
        <w:pStyle w:val="Cuerpodelboletn"/>
      </w:pPr>
      <w:sdt>
        <w:sdtPr>
          <w:rPr>
            <w:rFonts w:eastAsiaTheme="majorEastAsia" w:cstheme="majorBidi"/>
            <w:b/>
            <w:bCs/>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256215" w:rsidRDefault="001B3CF5" w:rsidP="001B3CF5">
      <w:pPr>
        <w:ind w:left="426"/>
      </w:pPr>
      <w:r>
        <w:t xml:space="preserve">El </w:t>
      </w:r>
      <w:proofErr w:type="spellStart"/>
      <w:r>
        <w:t>BdE</w:t>
      </w:r>
      <w:proofErr w:type="spellEnd"/>
      <w:r>
        <w:t xml:space="preserve"> presenta un conjunto de buenas prácticas en la gestión de las solicitudes de acceso que podrían ser replicables por otras instituciones y organizaciones públicas. Entre ellas cabe destacar:</w:t>
      </w:r>
    </w:p>
    <w:p w:rsidR="0031411B" w:rsidRDefault="0031411B" w:rsidP="00DF0F57">
      <w:pPr>
        <w:pStyle w:val="Prrafodelista"/>
        <w:numPr>
          <w:ilvl w:val="0"/>
          <w:numId w:val="10"/>
        </w:numPr>
        <w:jc w:val="both"/>
      </w:pPr>
      <w:r>
        <w:t>La publicación de información estadística sobre las solicitudes de acceso a información pública del BdE.</w:t>
      </w:r>
    </w:p>
    <w:p w:rsidR="0031411B" w:rsidRDefault="0031411B" w:rsidP="00DF0F57">
      <w:pPr>
        <w:pStyle w:val="Prrafodelista"/>
        <w:numPr>
          <w:ilvl w:val="0"/>
          <w:numId w:val="10"/>
        </w:numPr>
        <w:jc w:val="both"/>
      </w:pPr>
      <w:r>
        <w:t>La habilitación de diversos medios de presentación de solicitudes</w:t>
      </w:r>
      <w:r w:rsidR="0058021F">
        <w:t>.</w:t>
      </w:r>
    </w:p>
    <w:p w:rsidR="00DF0F57" w:rsidRPr="001B3CF5" w:rsidRDefault="00DF0F57" w:rsidP="00DF0F57">
      <w:pPr>
        <w:pStyle w:val="Prrafodelista"/>
        <w:numPr>
          <w:ilvl w:val="0"/>
          <w:numId w:val="10"/>
        </w:numPr>
        <w:jc w:val="both"/>
      </w:pPr>
      <w:r w:rsidRPr="001B3CF5">
        <w:t>Proporcionar un formulario de contacto dirigido a la División de Gobernanza y Transparencia</w:t>
      </w:r>
      <w:r w:rsidR="008E2602" w:rsidRPr="001B3CF5">
        <w:t xml:space="preserve"> que permite </w:t>
      </w:r>
      <w:r w:rsidRPr="001B3CF5">
        <w:t>realizar consultas o comentarios sobre el proceso para solicitar información al Banco de España (</w:t>
      </w:r>
      <w:r w:rsidR="00BE4E28" w:rsidRPr="001B3CF5">
        <w:t xml:space="preserve">pero </w:t>
      </w:r>
      <w:r w:rsidRPr="001B3CF5">
        <w:t xml:space="preserve">no para solicitar información y así se señala expresamente). </w:t>
      </w:r>
    </w:p>
    <w:p w:rsidR="00DF0F57" w:rsidRPr="00DF0F57" w:rsidRDefault="00DF0F57" w:rsidP="00DF0F57">
      <w:pPr>
        <w:ind w:left="360"/>
        <w:jc w:val="both"/>
        <w:rPr>
          <w:highlight w:val="yellow"/>
        </w:rPr>
      </w:pPr>
    </w:p>
    <w:p w:rsidR="00256215" w:rsidRDefault="00256215" w:rsidP="00256215"/>
    <w:p w:rsidR="00256215" w:rsidRDefault="007C51B4"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1B3CF5" w:rsidRDefault="001B3CF5" w:rsidP="001B3CF5">
      <w:pPr>
        <w:pStyle w:val="Prrafodelista"/>
        <w:ind w:left="426"/>
        <w:rPr>
          <w:rStyle w:val="Ttulo2Car"/>
          <w:color w:val="00642D"/>
          <w:sz w:val="22"/>
          <w:szCs w:val="22"/>
          <w:lang w:bidi="es-ES"/>
        </w:rPr>
      </w:pPr>
    </w:p>
    <w:p w:rsidR="002D404B" w:rsidRPr="00B70DBD" w:rsidRDefault="002D404B" w:rsidP="002D404B">
      <w:pPr>
        <w:pStyle w:val="Prrafodelista"/>
        <w:numPr>
          <w:ilvl w:val="0"/>
          <w:numId w:val="8"/>
        </w:numPr>
        <w:ind w:left="426"/>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2D404B" w:rsidRDefault="002D404B" w:rsidP="002D404B">
      <w:pPr>
        <w:pStyle w:val="Prrafodelista"/>
        <w:ind w:left="426"/>
        <w:rPr>
          <w:rStyle w:val="Ttulo2Car"/>
          <w:color w:val="00642D"/>
          <w:sz w:val="22"/>
          <w:szCs w:val="22"/>
          <w:lang w:bidi="es-ES"/>
        </w:rPr>
      </w:pPr>
    </w:p>
    <w:p w:rsidR="002D404B" w:rsidRDefault="0031411B" w:rsidP="002D404B">
      <w:pPr>
        <w:pStyle w:val="Prrafodelista"/>
        <w:ind w:left="426"/>
        <w:jc w:val="both"/>
        <w:rPr>
          <w:bCs/>
        </w:rPr>
      </w:pPr>
      <w:r>
        <w:rPr>
          <w:bCs/>
        </w:rPr>
        <w:t>El BdE</w:t>
      </w:r>
      <w:r w:rsidR="002D404B">
        <w:rPr>
          <w:bCs/>
        </w:rPr>
        <w:t xml:space="preserve"> tramita </w:t>
      </w:r>
      <w:r>
        <w:rPr>
          <w:bCs/>
        </w:rPr>
        <w:t>la totalidad</w:t>
      </w:r>
      <w:r>
        <w:rPr>
          <w:rStyle w:val="Refdenotaalpie"/>
          <w:bCs/>
        </w:rPr>
        <w:footnoteReference w:id="3"/>
      </w:r>
      <w:r w:rsidR="002D404B">
        <w:rPr>
          <w:bCs/>
        </w:rPr>
        <w:t xml:space="preserve"> de las solicitudes que recibe, admite un poco más de</w:t>
      </w:r>
      <w:r>
        <w:rPr>
          <w:bCs/>
        </w:rPr>
        <w:t>l 92%</w:t>
      </w:r>
      <w:r w:rsidR="002D404B">
        <w:rPr>
          <w:bCs/>
        </w:rPr>
        <w:t xml:space="preserve"> </w:t>
      </w:r>
      <w:r>
        <w:rPr>
          <w:bCs/>
        </w:rPr>
        <w:t xml:space="preserve">y además disminuye el número de solicitudes que </w:t>
      </w:r>
      <w:r w:rsidR="002D404B">
        <w:rPr>
          <w:bCs/>
        </w:rPr>
        <w:t>quedan pendientes de tramitación al finalizar el año respecto de 2019.</w:t>
      </w:r>
      <w:r w:rsidR="00133620">
        <w:rPr>
          <w:bCs/>
        </w:rPr>
        <w:t xml:space="preserve"> </w:t>
      </w:r>
    </w:p>
    <w:p w:rsidR="002D404B" w:rsidRDefault="002D404B" w:rsidP="002D404B">
      <w:pPr>
        <w:pStyle w:val="Prrafodelista"/>
        <w:ind w:left="426"/>
        <w:jc w:val="both"/>
        <w:rPr>
          <w:bCs/>
        </w:rPr>
      </w:pPr>
    </w:p>
    <w:p w:rsidR="002D404B" w:rsidRPr="006628F8" w:rsidRDefault="002D404B" w:rsidP="002D404B">
      <w:pPr>
        <w:pStyle w:val="Prrafodelista"/>
        <w:ind w:left="426"/>
        <w:jc w:val="both"/>
        <w:rPr>
          <w:bCs/>
        </w:rPr>
      </w:pPr>
      <w:r>
        <w:rPr>
          <w:bCs/>
        </w:rPr>
        <w:t xml:space="preserve">Por lo que respecta a las resoluciones, emite resolución expresa para </w:t>
      </w:r>
      <w:r w:rsidR="0031411B">
        <w:rPr>
          <w:bCs/>
        </w:rPr>
        <w:t>casi el 95%</w:t>
      </w:r>
      <w:r>
        <w:rPr>
          <w:bCs/>
        </w:rPr>
        <w:t xml:space="preserve"> de las solicitudes admitidas, concediendo el acceso total a la información solicitada en el </w:t>
      </w:r>
      <w:r w:rsidR="0031411B">
        <w:rPr>
          <w:bCs/>
        </w:rPr>
        <w:t>54,55</w:t>
      </w:r>
      <w:r>
        <w:rPr>
          <w:bCs/>
        </w:rPr>
        <w:t xml:space="preserve">% de los casos. Un </w:t>
      </w:r>
      <w:r w:rsidR="0031411B">
        <w:rPr>
          <w:bCs/>
        </w:rPr>
        <w:t>29,31</w:t>
      </w:r>
      <w:r>
        <w:rPr>
          <w:bCs/>
        </w:rPr>
        <w:t xml:space="preserve">% de las resoluciones deniega la información aplicando los límites del artículo 14.1 de la LTAIBG. Los límites invocados fueron </w:t>
      </w:r>
      <w:r w:rsidRPr="001F7901">
        <w:rPr>
          <w:bCs/>
        </w:rPr>
        <w:t xml:space="preserve">la </w:t>
      </w:r>
      <w:r w:rsidR="006628F8" w:rsidRPr="006628F8">
        <w:rPr>
          <w:bCs/>
        </w:rPr>
        <w:t>igualdad de las partes en los procesos judiciales y la tutela judicial efectiva</w:t>
      </w:r>
      <w:r w:rsidRPr="001F7901">
        <w:rPr>
          <w:bCs/>
        </w:rPr>
        <w:t xml:space="preserve"> </w:t>
      </w:r>
      <w:r>
        <w:rPr>
          <w:bCs/>
        </w:rPr>
        <w:t xml:space="preserve">(letra </w:t>
      </w:r>
      <w:r w:rsidR="006628F8">
        <w:rPr>
          <w:bCs/>
        </w:rPr>
        <w:t>f</w:t>
      </w:r>
      <w:r>
        <w:rPr>
          <w:bCs/>
        </w:rPr>
        <w:t xml:space="preserve">) </w:t>
      </w:r>
      <w:r w:rsidRPr="001F7901">
        <w:rPr>
          <w:bCs/>
        </w:rPr>
        <w:t xml:space="preserve">y </w:t>
      </w:r>
      <w:r>
        <w:rPr>
          <w:bCs/>
        </w:rPr>
        <w:t>los</w:t>
      </w:r>
      <w:r w:rsidRPr="001F7901">
        <w:rPr>
          <w:bCs/>
        </w:rPr>
        <w:t xml:space="preserve"> intereses económicos y comerciales</w:t>
      </w:r>
      <w:r>
        <w:rPr>
          <w:bCs/>
        </w:rPr>
        <w:t xml:space="preserve"> (letra h).</w:t>
      </w:r>
      <w:r w:rsidR="006628F8">
        <w:rPr>
          <w:bCs/>
        </w:rPr>
        <w:t xml:space="preserve"> El BdE aclara también que la desestimación de las solicitudes se fundamentó en que la información solicitada estaba sujeta al deber de secreto y confidencialidad </w:t>
      </w:r>
      <w:r w:rsidR="006628F8" w:rsidRPr="006628F8">
        <w:rPr>
          <w:rStyle w:val="Ttulo2Car"/>
          <w:b w:val="0"/>
          <w:color w:val="auto"/>
          <w:sz w:val="22"/>
          <w:szCs w:val="22"/>
          <w:lang w:bidi="es-ES"/>
        </w:rPr>
        <w:t>establecido en el artículo 82 de la Ley 10/2014, de 26 de junio, de ordenación, supervisión y solvencia de entidades de crédito.</w:t>
      </w:r>
    </w:p>
    <w:p w:rsidR="002D404B" w:rsidRDefault="002D404B" w:rsidP="002D404B">
      <w:pPr>
        <w:pStyle w:val="Prrafodelista"/>
        <w:ind w:left="426"/>
        <w:jc w:val="both"/>
        <w:rPr>
          <w:bCs/>
        </w:rPr>
      </w:pPr>
    </w:p>
    <w:p w:rsidR="002D404B" w:rsidRDefault="002D404B" w:rsidP="002D404B">
      <w:pPr>
        <w:pStyle w:val="Prrafodelista"/>
        <w:ind w:left="426"/>
        <w:jc w:val="both"/>
        <w:rPr>
          <w:bCs/>
        </w:rPr>
      </w:pPr>
      <w:r>
        <w:rPr>
          <w:bCs/>
        </w:rPr>
        <w:t xml:space="preserve">Una cuestión adicional es que </w:t>
      </w:r>
      <w:r w:rsidR="006628F8">
        <w:rPr>
          <w:bCs/>
        </w:rPr>
        <w:t>el BdE</w:t>
      </w:r>
      <w:r>
        <w:rPr>
          <w:bCs/>
        </w:rPr>
        <w:t xml:space="preserve"> publica las resoluciones que deniegan el acceso a la información en aplicación de los límites del artículo 14.</w:t>
      </w:r>
      <w:r w:rsidR="006628F8">
        <w:rPr>
          <w:bCs/>
        </w:rPr>
        <w:t xml:space="preserve">1, dando cumplimiento de esta forma a lo establecido en el artículo 14.3 de la norma. </w:t>
      </w:r>
    </w:p>
    <w:p w:rsidR="002D404B" w:rsidRDefault="002D404B" w:rsidP="002D404B">
      <w:pPr>
        <w:pStyle w:val="Prrafodelista"/>
        <w:ind w:left="426"/>
        <w:jc w:val="both"/>
        <w:rPr>
          <w:bCs/>
        </w:rPr>
      </w:pPr>
      <w:r>
        <w:rPr>
          <w:bCs/>
        </w:rPr>
        <w:t xml:space="preserve"> </w:t>
      </w:r>
    </w:p>
    <w:p w:rsidR="002D404B" w:rsidRPr="001018C9" w:rsidRDefault="002D404B" w:rsidP="002D404B">
      <w:pPr>
        <w:pStyle w:val="Prrafodelista"/>
        <w:numPr>
          <w:ilvl w:val="0"/>
          <w:numId w:val="8"/>
        </w:numPr>
        <w:ind w:left="426"/>
      </w:pPr>
      <w:r w:rsidRPr="00B70DBD">
        <w:rPr>
          <w:rStyle w:val="Ttulo2Car"/>
          <w:color w:val="00642D"/>
          <w:sz w:val="22"/>
          <w:szCs w:val="22"/>
          <w:lang w:bidi="es-ES"/>
        </w:rPr>
        <w:t>Respecto de la localización de la información y facilidad de acceso al ejercicio del derecho.</w:t>
      </w:r>
    </w:p>
    <w:p w:rsidR="002D404B" w:rsidRDefault="002D404B" w:rsidP="002D404B">
      <w:pPr>
        <w:pStyle w:val="Prrafodelista"/>
        <w:ind w:left="426"/>
      </w:pPr>
    </w:p>
    <w:p w:rsidR="002D404B" w:rsidRDefault="002D404B" w:rsidP="002D404B">
      <w:pPr>
        <w:pStyle w:val="Prrafodelista"/>
        <w:ind w:left="426"/>
        <w:jc w:val="both"/>
      </w:pPr>
      <w:r>
        <w:t xml:space="preserve">Como se ha indicado, </w:t>
      </w:r>
      <w:r w:rsidR="006628F8">
        <w:t>el BdE ofrece un</w:t>
      </w:r>
      <w:r>
        <w:t xml:space="preserve"> espacio </w:t>
      </w:r>
      <w:r w:rsidR="006628F8">
        <w:t>en su Portal de Transparencia para la presentación de las solicitudes de acceso a información pública. También</w:t>
      </w:r>
      <w:r>
        <w:t xml:space="preserve"> informa sobre la </w:t>
      </w:r>
      <w:r>
        <w:lastRenderedPageBreak/>
        <w:t xml:space="preserve">posibilidad de que los ciudadanos efectúen solicitudes de información pública dirigidas a la </w:t>
      </w:r>
      <w:r w:rsidR="006628F8">
        <w:t>entidad</w:t>
      </w:r>
      <w:r>
        <w:t xml:space="preserve">. </w:t>
      </w:r>
      <w:r w:rsidR="00800A30">
        <w:t xml:space="preserve">Además, </w:t>
      </w:r>
      <w:r w:rsidR="006628F8">
        <w:t>ofrece</w:t>
      </w:r>
      <w:r>
        <w:t xml:space="preserve"> información sobre los medios habilitados </w:t>
      </w:r>
      <w:r w:rsidR="00F039EA">
        <w:t>y</w:t>
      </w:r>
      <w:r>
        <w:t xml:space="preserve"> sobre los requisitos necesarios </w:t>
      </w:r>
      <w:r w:rsidRPr="00342775">
        <w:t>para la presentación de estas solicitudes</w:t>
      </w:r>
      <w:r>
        <w:t>.</w:t>
      </w:r>
    </w:p>
    <w:p w:rsidR="002D404B" w:rsidRDefault="002D404B" w:rsidP="002D404B">
      <w:pPr>
        <w:pStyle w:val="Prrafodelista"/>
        <w:ind w:left="426"/>
        <w:jc w:val="both"/>
      </w:pPr>
    </w:p>
    <w:p w:rsidR="002D404B" w:rsidRDefault="006628F8" w:rsidP="002D404B">
      <w:pPr>
        <w:pStyle w:val="Prrafodelista"/>
        <w:ind w:left="426"/>
        <w:jc w:val="both"/>
      </w:pPr>
      <w:r>
        <w:t>En relación con estos últimos</w:t>
      </w:r>
      <w:r w:rsidR="006D2FCE">
        <w:t xml:space="preserve"> se contempla</w:t>
      </w:r>
      <w:r>
        <w:t xml:space="preserve"> como requisito obligatorio, la aportación del documento de identidad</w:t>
      </w:r>
      <w:r w:rsidR="00133620">
        <w:t xml:space="preserve"> </w:t>
      </w:r>
      <w:r w:rsidR="00F039EA">
        <w:t>por parte de los solicitantes.</w:t>
      </w:r>
    </w:p>
    <w:p w:rsidR="002D404B" w:rsidRDefault="002D404B" w:rsidP="002D404B">
      <w:pPr>
        <w:pStyle w:val="Prrafodelista"/>
        <w:ind w:left="426"/>
        <w:jc w:val="both"/>
      </w:pPr>
    </w:p>
    <w:p w:rsidR="002D404B" w:rsidRDefault="00F039EA" w:rsidP="002D404B">
      <w:pPr>
        <w:pStyle w:val="Prrafodelista"/>
        <w:pBdr>
          <w:top w:val="single" w:sz="4" w:space="1" w:color="008000"/>
          <w:left w:val="single" w:sz="4" w:space="4" w:color="008000"/>
          <w:bottom w:val="single" w:sz="4" w:space="1" w:color="008000"/>
          <w:right w:val="single" w:sz="4" w:space="4" w:color="008000"/>
        </w:pBdr>
        <w:ind w:left="426"/>
        <w:jc w:val="both"/>
      </w:pPr>
      <w:r>
        <w:t>Como es sabido el artículo 28.2 de la Ley 39/2015 establece el derecho de los ciudadanos a no aportar información que esté en poder de la administración.</w:t>
      </w:r>
    </w:p>
    <w:p w:rsidR="00F039EA" w:rsidRDefault="00F039EA" w:rsidP="002D404B">
      <w:pPr>
        <w:pStyle w:val="Prrafodelista"/>
        <w:pBdr>
          <w:top w:val="single" w:sz="4" w:space="1" w:color="008000"/>
          <w:left w:val="single" w:sz="4" w:space="4" w:color="008000"/>
          <w:bottom w:val="single" w:sz="4" w:space="1" w:color="008000"/>
          <w:right w:val="single" w:sz="4" w:space="4" w:color="008000"/>
        </w:pBdr>
        <w:ind w:left="426"/>
        <w:jc w:val="both"/>
      </w:pPr>
    </w:p>
    <w:p w:rsidR="00F039EA" w:rsidRDefault="00F039EA" w:rsidP="002D404B">
      <w:pPr>
        <w:pStyle w:val="Prrafodelista"/>
        <w:pBdr>
          <w:top w:val="single" w:sz="4" w:space="1" w:color="008000"/>
          <w:left w:val="single" w:sz="4" w:space="4" w:color="008000"/>
          <w:bottom w:val="single" w:sz="4" w:space="1" w:color="008000"/>
          <w:right w:val="single" w:sz="4" w:space="4" w:color="008000"/>
        </w:pBdr>
        <w:ind w:left="426"/>
        <w:jc w:val="both"/>
      </w:pPr>
      <w:r>
        <w:t xml:space="preserve">Este es el caso de los documentos de identidad. Por esta razón, este Consejo recomienda que el </w:t>
      </w:r>
      <w:proofErr w:type="spellStart"/>
      <w:r>
        <w:t>BdE</w:t>
      </w:r>
      <w:proofErr w:type="spellEnd"/>
      <w:r>
        <w:t xml:space="preserve"> </w:t>
      </w:r>
      <w:r w:rsidR="006D2FCE">
        <w:t>valore</w:t>
      </w:r>
      <w:r w:rsidR="00934B84">
        <w:t>,</w:t>
      </w:r>
      <w:r w:rsidR="006D2FCE">
        <w:t xml:space="preserve"> si fuese posible, recurrir a la </w:t>
      </w:r>
      <w:r w:rsidR="008E2602">
        <w:t>P</w:t>
      </w:r>
      <w:r>
        <w:t xml:space="preserve">lataforma de </w:t>
      </w:r>
      <w:r w:rsidR="008E2602">
        <w:t>I</w:t>
      </w:r>
      <w:r>
        <w:t xml:space="preserve">ntermediación </w:t>
      </w:r>
      <w:r w:rsidR="008E2602">
        <w:t xml:space="preserve">de Datos (PID) </w:t>
      </w:r>
      <w:r>
        <w:t>que da acceso a numerosos documentos que obran en poder de las administraciones públicas, entre ellos los documentos de identidad.</w:t>
      </w:r>
    </w:p>
    <w:p w:rsidR="002D404B" w:rsidRDefault="002D404B" w:rsidP="002D404B">
      <w:pPr>
        <w:pStyle w:val="Prrafodelista"/>
        <w:ind w:left="426"/>
        <w:jc w:val="both"/>
      </w:pPr>
    </w:p>
    <w:p w:rsidR="002D404B" w:rsidRDefault="002D404B" w:rsidP="002D404B">
      <w:pPr>
        <w:pStyle w:val="Prrafodelista"/>
        <w:ind w:left="426"/>
        <w:jc w:val="both"/>
      </w:pPr>
      <w:r>
        <w:t xml:space="preserve"> </w:t>
      </w:r>
    </w:p>
    <w:p w:rsidR="002D404B" w:rsidRPr="00B70DBD" w:rsidRDefault="002D404B" w:rsidP="002D404B">
      <w:pPr>
        <w:pStyle w:val="Prrafodelista"/>
        <w:numPr>
          <w:ilvl w:val="0"/>
          <w:numId w:val="7"/>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2D404B" w:rsidRDefault="002D404B" w:rsidP="002D404B">
      <w:pPr>
        <w:pStyle w:val="Prrafodelista"/>
        <w:ind w:left="426"/>
        <w:jc w:val="both"/>
      </w:pPr>
    </w:p>
    <w:p w:rsidR="002D404B" w:rsidRPr="001B3CF5" w:rsidRDefault="002D404B" w:rsidP="008E2602">
      <w:pPr>
        <w:pStyle w:val="Prrafodelista"/>
        <w:spacing w:before="120" w:after="120"/>
        <w:ind w:left="425"/>
        <w:contextualSpacing w:val="0"/>
        <w:jc w:val="both"/>
      </w:pPr>
      <w:r w:rsidRPr="001B3CF5">
        <w:t>La gestión de la solicitud de acceso presentada se ha ajustado al procedimiento establecido por la LTAIBG</w:t>
      </w:r>
      <w:r w:rsidR="00A24CD7" w:rsidRPr="001B3CF5">
        <w:t xml:space="preserve">. </w:t>
      </w:r>
    </w:p>
    <w:p w:rsidR="00795901" w:rsidRPr="001B3CF5" w:rsidRDefault="002D404B" w:rsidP="008E2602">
      <w:pPr>
        <w:pStyle w:val="Prrafodelista"/>
        <w:spacing w:before="120" w:after="120"/>
        <w:ind w:left="425"/>
        <w:contextualSpacing w:val="0"/>
        <w:jc w:val="both"/>
      </w:pPr>
      <w:r w:rsidRPr="001B3CF5">
        <w:t xml:space="preserve">La resolución emitida por </w:t>
      </w:r>
      <w:r w:rsidR="00A24CD7" w:rsidRPr="001B3CF5">
        <w:t xml:space="preserve">el BdE </w:t>
      </w:r>
      <w:r w:rsidRPr="001B3CF5">
        <w:t xml:space="preserve">está motivada y correctamente estructurada, es clara y comprensible, incluye pie de recurso y además proporciona </w:t>
      </w:r>
      <w:r w:rsidR="008E2602" w:rsidRPr="001B3CF5">
        <w:t xml:space="preserve">un gran número de </w:t>
      </w:r>
      <w:r w:rsidRPr="001B3CF5">
        <w:t>explicaciones adicionales</w:t>
      </w:r>
      <w:r w:rsidR="006C4B71" w:rsidRPr="001B3CF5">
        <w:t xml:space="preserve"> relativas a:</w:t>
      </w:r>
      <w:r w:rsidR="00696607" w:rsidRPr="001B3CF5">
        <w:t xml:space="preserve"> derecho de acceso, c</w:t>
      </w:r>
      <w:r w:rsidR="00795901" w:rsidRPr="001B3CF5">
        <w:t>a</w:t>
      </w:r>
      <w:r w:rsidR="00696607" w:rsidRPr="001B3CF5">
        <w:t>usa</w:t>
      </w:r>
      <w:r w:rsidR="00795901" w:rsidRPr="001B3CF5">
        <w:t>s</w:t>
      </w:r>
      <w:r w:rsidR="00696607" w:rsidRPr="001B3CF5">
        <w:t xml:space="preserve"> de inadmisión, especial</w:t>
      </w:r>
      <w:r w:rsidR="00795901" w:rsidRPr="001B3CF5">
        <w:t>idades</w:t>
      </w:r>
      <w:r w:rsidR="00696607" w:rsidRPr="001B3CF5">
        <w:t xml:space="preserve"> apl</w:t>
      </w:r>
      <w:r w:rsidR="00795901" w:rsidRPr="001B3CF5">
        <w:t xml:space="preserve">icables </w:t>
      </w:r>
      <w:r w:rsidR="00696607" w:rsidRPr="001B3CF5">
        <w:t>a la i</w:t>
      </w:r>
      <w:r w:rsidR="00795901" w:rsidRPr="001B3CF5">
        <w:t xml:space="preserve">nformación en poder del Banco de España </w:t>
      </w:r>
      <w:r w:rsidR="0058021F" w:rsidRPr="001B3CF5">
        <w:t>(</w:t>
      </w:r>
      <w:r w:rsidR="00795901" w:rsidRPr="001B3CF5">
        <w:t>con todo detalle</w:t>
      </w:r>
      <w:r w:rsidR="0058021F" w:rsidRPr="001B3CF5">
        <w:t>)</w:t>
      </w:r>
      <w:r w:rsidR="00795901" w:rsidRPr="001B3CF5">
        <w:t xml:space="preserve">, </w:t>
      </w:r>
      <w:r w:rsidR="00696607" w:rsidRPr="001B3CF5">
        <w:t xml:space="preserve">un análisis de la </w:t>
      </w:r>
      <w:r w:rsidR="001B3CF5">
        <w:t xml:space="preserve">solicitud de información </w:t>
      </w:r>
      <w:r w:rsidR="008E2602" w:rsidRPr="001B3CF5">
        <w:t xml:space="preserve">presentada para concluir sobre </w:t>
      </w:r>
      <w:r w:rsidR="00696607" w:rsidRPr="001B3CF5">
        <w:t xml:space="preserve">la </w:t>
      </w:r>
      <w:r w:rsidR="00795901" w:rsidRPr="001B3CF5">
        <w:t xml:space="preserve">insuficiencia de los datos que </w:t>
      </w:r>
      <w:r w:rsidR="00696607" w:rsidRPr="001B3CF5">
        <w:t>se publ</w:t>
      </w:r>
      <w:r w:rsidR="00795901" w:rsidRPr="001B3CF5">
        <w:t xml:space="preserve">ican en su web si se quiere dar satisfacción íntegra a la solicitud formulada y </w:t>
      </w:r>
      <w:r w:rsidR="008E2602" w:rsidRPr="001B3CF5">
        <w:t xml:space="preserve">por último, </w:t>
      </w:r>
      <w:r w:rsidR="00795901" w:rsidRPr="001B3CF5">
        <w:t>por si fuera de interés para el solicitante, los enlaces a publicaciones del BdE que recogen información agregada/estadística sobre las solicitudes de acceso a información pública recibidas en esa Institución.</w:t>
      </w:r>
    </w:p>
    <w:p w:rsidR="00795901" w:rsidRPr="001B3CF5" w:rsidRDefault="00795901" w:rsidP="008E2602">
      <w:pPr>
        <w:pStyle w:val="Prrafodelista"/>
        <w:spacing w:before="120" w:after="120"/>
        <w:ind w:left="425"/>
        <w:contextualSpacing w:val="0"/>
        <w:jc w:val="both"/>
      </w:pPr>
      <w:r w:rsidRPr="001B3CF5">
        <w:t xml:space="preserve">La información </w:t>
      </w:r>
      <w:r w:rsidR="00A33B42" w:rsidRPr="001B3CF5">
        <w:t xml:space="preserve">objeto de la </w:t>
      </w:r>
      <w:r w:rsidR="001B3CF5">
        <w:t>solicitud de información</w:t>
      </w:r>
      <w:r w:rsidRPr="001B3CF5">
        <w:t xml:space="preserve"> también se proporciona con todo tipo de detalle. </w:t>
      </w:r>
    </w:p>
    <w:p w:rsidR="008E2602" w:rsidRPr="001B3CF5" w:rsidRDefault="00A24CD7" w:rsidP="008E2602">
      <w:pPr>
        <w:pStyle w:val="Prrafodelista"/>
        <w:spacing w:before="120" w:after="120"/>
        <w:ind w:left="425"/>
        <w:contextualSpacing w:val="0"/>
        <w:jc w:val="both"/>
      </w:pPr>
      <w:r w:rsidRPr="001B3CF5">
        <w:t>Se remiten tres documentos</w:t>
      </w:r>
      <w:r w:rsidR="00795901" w:rsidRPr="001B3CF5">
        <w:t>, además del pen drive con los datos en formato reutilizable:</w:t>
      </w:r>
      <w:r w:rsidRPr="001B3CF5">
        <w:t xml:space="preserve"> el </w:t>
      </w:r>
      <w:r w:rsidR="006C4B71" w:rsidRPr="001B3CF5">
        <w:t>oficio de remisión, la</w:t>
      </w:r>
      <w:r w:rsidRPr="001B3CF5">
        <w:t xml:space="preserve"> notificación</w:t>
      </w:r>
      <w:r w:rsidR="006C4B71" w:rsidRPr="001B3CF5">
        <w:t xml:space="preserve"> de la resolución firmad</w:t>
      </w:r>
      <w:r w:rsidR="001B3CF5">
        <w:t>a</w:t>
      </w:r>
      <w:r w:rsidR="006C4B71" w:rsidRPr="001B3CF5">
        <w:t xml:space="preserve"> por la </w:t>
      </w:r>
      <w:r w:rsidR="006C4B71" w:rsidRPr="001B3CF5">
        <w:rPr>
          <w:rStyle w:val="Ttulo2Car"/>
          <w:b w:val="0"/>
          <w:color w:val="auto"/>
          <w:sz w:val="22"/>
          <w:szCs w:val="22"/>
          <w:lang w:bidi="es-ES"/>
        </w:rPr>
        <w:t>Jefa de la División de Gobernanza y Transparencia</w:t>
      </w:r>
      <w:r w:rsidR="001B3CF5">
        <w:rPr>
          <w:rStyle w:val="Ttulo2Car"/>
          <w:b w:val="0"/>
          <w:color w:val="auto"/>
          <w:sz w:val="22"/>
          <w:szCs w:val="22"/>
          <w:lang w:bidi="es-ES"/>
        </w:rPr>
        <w:t>,</w:t>
      </w:r>
      <w:r w:rsidR="006C4B71" w:rsidRPr="001B3CF5">
        <w:t xml:space="preserve"> que recoge la p</w:t>
      </w:r>
      <w:r w:rsidRPr="001B3CF5">
        <w:t>arte dispositiva de la resolución adoptada</w:t>
      </w:r>
      <w:r w:rsidR="008E2602" w:rsidRPr="001B3CF5">
        <w:t xml:space="preserve">, </w:t>
      </w:r>
      <w:r w:rsidR="008E2602" w:rsidRPr="001B3CF5">
        <w:rPr>
          <w:rStyle w:val="Ttulo2Car"/>
          <w:b w:val="0"/>
          <w:color w:val="auto"/>
          <w:sz w:val="22"/>
          <w:szCs w:val="22"/>
          <w:lang w:bidi="es-ES"/>
        </w:rPr>
        <w:t xml:space="preserve"> y </w:t>
      </w:r>
      <w:r w:rsidR="006C4B71" w:rsidRPr="001B3CF5">
        <w:rPr>
          <w:rStyle w:val="Ttulo2Car"/>
          <w:b w:val="0"/>
          <w:color w:val="auto"/>
          <w:sz w:val="22"/>
          <w:szCs w:val="22"/>
          <w:lang w:bidi="es-ES"/>
        </w:rPr>
        <w:t>la</w:t>
      </w:r>
      <w:r w:rsidRPr="001B3CF5">
        <w:t xml:space="preserve"> resolución íntegra </w:t>
      </w:r>
      <w:r w:rsidR="008E2602" w:rsidRPr="001B3CF5">
        <w:t>(de 7 páginas) adoptada por el Vicesecretario General del BdE.</w:t>
      </w:r>
    </w:p>
    <w:p w:rsidR="002D404B" w:rsidRPr="001B3CF5" w:rsidRDefault="002D404B" w:rsidP="002D404B">
      <w:pPr>
        <w:pStyle w:val="Prrafodelista"/>
        <w:tabs>
          <w:tab w:val="left" w:pos="426"/>
        </w:tabs>
        <w:ind w:left="426"/>
        <w:jc w:val="both"/>
      </w:pPr>
      <w:r w:rsidRPr="001B3CF5">
        <w:t xml:space="preserve">La notificación se efectúa </w:t>
      </w:r>
      <w:r w:rsidR="008E2602" w:rsidRPr="001B3CF5">
        <w:t>por carta certificada</w:t>
      </w:r>
      <w:r w:rsidRPr="001B3CF5">
        <w:t xml:space="preserve"> y la información se proporciona en el momento de la notificación y en el formato indicado por el solicitante</w:t>
      </w:r>
      <w:r w:rsidR="0058021F" w:rsidRPr="001B3CF5">
        <w:t>, para lo que se acompaña un pen drive</w:t>
      </w:r>
      <w:r w:rsidRPr="001B3CF5">
        <w:t>.</w:t>
      </w:r>
    </w:p>
    <w:p w:rsidR="00B40246" w:rsidRDefault="00B40246"/>
    <w:p w:rsidR="00B40246" w:rsidRDefault="00B40246"/>
    <w:sectPr w:rsidR="00B40246" w:rsidSect="00133620">
      <w:footerReference w:type="default" r:id="rId12"/>
      <w:pgSz w:w="11906" w:h="16838"/>
      <w:pgMar w:top="851"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0C" w:rsidRDefault="00F15E0C" w:rsidP="00932008">
      <w:pPr>
        <w:spacing w:after="0" w:line="240" w:lineRule="auto"/>
      </w:pPr>
      <w:r>
        <w:separator/>
      </w:r>
    </w:p>
  </w:endnote>
  <w:endnote w:type="continuationSeparator" w:id="0">
    <w:p w:rsidR="00F15E0C" w:rsidRDefault="00F15E0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309810"/>
      <w:docPartObj>
        <w:docPartGallery w:val="Page Numbers (Bottom of Page)"/>
        <w:docPartUnique/>
      </w:docPartObj>
    </w:sdtPr>
    <w:sdtEndPr>
      <w:rPr>
        <w:sz w:val="18"/>
        <w:szCs w:val="18"/>
      </w:rPr>
    </w:sdtEndPr>
    <w:sdtContent>
      <w:p w:rsidR="00F15E0C" w:rsidRPr="00ED11F3" w:rsidRDefault="00F15E0C">
        <w:pPr>
          <w:pStyle w:val="Piedepgina"/>
          <w:jc w:val="right"/>
          <w:rPr>
            <w:sz w:val="18"/>
            <w:szCs w:val="18"/>
          </w:rPr>
        </w:pPr>
        <w:r w:rsidRPr="00ED11F3">
          <w:rPr>
            <w:sz w:val="18"/>
            <w:szCs w:val="18"/>
          </w:rPr>
          <w:fldChar w:fldCharType="begin"/>
        </w:r>
        <w:r w:rsidRPr="00ED11F3">
          <w:rPr>
            <w:sz w:val="18"/>
            <w:szCs w:val="18"/>
          </w:rPr>
          <w:instrText>PAGE   \* MERGEFORMAT</w:instrText>
        </w:r>
        <w:r w:rsidRPr="00ED11F3">
          <w:rPr>
            <w:sz w:val="18"/>
            <w:szCs w:val="18"/>
          </w:rPr>
          <w:fldChar w:fldCharType="separate"/>
        </w:r>
        <w:r w:rsidR="007C51B4">
          <w:rPr>
            <w:noProof/>
            <w:sz w:val="18"/>
            <w:szCs w:val="18"/>
          </w:rPr>
          <w:t>7</w:t>
        </w:r>
        <w:r w:rsidRPr="00ED11F3">
          <w:rPr>
            <w:sz w:val="18"/>
            <w:szCs w:val="18"/>
          </w:rPr>
          <w:fldChar w:fldCharType="end"/>
        </w:r>
      </w:p>
    </w:sdtContent>
  </w:sdt>
  <w:p w:rsidR="00F15E0C" w:rsidRDefault="00F15E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0C" w:rsidRDefault="00F15E0C" w:rsidP="00932008">
      <w:pPr>
        <w:spacing w:after="0" w:line="240" w:lineRule="auto"/>
      </w:pPr>
      <w:r>
        <w:separator/>
      </w:r>
    </w:p>
  </w:footnote>
  <w:footnote w:type="continuationSeparator" w:id="0">
    <w:p w:rsidR="00F15E0C" w:rsidRDefault="00F15E0C" w:rsidP="00932008">
      <w:pPr>
        <w:spacing w:after="0" w:line="240" w:lineRule="auto"/>
      </w:pPr>
      <w:r>
        <w:continuationSeparator/>
      </w:r>
    </w:p>
  </w:footnote>
  <w:footnote w:id="1">
    <w:p w:rsidR="00F15E0C" w:rsidRDefault="00F15E0C" w:rsidP="00B149F8">
      <w:pPr>
        <w:pStyle w:val="Textonotapie"/>
        <w:jc w:val="both"/>
      </w:pPr>
      <w:r>
        <w:rPr>
          <w:rStyle w:val="Refdenotaalpie"/>
        </w:rPr>
        <w:footnoteRef/>
      </w:r>
      <w:r>
        <w:t xml:space="preserve"> Se transcriben los datos aportados por el BdE. La suma de las solicitudes pendientes de 2019 y las recibidas en 2020 es 63, que es la cifra que se aporta sobre solicitudes tramitadas. Sin embargo se indica por el BdE que quedaron 3 solicitudes pendientes de tramitación en diciembre de 2020. </w:t>
      </w:r>
    </w:p>
  </w:footnote>
  <w:footnote w:id="2">
    <w:p w:rsidR="00F15E0C" w:rsidRDefault="00F15E0C">
      <w:pPr>
        <w:pStyle w:val="Textonotapie"/>
      </w:pPr>
      <w:r>
        <w:rPr>
          <w:rStyle w:val="Refdenotaalpie"/>
        </w:rPr>
        <w:footnoteRef/>
      </w:r>
      <w:r>
        <w:t xml:space="preserve"> El BdE proporciona información para 55 de las 58 de las solicitudes admitidas. El cálculo de los indicadores se efectúa sobre solicitudes admitidas, por ello la suma de porcentajes no alcanza el 100%</w:t>
      </w:r>
    </w:p>
  </w:footnote>
  <w:footnote w:id="3">
    <w:p w:rsidR="00F15E0C" w:rsidRDefault="00F15E0C" w:rsidP="007C51B4">
      <w:pPr>
        <w:pStyle w:val="Textonotapie"/>
        <w:jc w:val="both"/>
      </w:pPr>
      <w:r>
        <w:rPr>
          <w:rStyle w:val="Refdenotaalpie"/>
        </w:rPr>
        <w:footnoteRef/>
      </w:r>
      <w:r>
        <w:t xml:space="preserve"> Como se ha indicado, según los datos que proporciona el BdE, la suma de las solicitudes pendientes de 2019 y las recibidas en 2020 es 63, que es la cifra que se aporta sobre solicitudes tramitadas. Sin embargo se indica por el BdE que quedaron 3 solicitudes pendientes de tramitación en diciembre de </w:t>
      </w:r>
      <w:r>
        <w:t>2020</w:t>
      </w:r>
      <w:r w:rsidR="007C51B4">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C138D9"/>
    <w:multiLevelType w:val="hybridMultilevel"/>
    <w:tmpl w:val="2534B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24027B"/>
    <w:multiLevelType w:val="multilevel"/>
    <w:tmpl w:val="BB66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6">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3B2521"/>
    <w:multiLevelType w:val="hybridMultilevel"/>
    <w:tmpl w:val="2C704E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2"/>
  </w:num>
  <w:num w:numId="6">
    <w:abstractNumId w:val="4"/>
  </w:num>
  <w:num w:numId="7">
    <w:abstractNumId w:val="5"/>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57C7A"/>
    <w:rsid w:val="0009200B"/>
    <w:rsid w:val="000965B3"/>
    <w:rsid w:val="000C6CFF"/>
    <w:rsid w:val="00102733"/>
    <w:rsid w:val="0012783F"/>
    <w:rsid w:val="00133620"/>
    <w:rsid w:val="001561A4"/>
    <w:rsid w:val="00176A94"/>
    <w:rsid w:val="00194000"/>
    <w:rsid w:val="001B3CF5"/>
    <w:rsid w:val="001F251B"/>
    <w:rsid w:val="001F378E"/>
    <w:rsid w:val="001F5D3F"/>
    <w:rsid w:val="002019B0"/>
    <w:rsid w:val="00241D7A"/>
    <w:rsid w:val="002501BF"/>
    <w:rsid w:val="00256215"/>
    <w:rsid w:val="002A1411"/>
    <w:rsid w:val="002A154B"/>
    <w:rsid w:val="002A687B"/>
    <w:rsid w:val="002D404B"/>
    <w:rsid w:val="0031411B"/>
    <w:rsid w:val="00334115"/>
    <w:rsid w:val="003807D8"/>
    <w:rsid w:val="003F271E"/>
    <w:rsid w:val="003F572A"/>
    <w:rsid w:val="004A123A"/>
    <w:rsid w:val="004D6E73"/>
    <w:rsid w:val="004F2655"/>
    <w:rsid w:val="00500CC0"/>
    <w:rsid w:val="00502DB4"/>
    <w:rsid w:val="00520456"/>
    <w:rsid w:val="005446A8"/>
    <w:rsid w:val="00561402"/>
    <w:rsid w:val="0057532F"/>
    <w:rsid w:val="0058021F"/>
    <w:rsid w:val="00595AAF"/>
    <w:rsid w:val="005B1F0E"/>
    <w:rsid w:val="005B3C15"/>
    <w:rsid w:val="005B65F9"/>
    <w:rsid w:val="005D5877"/>
    <w:rsid w:val="006063E4"/>
    <w:rsid w:val="00632705"/>
    <w:rsid w:val="006628F8"/>
    <w:rsid w:val="00690993"/>
    <w:rsid w:val="00692B3B"/>
    <w:rsid w:val="00696607"/>
    <w:rsid w:val="006A2766"/>
    <w:rsid w:val="006C4B71"/>
    <w:rsid w:val="006D2B2C"/>
    <w:rsid w:val="006D2FCE"/>
    <w:rsid w:val="006E78FC"/>
    <w:rsid w:val="00706E04"/>
    <w:rsid w:val="0070748A"/>
    <w:rsid w:val="00707CFE"/>
    <w:rsid w:val="00710031"/>
    <w:rsid w:val="00727BA2"/>
    <w:rsid w:val="00735ADC"/>
    <w:rsid w:val="00743756"/>
    <w:rsid w:val="00751DFD"/>
    <w:rsid w:val="00795901"/>
    <w:rsid w:val="007A4334"/>
    <w:rsid w:val="007B0F99"/>
    <w:rsid w:val="007C51B4"/>
    <w:rsid w:val="007D6B40"/>
    <w:rsid w:val="007E4463"/>
    <w:rsid w:val="00800A30"/>
    <w:rsid w:val="00802391"/>
    <w:rsid w:val="00815659"/>
    <w:rsid w:val="008207D9"/>
    <w:rsid w:val="00844FA9"/>
    <w:rsid w:val="00850FA7"/>
    <w:rsid w:val="008967F8"/>
    <w:rsid w:val="008C1E1E"/>
    <w:rsid w:val="008E2602"/>
    <w:rsid w:val="00923092"/>
    <w:rsid w:val="009239D9"/>
    <w:rsid w:val="00932008"/>
    <w:rsid w:val="00934B84"/>
    <w:rsid w:val="00955897"/>
    <w:rsid w:val="009609E9"/>
    <w:rsid w:val="00983919"/>
    <w:rsid w:val="009F3CEB"/>
    <w:rsid w:val="00A224A8"/>
    <w:rsid w:val="00A24CD7"/>
    <w:rsid w:val="00A33B42"/>
    <w:rsid w:val="00A41DD5"/>
    <w:rsid w:val="00AF2617"/>
    <w:rsid w:val="00B149F8"/>
    <w:rsid w:val="00B40246"/>
    <w:rsid w:val="00B5583D"/>
    <w:rsid w:val="00B812AB"/>
    <w:rsid w:val="00B841AE"/>
    <w:rsid w:val="00B85820"/>
    <w:rsid w:val="00BB6799"/>
    <w:rsid w:val="00BD4582"/>
    <w:rsid w:val="00BE4E28"/>
    <w:rsid w:val="00BE6A46"/>
    <w:rsid w:val="00C247AE"/>
    <w:rsid w:val="00C33134"/>
    <w:rsid w:val="00C33A23"/>
    <w:rsid w:val="00C34BB5"/>
    <w:rsid w:val="00C4479B"/>
    <w:rsid w:val="00C5744D"/>
    <w:rsid w:val="00CB5511"/>
    <w:rsid w:val="00CC2049"/>
    <w:rsid w:val="00CC587B"/>
    <w:rsid w:val="00D445A7"/>
    <w:rsid w:val="00D52E43"/>
    <w:rsid w:val="00D96F84"/>
    <w:rsid w:val="00DD3E02"/>
    <w:rsid w:val="00DE4AA9"/>
    <w:rsid w:val="00DF0F57"/>
    <w:rsid w:val="00DF63E7"/>
    <w:rsid w:val="00E222AC"/>
    <w:rsid w:val="00E2616F"/>
    <w:rsid w:val="00E3088D"/>
    <w:rsid w:val="00E34195"/>
    <w:rsid w:val="00E47613"/>
    <w:rsid w:val="00E569FD"/>
    <w:rsid w:val="00E67467"/>
    <w:rsid w:val="00ED11F3"/>
    <w:rsid w:val="00EE5BDF"/>
    <w:rsid w:val="00F039EA"/>
    <w:rsid w:val="00F14DA4"/>
    <w:rsid w:val="00F15E0C"/>
    <w:rsid w:val="00F47C3B"/>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table" w:customStyle="1" w:styleId="Tablaconcuadrcula2">
    <w:name w:val="Tabla con cuadrícula2"/>
    <w:basedOn w:val="Tablanormal"/>
    <w:next w:val="Tablaconcuadrcula"/>
    <w:uiPriority w:val="59"/>
    <w:rsid w:val="005B65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1F378E"/>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A24CD7"/>
    <w:rPr>
      <w:sz w:val="16"/>
      <w:szCs w:val="16"/>
    </w:rPr>
  </w:style>
  <w:style w:type="paragraph" w:styleId="Textocomentario">
    <w:name w:val="annotation text"/>
    <w:basedOn w:val="Normal"/>
    <w:link w:val="TextocomentarioCar"/>
    <w:uiPriority w:val="99"/>
    <w:semiHidden/>
    <w:unhideWhenUsed/>
    <w:rsid w:val="00A24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4CD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A24CD7"/>
    <w:rPr>
      <w:b/>
      <w:bCs/>
    </w:rPr>
  </w:style>
  <w:style w:type="character" w:customStyle="1" w:styleId="AsuntodelcomentarioCar">
    <w:name w:val="Asunto del comentario Car"/>
    <w:basedOn w:val="TextocomentarioCar"/>
    <w:link w:val="Asuntodelcomentario"/>
    <w:uiPriority w:val="99"/>
    <w:semiHidden/>
    <w:rsid w:val="00A24CD7"/>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table" w:customStyle="1" w:styleId="Tablaconcuadrcula2">
    <w:name w:val="Tabla con cuadrícula2"/>
    <w:basedOn w:val="Tablanormal"/>
    <w:next w:val="Tablaconcuadrcula"/>
    <w:uiPriority w:val="59"/>
    <w:rsid w:val="005B65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1F378E"/>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A24CD7"/>
    <w:rPr>
      <w:sz w:val="16"/>
      <w:szCs w:val="16"/>
    </w:rPr>
  </w:style>
  <w:style w:type="paragraph" w:styleId="Textocomentario">
    <w:name w:val="annotation text"/>
    <w:basedOn w:val="Normal"/>
    <w:link w:val="TextocomentarioCar"/>
    <w:uiPriority w:val="99"/>
    <w:semiHidden/>
    <w:unhideWhenUsed/>
    <w:rsid w:val="00A24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4CD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A24CD7"/>
    <w:rPr>
      <w:b/>
      <w:bCs/>
    </w:rPr>
  </w:style>
  <w:style w:type="character" w:customStyle="1" w:styleId="AsuntodelcomentarioCar">
    <w:name w:val="Asunto del comentario Car"/>
    <w:basedOn w:val="TextocomentarioCar"/>
    <w:link w:val="Asuntodelcomentario"/>
    <w:uiPriority w:val="99"/>
    <w:semiHidden/>
    <w:rsid w:val="00A24CD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8953">
      <w:bodyDiv w:val="1"/>
      <w:marLeft w:val="0"/>
      <w:marRight w:val="0"/>
      <w:marTop w:val="0"/>
      <w:marBottom w:val="0"/>
      <w:divBdr>
        <w:top w:val="none" w:sz="0" w:space="0" w:color="auto"/>
        <w:left w:val="none" w:sz="0" w:space="0" w:color="auto"/>
        <w:bottom w:val="none" w:sz="0" w:space="0" w:color="auto"/>
        <w:right w:val="none" w:sz="0" w:space="0" w:color="auto"/>
      </w:divBdr>
    </w:div>
    <w:div w:id="871381094">
      <w:bodyDiv w:val="1"/>
      <w:marLeft w:val="0"/>
      <w:marRight w:val="0"/>
      <w:marTop w:val="0"/>
      <w:marBottom w:val="0"/>
      <w:divBdr>
        <w:top w:val="none" w:sz="0" w:space="0" w:color="auto"/>
        <w:left w:val="none" w:sz="0" w:space="0" w:color="auto"/>
        <w:bottom w:val="none" w:sz="0" w:space="0" w:color="auto"/>
        <w:right w:val="none" w:sz="0" w:space="0" w:color="auto"/>
      </w:divBdr>
      <w:divsChild>
        <w:div w:id="1953784366">
          <w:marLeft w:val="0"/>
          <w:marRight w:val="0"/>
          <w:marTop w:val="0"/>
          <w:marBottom w:val="0"/>
          <w:divBdr>
            <w:top w:val="none" w:sz="0" w:space="0" w:color="auto"/>
            <w:left w:val="none" w:sz="0" w:space="0" w:color="auto"/>
            <w:bottom w:val="none" w:sz="0" w:space="0" w:color="auto"/>
            <w:right w:val="none" w:sz="0" w:space="0" w:color="auto"/>
          </w:divBdr>
          <w:divsChild>
            <w:div w:id="516119446">
              <w:marLeft w:val="0"/>
              <w:marRight w:val="0"/>
              <w:marTop w:val="0"/>
              <w:marBottom w:val="0"/>
              <w:divBdr>
                <w:top w:val="none" w:sz="0" w:space="0" w:color="auto"/>
                <w:left w:val="none" w:sz="0" w:space="0" w:color="auto"/>
                <w:bottom w:val="none" w:sz="0" w:space="0" w:color="auto"/>
                <w:right w:val="none" w:sz="0" w:space="0" w:color="auto"/>
              </w:divBdr>
            </w:div>
            <w:div w:id="743064610">
              <w:marLeft w:val="0"/>
              <w:marRight w:val="0"/>
              <w:marTop w:val="0"/>
              <w:marBottom w:val="0"/>
              <w:divBdr>
                <w:top w:val="none" w:sz="0" w:space="0" w:color="auto"/>
                <w:left w:val="none" w:sz="0" w:space="0" w:color="auto"/>
                <w:bottom w:val="none" w:sz="0" w:space="0" w:color="auto"/>
                <w:right w:val="none" w:sz="0" w:space="0" w:color="auto"/>
              </w:divBdr>
            </w:div>
          </w:divsChild>
        </w:div>
        <w:div w:id="529806047">
          <w:marLeft w:val="0"/>
          <w:marRight w:val="0"/>
          <w:marTop w:val="0"/>
          <w:marBottom w:val="0"/>
          <w:divBdr>
            <w:top w:val="none" w:sz="0" w:space="0" w:color="auto"/>
            <w:left w:val="none" w:sz="0" w:space="0" w:color="auto"/>
            <w:bottom w:val="none" w:sz="0" w:space="0" w:color="auto"/>
            <w:right w:val="none" w:sz="0" w:space="0" w:color="auto"/>
          </w:divBdr>
          <w:divsChild>
            <w:div w:id="601842777">
              <w:marLeft w:val="0"/>
              <w:marRight w:val="0"/>
              <w:marTop w:val="0"/>
              <w:marBottom w:val="0"/>
              <w:divBdr>
                <w:top w:val="none" w:sz="0" w:space="0" w:color="auto"/>
                <w:left w:val="none" w:sz="0" w:space="0" w:color="auto"/>
                <w:bottom w:val="none" w:sz="0" w:space="0" w:color="auto"/>
                <w:right w:val="none" w:sz="0" w:space="0" w:color="auto"/>
              </w:divBdr>
            </w:div>
            <w:div w:id="16270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2F9D"/>
    <w:rsid w:val="002C7AFA"/>
    <w:rsid w:val="003D088C"/>
    <w:rsid w:val="00400800"/>
    <w:rsid w:val="00A1391E"/>
    <w:rsid w:val="00AA2E69"/>
    <w:rsid w:val="00B067EB"/>
    <w:rsid w:val="00C26568"/>
    <w:rsid w:val="00D35513"/>
    <w:rsid w:val="00E147F2"/>
    <w:rsid w:val="00E16D50"/>
    <w:rsid w:val="00E5085E"/>
    <w:rsid w:val="00F344F1"/>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386CDC7-87F7-47AA-8CF4-E2FAF38A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438</TotalTime>
  <Pages>7</Pages>
  <Words>2375</Words>
  <Characters>13065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38</cp:revision>
  <cp:lastPrinted>2007-10-26T10:03:00Z</cp:lastPrinted>
  <dcterms:created xsi:type="dcterms:W3CDTF">2021-02-11T13:11:00Z</dcterms:created>
  <dcterms:modified xsi:type="dcterms:W3CDTF">2021-04-06T08:49:00Z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