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rsidP="001D03EE">
      <w:pPr>
        <w:jc w:val="both"/>
      </w:pPr>
    </w:p>
    <w:p w:rsidR="00B40246" w:rsidRPr="00B1184C" w:rsidRDefault="001D03EE" w:rsidP="001D03EE">
      <w:pPr>
        <w:spacing w:before="120" w:after="120" w:line="312" w:lineRule="auto"/>
        <w:jc w:val="both"/>
      </w:pPr>
      <w:r>
        <w:rPr>
          <w:noProof/>
        </w:rPr>
        <mc:AlternateContent>
          <mc:Choice Requires="wps">
            <w:drawing>
              <wp:anchor distT="0" distB="0" distL="114300" distR="114300" simplePos="0" relativeHeight="251661312" behindDoc="0" locked="0" layoutInCell="1" allowOverlap="1" wp14:anchorId="5FF04E48" wp14:editId="20F80A1B">
                <wp:simplePos x="0" y="0"/>
                <wp:positionH relativeFrom="column">
                  <wp:posOffset>352425</wp:posOffset>
                </wp:positionH>
                <wp:positionV relativeFrom="paragraph">
                  <wp:posOffset>43180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9E738D" w:rsidRPr="00006957" w:rsidRDefault="009E738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3.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&#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824A2C" w:rsidRPr="00006957" w:rsidRDefault="00824A2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14:anchorId="66A88180" wp14:editId="697D0794">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E738D" w:rsidRDefault="009E738D" w:rsidP="00B40246">
                            <w:pPr>
                              <w:pStyle w:val="Ttulo2"/>
                              <w:tabs>
                                <w:tab w:val="left" w:pos="142"/>
                              </w:tabs>
                              <w:ind w:left="567"/>
                            </w:pPr>
                            <w:r>
                              <w:rPr>
                                <w:noProof/>
                              </w:rPr>
                              <w:drawing>
                                <wp:inline distT="0" distB="0" distL="0" distR="0" wp14:anchorId="61ABE98A" wp14:editId="1B2B431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24A2C" w:rsidRDefault="00824A2C" w:rsidP="00B40246">
                      <w:pPr>
                        <w:pStyle w:val="Ttulo2"/>
                        <w:tabs>
                          <w:tab w:val="left" w:pos="142"/>
                        </w:tabs>
                        <w:ind w:left="567"/>
                      </w:pPr>
                      <w:r>
                        <w:rPr>
                          <w:noProof/>
                        </w:rPr>
                        <w:drawing>
                          <wp:inline distT="0" distB="0" distL="0" distR="0" wp14:anchorId="61ABE98A" wp14:editId="1B2B431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1D03EE">
      <w:pPr>
        <w:spacing w:before="120" w:after="120" w:line="312" w:lineRule="auto"/>
        <w:jc w:val="both"/>
      </w:pPr>
    </w:p>
    <w:p w:rsidR="00B40246" w:rsidRPr="00B1184C" w:rsidRDefault="00B40246" w:rsidP="001D03EE">
      <w:pPr>
        <w:spacing w:before="120" w:after="120" w:line="312" w:lineRule="auto"/>
        <w:jc w:val="both"/>
      </w:pPr>
    </w:p>
    <w:p w:rsidR="00B40246" w:rsidRPr="00B1184C" w:rsidRDefault="00B40246" w:rsidP="001D03EE">
      <w:pPr>
        <w:spacing w:before="120" w:after="120" w:line="312" w:lineRule="auto"/>
        <w:jc w:val="both"/>
        <w:rPr>
          <w:rFonts w:ascii="Arial" w:hAnsi="Arial"/>
          <w:b/>
          <w:sz w:val="36"/>
        </w:rPr>
      </w:pPr>
    </w:p>
    <w:p w:rsidR="00B40246" w:rsidRPr="0063780B" w:rsidRDefault="00D96F84" w:rsidP="001D03EE">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7C98B12C" wp14:editId="08D1E138">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rsidP="001D03EE">
      <w:pPr>
        <w:jc w:val="both"/>
      </w:pPr>
    </w:p>
    <w:p w:rsidR="000C6CFF" w:rsidRDefault="000C6CFF" w:rsidP="001D03EE">
      <w:pPr>
        <w:jc w:val="both"/>
      </w:pPr>
    </w:p>
    <w:tbl>
      <w:tblPr>
        <w:tblStyle w:val="Tablaconcuadrcula"/>
        <w:tblW w:w="0" w:type="auto"/>
        <w:tblLook w:val="04A0" w:firstRow="1" w:lastRow="0" w:firstColumn="1" w:lastColumn="0" w:noHBand="0" w:noVBand="1"/>
      </w:tblPr>
      <w:tblGrid>
        <w:gridCol w:w="3652"/>
        <w:gridCol w:w="6954"/>
      </w:tblGrid>
      <w:tr w:rsidR="001D03EE" w:rsidRPr="00CB5511" w:rsidTr="009E738D">
        <w:tc>
          <w:tcPr>
            <w:tcW w:w="3652" w:type="dxa"/>
          </w:tcPr>
          <w:p w:rsidR="001D03EE" w:rsidRPr="00E34195" w:rsidRDefault="001D03EE" w:rsidP="001D03EE">
            <w:pPr>
              <w:jc w:val="both"/>
              <w:rPr>
                <w:b/>
                <w:color w:val="00642D"/>
                <w:sz w:val="24"/>
                <w:szCs w:val="24"/>
              </w:rPr>
            </w:pPr>
            <w:r w:rsidRPr="00E34195">
              <w:rPr>
                <w:b/>
                <w:color w:val="00642D"/>
                <w:sz w:val="24"/>
                <w:szCs w:val="24"/>
              </w:rPr>
              <w:t>Entidad evaluada</w:t>
            </w:r>
          </w:p>
        </w:tc>
        <w:tc>
          <w:tcPr>
            <w:tcW w:w="6954" w:type="dxa"/>
          </w:tcPr>
          <w:p w:rsidR="001D03EE" w:rsidRPr="00CB5511" w:rsidRDefault="001D03EE" w:rsidP="001D03EE">
            <w:pPr>
              <w:jc w:val="both"/>
              <w:rPr>
                <w:sz w:val="24"/>
                <w:szCs w:val="24"/>
              </w:rPr>
            </w:pPr>
            <w:r>
              <w:rPr>
                <w:sz w:val="24"/>
                <w:szCs w:val="24"/>
              </w:rPr>
              <w:t>Comisión Nacional de los Mercados y la Competencia</w:t>
            </w:r>
          </w:p>
        </w:tc>
      </w:tr>
      <w:tr w:rsidR="001D03EE" w:rsidRPr="00CB5511" w:rsidTr="009E738D">
        <w:tc>
          <w:tcPr>
            <w:tcW w:w="3652" w:type="dxa"/>
          </w:tcPr>
          <w:p w:rsidR="001D03EE" w:rsidRPr="00E34195" w:rsidRDefault="001D03EE" w:rsidP="001D03EE">
            <w:pPr>
              <w:jc w:val="both"/>
              <w:rPr>
                <w:b/>
                <w:color w:val="00642D"/>
                <w:sz w:val="24"/>
                <w:szCs w:val="24"/>
              </w:rPr>
            </w:pPr>
            <w:r w:rsidRPr="00E34195">
              <w:rPr>
                <w:b/>
                <w:color w:val="00642D"/>
                <w:sz w:val="24"/>
                <w:szCs w:val="24"/>
              </w:rPr>
              <w:t>Fecha de la evaluación</w:t>
            </w:r>
          </w:p>
        </w:tc>
        <w:tc>
          <w:tcPr>
            <w:tcW w:w="6954" w:type="dxa"/>
          </w:tcPr>
          <w:p w:rsidR="001D03EE" w:rsidRPr="00CB5511" w:rsidRDefault="001D03EE" w:rsidP="001D03EE">
            <w:pPr>
              <w:jc w:val="both"/>
              <w:rPr>
                <w:sz w:val="24"/>
                <w:szCs w:val="24"/>
              </w:rPr>
            </w:pPr>
            <w:r>
              <w:rPr>
                <w:sz w:val="24"/>
                <w:szCs w:val="24"/>
              </w:rPr>
              <w:t>12/02/2021</w:t>
            </w:r>
          </w:p>
        </w:tc>
      </w:tr>
    </w:tbl>
    <w:p w:rsidR="001D03EE" w:rsidRDefault="001D03EE" w:rsidP="001D03EE">
      <w:pPr>
        <w:jc w:val="both"/>
      </w:pPr>
    </w:p>
    <w:p w:rsidR="00561402" w:rsidRPr="0012783F" w:rsidRDefault="00ED0253" w:rsidP="001D03EE">
      <w:pPr>
        <w:jc w:val="both"/>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12783F" w:rsidRDefault="0032100B" w:rsidP="001D03EE">
      <w:pPr>
        <w:pStyle w:val="Cuerpodelboletn"/>
        <w:spacing w:before="120" w:after="120" w:line="312" w:lineRule="auto"/>
        <w:ind w:left="360"/>
        <w:rPr>
          <w:rStyle w:val="Ttulo2Car"/>
          <w:b w:val="0"/>
          <w:color w:val="auto"/>
          <w:sz w:val="22"/>
          <w:szCs w:val="22"/>
          <w:lang w:bidi="es-ES"/>
        </w:rPr>
      </w:pPr>
      <w:r w:rsidRPr="00C32B5A">
        <w:rPr>
          <w:rStyle w:val="Ttulo2Car"/>
          <w:b w:val="0"/>
          <w:color w:val="auto"/>
          <w:sz w:val="22"/>
          <w:szCs w:val="22"/>
          <w:lang w:bidi="es-ES"/>
        </w:rPr>
        <w:t xml:space="preserve">La </w:t>
      </w:r>
      <w:r>
        <w:rPr>
          <w:rStyle w:val="Ttulo2Car"/>
          <w:b w:val="0"/>
          <w:color w:val="auto"/>
          <w:sz w:val="22"/>
          <w:szCs w:val="22"/>
          <w:lang w:bidi="es-ES"/>
        </w:rPr>
        <w:t>CNMC ha asignado la gestión de las solicitudes de acceso a información pública a la Asesoría Jurídica de la entidad</w:t>
      </w:r>
      <w:r w:rsidR="00824A2C">
        <w:rPr>
          <w:rStyle w:val="Ttulo2Car"/>
          <w:b w:val="0"/>
          <w:color w:val="auto"/>
          <w:sz w:val="22"/>
          <w:szCs w:val="22"/>
          <w:lang w:bidi="es-ES"/>
        </w:rPr>
        <w:t>. L</w:t>
      </w:r>
      <w:r>
        <w:rPr>
          <w:rStyle w:val="Ttulo2Car"/>
          <w:b w:val="0"/>
          <w:color w:val="auto"/>
          <w:sz w:val="22"/>
          <w:szCs w:val="22"/>
          <w:lang w:bidi="es-ES"/>
        </w:rPr>
        <w:t>a resolución de las solicitudes es competencia de la Secretaría General. Para la gestión de las solicitudes cuenta con cinco personas que compaginan esta tarea con otras actividades.</w:t>
      </w:r>
    </w:p>
    <w:p w:rsidR="0032100B" w:rsidRDefault="0032100B" w:rsidP="001D03EE">
      <w:pPr>
        <w:pStyle w:val="Cuerpodelboletn"/>
        <w:spacing w:before="120" w:after="120" w:line="312" w:lineRule="auto"/>
        <w:ind w:left="360"/>
        <w:rPr>
          <w:rStyle w:val="Ttulo2Car"/>
          <w:color w:val="00642D"/>
          <w:lang w:bidi="es-ES"/>
        </w:rPr>
      </w:pPr>
    </w:p>
    <w:p w:rsidR="00B812AB" w:rsidRPr="0012783F" w:rsidRDefault="00ED0253" w:rsidP="001D03EE">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1D03EE">
            <w:rPr>
              <w:b/>
              <w:color w:val="00642D"/>
              <w:sz w:val="30"/>
              <w:szCs w:val="30"/>
            </w:rPr>
            <w:t xml:space="preserve"> </w:t>
          </w:r>
        </w:sdtContent>
      </w:sdt>
    </w:p>
    <w:p w:rsidR="003645B4" w:rsidRDefault="003645B4" w:rsidP="001D03EE">
      <w:pPr>
        <w:pStyle w:val="Cuerpodelboletn"/>
        <w:spacing w:before="120" w:after="120" w:line="312" w:lineRule="auto"/>
        <w:ind w:left="360"/>
        <w:rPr>
          <w:rStyle w:val="Ttulo2Car"/>
          <w:color w:val="00642D"/>
          <w:lang w:bidi="es-ES"/>
        </w:rPr>
      </w:pPr>
    </w:p>
    <w:p w:rsidR="00B812AB" w:rsidRDefault="00A41DD5" w:rsidP="001D03EE">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E127B5" w:rsidRDefault="00E127B5" w:rsidP="001D03EE">
      <w:pPr>
        <w:ind w:left="426"/>
        <w:jc w:val="both"/>
      </w:pPr>
    </w:p>
    <w:p w:rsidR="0032100B" w:rsidRDefault="0032100B" w:rsidP="001D03EE">
      <w:pPr>
        <w:ind w:left="426"/>
        <w:jc w:val="both"/>
      </w:pPr>
      <w:r>
        <w:t>En 2020, la CNMC recibió 38 solicitudes de acceso a información pública</w:t>
      </w:r>
      <w:r w:rsidR="00824A2C">
        <w:t>. No</w:t>
      </w:r>
      <w:r>
        <w:t xml:space="preserve"> habían quedado solicitudes pendientes a 31 de diciembre de 2019. De estas 38 solicitudes</w:t>
      </w:r>
      <w:r w:rsidR="00824A2C">
        <w:t>,</w:t>
      </w:r>
      <w:r>
        <w:t xml:space="preserve"> se tramitaron 35 a lo largo de 2020, quedando pendientes a 31</w:t>
      </w:r>
      <w:r w:rsidR="00824A2C">
        <w:t xml:space="preserve"> </w:t>
      </w:r>
      <w:r>
        <w:t>de diciembre de ese año 3 solicitudes.</w:t>
      </w:r>
    </w:p>
    <w:p w:rsidR="0032100B" w:rsidRDefault="0032100B" w:rsidP="001D03EE">
      <w:pPr>
        <w:ind w:left="426"/>
        <w:jc w:val="both"/>
      </w:pPr>
      <w:r>
        <w:t xml:space="preserve">De estas 35 solicitudes tramitadas, 33 fueron admitidas, quedando inadmitidas 2, de las cuales una lo fue porque la CNMC no era el órgano competente para resolverlas y se </w:t>
      </w:r>
      <w:r>
        <w:lastRenderedPageBreak/>
        <w:t>desconocía el competente y la segunda</w:t>
      </w:r>
      <w:r w:rsidR="00824A2C">
        <w:t>,</w:t>
      </w:r>
      <w:r>
        <w:t xml:space="preserve"> porque se consideró la solicitud abusiva o repetitiva. </w:t>
      </w:r>
    </w:p>
    <w:p w:rsidR="00F14DA4" w:rsidRDefault="00F14DA4" w:rsidP="001D03EE">
      <w:pPr>
        <w:jc w:val="both"/>
      </w:pPr>
    </w:p>
    <w:p w:rsidR="00F7263F" w:rsidRDefault="00F7263F" w:rsidP="001D03EE">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2020</w:t>
      </w:r>
    </w:p>
    <w:p w:rsidR="003645B4" w:rsidRDefault="003645B4" w:rsidP="001D03EE">
      <w:pPr>
        <w:ind w:left="426"/>
        <w:jc w:val="both"/>
        <w:rPr>
          <w:rStyle w:val="Ttulo2Car"/>
          <w:b w:val="0"/>
          <w:color w:val="auto"/>
          <w:sz w:val="22"/>
          <w:szCs w:val="22"/>
          <w:lang w:bidi="es-ES"/>
        </w:rPr>
      </w:pPr>
    </w:p>
    <w:p w:rsidR="00E43D0F" w:rsidRDefault="00E43D0F" w:rsidP="001D03EE">
      <w:pPr>
        <w:ind w:left="426"/>
        <w:jc w:val="both"/>
        <w:rPr>
          <w:rStyle w:val="Ttulo2Car"/>
          <w:b w:val="0"/>
          <w:color w:val="auto"/>
          <w:sz w:val="22"/>
          <w:szCs w:val="22"/>
          <w:lang w:bidi="es-ES"/>
        </w:rPr>
      </w:pPr>
      <w:r w:rsidRPr="00647481">
        <w:rPr>
          <w:rStyle w:val="Ttulo2Car"/>
          <w:b w:val="0"/>
          <w:color w:val="auto"/>
          <w:sz w:val="22"/>
          <w:szCs w:val="22"/>
          <w:lang w:bidi="es-ES"/>
        </w:rPr>
        <w:t>En 2020</w:t>
      </w:r>
      <w:r>
        <w:rPr>
          <w:rStyle w:val="Ttulo2Car"/>
          <w:b w:val="0"/>
          <w:color w:val="auto"/>
          <w:sz w:val="22"/>
          <w:szCs w:val="22"/>
          <w:lang w:bidi="es-ES"/>
        </w:rPr>
        <w:t xml:space="preserve">, en promedio, cada una de las personas asignadas a la gestión de las solicitudes de acceso asumió 7,60 solicitudes de las cuales tramitó 7. </w:t>
      </w:r>
    </w:p>
    <w:p w:rsidR="00E43D0F" w:rsidRDefault="00E43D0F" w:rsidP="001D03EE">
      <w:pPr>
        <w:ind w:left="426"/>
        <w:jc w:val="both"/>
        <w:rPr>
          <w:rStyle w:val="Ttulo2Car"/>
          <w:b w:val="0"/>
          <w:color w:val="auto"/>
          <w:sz w:val="22"/>
          <w:szCs w:val="22"/>
          <w:lang w:bidi="es-ES"/>
        </w:rPr>
      </w:pPr>
      <w:r>
        <w:rPr>
          <w:rStyle w:val="Ttulo2Car"/>
          <w:b w:val="0"/>
          <w:color w:val="auto"/>
          <w:sz w:val="22"/>
          <w:szCs w:val="22"/>
          <w:lang w:bidi="es-ES"/>
        </w:rPr>
        <w:t>En 2020 se tramitó más del 92% de las solicitudes</w:t>
      </w:r>
      <w:r w:rsidR="00824A2C">
        <w:rPr>
          <w:rStyle w:val="Ttulo2Car"/>
          <w:b w:val="0"/>
          <w:color w:val="auto"/>
          <w:sz w:val="22"/>
          <w:szCs w:val="22"/>
          <w:lang w:bidi="es-ES"/>
        </w:rPr>
        <w:t>;</w:t>
      </w:r>
      <w:r>
        <w:rPr>
          <w:rStyle w:val="Ttulo2Car"/>
          <w:b w:val="0"/>
          <w:color w:val="auto"/>
          <w:sz w:val="22"/>
          <w:szCs w:val="22"/>
          <w:lang w:bidi="es-ES"/>
        </w:rPr>
        <w:t xml:space="preserve"> sin embargo, han quedado solicitudes sin tramitar a final de año,</w:t>
      </w:r>
      <w:r w:rsidR="001D03EE">
        <w:rPr>
          <w:rStyle w:val="Ttulo2Car"/>
          <w:b w:val="0"/>
          <w:color w:val="auto"/>
          <w:sz w:val="22"/>
          <w:szCs w:val="22"/>
          <w:lang w:bidi="es-ES"/>
        </w:rPr>
        <w:t xml:space="preserve">    </w:t>
      </w:r>
      <w:r>
        <w:rPr>
          <w:rStyle w:val="Ttulo2Car"/>
          <w:b w:val="0"/>
          <w:color w:val="auto"/>
          <w:sz w:val="22"/>
          <w:szCs w:val="22"/>
          <w:lang w:bidi="es-ES"/>
        </w:rPr>
        <w:t xml:space="preserve">situándose la tasa de pendencia en 3,57. </w:t>
      </w:r>
    </w:p>
    <w:p w:rsidR="00E43D0F" w:rsidRDefault="00E43D0F" w:rsidP="001D03EE">
      <w:pPr>
        <w:ind w:left="426"/>
        <w:jc w:val="both"/>
        <w:rPr>
          <w:rStyle w:val="Ttulo2Car"/>
          <w:b w:val="0"/>
          <w:color w:val="auto"/>
          <w:sz w:val="22"/>
          <w:szCs w:val="22"/>
          <w:lang w:bidi="es-ES"/>
        </w:rPr>
      </w:pPr>
      <w:r>
        <w:rPr>
          <w:rStyle w:val="Ttulo2Car"/>
          <w:b w:val="0"/>
          <w:color w:val="auto"/>
          <w:sz w:val="22"/>
          <w:szCs w:val="22"/>
          <w:lang w:bidi="es-ES"/>
        </w:rPr>
        <w:t>El tiempo medio estimado para la tramitación de las solicitudes pendientes es de 31,9 días naturales.</w:t>
      </w:r>
    </w:p>
    <w:p w:rsidR="00E43D0F" w:rsidRPr="00647481" w:rsidRDefault="00E43D0F" w:rsidP="001D03EE">
      <w:pPr>
        <w:ind w:left="426"/>
        <w:jc w:val="both"/>
        <w:rPr>
          <w:rStyle w:val="Ttulo2Car"/>
          <w:b w:val="0"/>
          <w:color w:val="auto"/>
          <w:sz w:val="22"/>
          <w:szCs w:val="22"/>
          <w:lang w:bidi="es-ES"/>
        </w:rPr>
      </w:pPr>
      <w:r>
        <w:rPr>
          <w:rStyle w:val="Ttulo2Car"/>
          <w:b w:val="0"/>
          <w:color w:val="auto"/>
          <w:sz w:val="22"/>
          <w:szCs w:val="22"/>
          <w:lang w:bidi="es-ES"/>
        </w:rPr>
        <w:t>La CNMC inadmite un 5,71% de las solicitudes, por las causas señaladas anteriormente.</w:t>
      </w:r>
      <w:r w:rsidR="001D03EE">
        <w:rPr>
          <w:rStyle w:val="Ttulo2Car"/>
          <w:b w:val="0"/>
          <w:color w:val="auto"/>
          <w:sz w:val="22"/>
          <w:szCs w:val="22"/>
          <w:lang w:bidi="es-ES"/>
        </w:rPr>
        <w:t xml:space="preserve">    </w:t>
      </w:r>
    </w:p>
    <w:p w:rsidR="005C44DA" w:rsidRDefault="005C44DA" w:rsidP="001D03EE">
      <w:pPr>
        <w:pStyle w:val="Epgrafe"/>
        <w:keepNext/>
        <w:ind w:left="426"/>
        <w:jc w:val="both"/>
        <w:rPr>
          <w:rStyle w:val="Ttulo2Car"/>
          <w:b/>
          <w:color w:val="00642D"/>
          <w:sz w:val="22"/>
          <w:szCs w:val="22"/>
          <w:lang w:bidi="es-ES"/>
        </w:rPr>
      </w:pPr>
    </w:p>
    <w:p w:rsidR="00E43D0F" w:rsidRPr="00647481" w:rsidRDefault="00E43D0F" w:rsidP="001D03EE">
      <w:pPr>
        <w:pStyle w:val="Epgrafe"/>
        <w:keepNext/>
        <w:ind w:left="426"/>
        <w:jc w:val="both"/>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E43D0F" w:rsidRPr="00706E04" w:rsidTr="00E43D0F">
        <w:tc>
          <w:tcPr>
            <w:tcW w:w="1299" w:type="dxa"/>
            <w:vMerge w:val="restart"/>
            <w:tcBorders>
              <w:top w:val="nil"/>
              <w:right w:val="nil"/>
            </w:tcBorders>
            <w:shd w:val="clear" w:color="auto" w:fill="4D7F52"/>
            <w:textDirection w:val="btLr"/>
          </w:tcPr>
          <w:p w:rsidR="00E43D0F" w:rsidRPr="005B3C15" w:rsidRDefault="00E43D0F" w:rsidP="001D03EE">
            <w:pPr>
              <w:ind w:left="113" w:right="113"/>
              <w:jc w:val="both"/>
              <w:rPr>
                <w:b/>
                <w:color w:val="FFFFFF" w:themeColor="background1"/>
              </w:rPr>
            </w:pPr>
            <w:r w:rsidRPr="005B3C15">
              <w:rPr>
                <w:b/>
                <w:color w:val="FFFFFF" w:themeColor="background1"/>
              </w:rPr>
              <w:t>Indicadores de tramitación</w:t>
            </w:r>
          </w:p>
        </w:tc>
        <w:tc>
          <w:tcPr>
            <w:tcW w:w="6322" w:type="dxa"/>
            <w:tcBorders>
              <w:left w:val="nil"/>
            </w:tcBorders>
          </w:tcPr>
          <w:p w:rsidR="00E43D0F" w:rsidRPr="00670B2B" w:rsidRDefault="00E43D0F" w:rsidP="001D03EE">
            <w:pPr>
              <w:jc w:val="both"/>
              <w:rPr>
                <w:sz w:val="20"/>
                <w:szCs w:val="20"/>
              </w:rPr>
            </w:pPr>
            <w:r w:rsidRPr="00670B2B">
              <w:rPr>
                <w:sz w:val="20"/>
                <w:szCs w:val="20"/>
              </w:rPr>
              <w:t>Solicitudes/persona UIT</w:t>
            </w:r>
          </w:p>
        </w:tc>
        <w:tc>
          <w:tcPr>
            <w:tcW w:w="1559" w:type="dxa"/>
          </w:tcPr>
          <w:p w:rsidR="00E43D0F" w:rsidRPr="00E43D0F" w:rsidRDefault="00E43D0F" w:rsidP="001D03EE">
            <w:pPr>
              <w:jc w:val="both"/>
              <w:rPr>
                <w:sz w:val="20"/>
                <w:szCs w:val="20"/>
              </w:rPr>
            </w:pPr>
            <w:r w:rsidRPr="00E43D0F">
              <w:rPr>
                <w:sz w:val="20"/>
                <w:szCs w:val="20"/>
              </w:rPr>
              <w:t>7,60</w:t>
            </w:r>
          </w:p>
        </w:tc>
      </w:tr>
      <w:tr w:rsidR="00E43D0F" w:rsidRPr="00706E04" w:rsidTr="00E43D0F">
        <w:tc>
          <w:tcPr>
            <w:tcW w:w="1299" w:type="dxa"/>
            <w:vMerge/>
            <w:tcBorders>
              <w:top w:val="nil"/>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Solicitudes tramitadas/persona UIT</w:t>
            </w:r>
          </w:p>
        </w:tc>
        <w:tc>
          <w:tcPr>
            <w:tcW w:w="1559" w:type="dxa"/>
          </w:tcPr>
          <w:p w:rsidR="00E43D0F" w:rsidRPr="00E43D0F" w:rsidRDefault="00E43D0F" w:rsidP="001D03EE">
            <w:pPr>
              <w:jc w:val="both"/>
              <w:rPr>
                <w:sz w:val="20"/>
                <w:szCs w:val="20"/>
              </w:rPr>
            </w:pPr>
            <w:r w:rsidRPr="00E43D0F">
              <w:rPr>
                <w:sz w:val="20"/>
                <w:szCs w:val="20"/>
              </w:rPr>
              <w:t>7,00</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Tasa de Tramitación (tramitadas/(pendientes a 31/12/2019 + recibidas 2020))</w:t>
            </w:r>
          </w:p>
        </w:tc>
        <w:tc>
          <w:tcPr>
            <w:tcW w:w="1559" w:type="dxa"/>
          </w:tcPr>
          <w:p w:rsidR="00E43D0F" w:rsidRPr="00E43D0F" w:rsidRDefault="00E43D0F" w:rsidP="001D03EE">
            <w:pPr>
              <w:jc w:val="both"/>
              <w:rPr>
                <w:sz w:val="20"/>
                <w:szCs w:val="20"/>
              </w:rPr>
            </w:pPr>
            <w:r w:rsidRPr="00E43D0F">
              <w:rPr>
                <w:sz w:val="20"/>
                <w:szCs w:val="20"/>
              </w:rPr>
              <w:t>92,11</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Tasa de pendencia (pendientes a 31/12/2020 / tramitadas)</w:t>
            </w:r>
          </w:p>
        </w:tc>
        <w:tc>
          <w:tcPr>
            <w:tcW w:w="1559" w:type="dxa"/>
          </w:tcPr>
          <w:p w:rsidR="00E43D0F" w:rsidRPr="00E43D0F" w:rsidRDefault="00E43D0F" w:rsidP="001D03EE">
            <w:pPr>
              <w:jc w:val="both"/>
              <w:rPr>
                <w:sz w:val="20"/>
                <w:szCs w:val="20"/>
              </w:rPr>
            </w:pPr>
            <w:r w:rsidRPr="00E43D0F">
              <w:rPr>
                <w:sz w:val="20"/>
                <w:szCs w:val="20"/>
              </w:rPr>
              <w:t>8,57</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Tasa de resolución en la tramitación (tramitadas/entradas en 2020)</w:t>
            </w:r>
          </w:p>
        </w:tc>
        <w:tc>
          <w:tcPr>
            <w:tcW w:w="1559" w:type="dxa"/>
          </w:tcPr>
          <w:p w:rsidR="00E43D0F" w:rsidRPr="00E43D0F" w:rsidRDefault="00E43D0F" w:rsidP="001D03EE">
            <w:pPr>
              <w:jc w:val="both"/>
              <w:rPr>
                <w:sz w:val="20"/>
                <w:szCs w:val="20"/>
              </w:rPr>
            </w:pPr>
            <w:r w:rsidRPr="00E43D0F">
              <w:rPr>
                <w:sz w:val="20"/>
                <w:szCs w:val="20"/>
              </w:rPr>
              <w:t>92,11</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Tasa de congestión ((pendientes a 31/12/2019 + entradas 2020) / tramitadas</w:t>
            </w:r>
          </w:p>
        </w:tc>
        <w:tc>
          <w:tcPr>
            <w:tcW w:w="1559" w:type="dxa"/>
          </w:tcPr>
          <w:p w:rsidR="00E43D0F" w:rsidRPr="00E43D0F" w:rsidRDefault="00E43D0F" w:rsidP="001D03EE">
            <w:pPr>
              <w:jc w:val="both"/>
              <w:rPr>
                <w:sz w:val="20"/>
                <w:szCs w:val="20"/>
              </w:rPr>
            </w:pPr>
            <w:r w:rsidRPr="00E43D0F">
              <w:rPr>
                <w:sz w:val="20"/>
                <w:szCs w:val="20"/>
              </w:rPr>
              <w:t>108,57</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 xml:space="preserve">Tiempo medio estimado para la tramitación de las solicitudes pendientes ((pendientes a 31/12/2020 / tramitadas)*365 </w:t>
            </w:r>
          </w:p>
        </w:tc>
        <w:tc>
          <w:tcPr>
            <w:tcW w:w="1559" w:type="dxa"/>
          </w:tcPr>
          <w:p w:rsidR="00E43D0F" w:rsidRPr="00E43D0F" w:rsidRDefault="00E43D0F" w:rsidP="001D03EE">
            <w:pPr>
              <w:jc w:val="both"/>
              <w:rPr>
                <w:sz w:val="20"/>
                <w:szCs w:val="20"/>
              </w:rPr>
            </w:pPr>
            <w:r w:rsidRPr="00E43D0F">
              <w:rPr>
                <w:sz w:val="20"/>
                <w:szCs w:val="20"/>
              </w:rPr>
              <w:t>31,29</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Tasa de admisión (admitidas/tramitadas)</w:t>
            </w:r>
          </w:p>
        </w:tc>
        <w:tc>
          <w:tcPr>
            <w:tcW w:w="1559" w:type="dxa"/>
          </w:tcPr>
          <w:p w:rsidR="00E43D0F" w:rsidRPr="00E43D0F" w:rsidRDefault="00E43D0F" w:rsidP="001D03EE">
            <w:pPr>
              <w:jc w:val="both"/>
              <w:rPr>
                <w:sz w:val="20"/>
                <w:szCs w:val="20"/>
              </w:rPr>
            </w:pPr>
            <w:r w:rsidRPr="00E43D0F">
              <w:rPr>
                <w:sz w:val="20"/>
                <w:szCs w:val="20"/>
              </w:rPr>
              <w:t>94,29</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Tasa de inadmisión (inadmitidas/ tramitadas)</w:t>
            </w:r>
          </w:p>
        </w:tc>
        <w:tc>
          <w:tcPr>
            <w:tcW w:w="1559" w:type="dxa"/>
          </w:tcPr>
          <w:p w:rsidR="00E43D0F" w:rsidRPr="00E43D0F" w:rsidRDefault="00E43D0F" w:rsidP="001D03EE">
            <w:pPr>
              <w:jc w:val="both"/>
              <w:rPr>
                <w:sz w:val="20"/>
                <w:szCs w:val="20"/>
              </w:rPr>
            </w:pPr>
            <w:r w:rsidRPr="00E43D0F">
              <w:rPr>
                <w:sz w:val="20"/>
                <w:szCs w:val="20"/>
              </w:rPr>
              <w:t>5,71</w:t>
            </w:r>
          </w:p>
        </w:tc>
      </w:tr>
      <w:tr w:rsidR="00E43D0F" w:rsidRPr="00706E04" w:rsidTr="00E43D0F">
        <w:tc>
          <w:tcPr>
            <w:tcW w:w="1299" w:type="dxa"/>
            <w:vMerge/>
            <w:tcBorders>
              <w:right w:val="nil"/>
            </w:tcBorders>
            <w:shd w:val="clear" w:color="auto" w:fill="4D7F52"/>
            <w:textDirection w:val="btLr"/>
          </w:tcPr>
          <w:p w:rsidR="00E43D0F" w:rsidRPr="005B3C15" w:rsidRDefault="00E43D0F" w:rsidP="001D03EE">
            <w:pPr>
              <w:ind w:left="113" w:right="113"/>
              <w:jc w:val="both"/>
              <w:rPr>
                <w:b/>
                <w:color w:val="FFFFFF" w:themeColor="background1"/>
              </w:rPr>
            </w:pPr>
          </w:p>
        </w:tc>
        <w:tc>
          <w:tcPr>
            <w:tcW w:w="6322" w:type="dxa"/>
            <w:tcBorders>
              <w:left w:val="nil"/>
            </w:tcBorders>
          </w:tcPr>
          <w:p w:rsidR="00E43D0F" w:rsidRPr="00670B2B" w:rsidRDefault="00E43D0F" w:rsidP="001D03EE">
            <w:pPr>
              <w:jc w:val="both"/>
              <w:rPr>
                <w:sz w:val="20"/>
                <w:szCs w:val="20"/>
              </w:rPr>
            </w:pPr>
            <w:r w:rsidRPr="00670B2B">
              <w:rPr>
                <w:sz w:val="20"/>
                <w:szCs w:val="20"/>
              </w:rPr>
              <w:t>Tasa de archivo (archivadas/tramitadas)</w:t>
            </w:r>
          </w:p>
        </w:tc>
        <w:tc>
          <w:tcPr>
            <w:tcW w:w="1559" w:type="dxa"/>
          </w:tcPr>
          <w:p w:rsidR="00E43D0F" w:rsidRPr="00E43D0F" w:rsidRDefault="00E43D0F" w:rsidP="001D03EE">
            <w:pPr>
              <w:jc w:val="both"/>
              <w:rPr>
                <w:sz w:val="20"/>
                <w:szCs w:val="20"/>
              </w:rPr>
            </w:pPr>
            <w:r w:rsidRPr="00E43D0F">
              <w:rPr>
                <w:sz w:val="20"/>
                <w:szCs w:val="20"/>
              </w:rPr>
              <w:t>,00</w:t>
            </w:r>
          </w:p>
        </w:tc>
      </w:tr>
    </w:tbl>
    <w:p w:rsidR="00B812AB" w:rsidRDefault="00B812AB" w:rsidP="001D03EE">
      <w:pPr>
        <w:jc w:val="both"/>
      </w:pPr>
    </w:p>
    <w:p w:rsidR="003645B4" w:rsidRDefault="003645B4" w:rsidP="001D03EE">
      <w:pPr>
        <w:pStyle w:val="Cuerpodelboletn"/>
        <w:spacing w:before="120" w:after="120" w:line="312" w:lineRule="auto"/>
        <w:ind w:left="360"/>
        <w:rPr>
          <w:rStyle w:val="Ttulo2Car"/>
          <w:color w:val="00642D"/>
          <w:lang w:bidi="es-ES"/>
        </w:rPr>
      </w:pPr>
    </w:p>
    <w:p w:rsidR="00055B15" w:rsidRDefault="00055B15" w:rsidP="001D03EE">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3645B4" w:rsidRDefault="003645B4" w:rsidP="001D03EE">
      <w:pPr>
        <w:ind w:left="426"/>
        <w:jc w:val="both"/>
        <w:rPr>
          <w:rStyle w:val="Ttulo2Car"/>
          <w:b w:val="0"/>
          <w:color w:val="auto"/>
          <w:sz w:val="22"/>
          <w:szCs w:val="22"/>
          <w:lang w:bidi="es-ES"/>
        </w:rPr>
      </w:pPr>
    </w:p>
    <w:p w:rsidR="00E43D0F" w:rsidRDefault="00E43D0F" w:rsidP="001D03EE">
      <w:pPr>
        <w:ind w:left="426"/>
        <w:jc w:val="both"/>
        <w:rPr>
          <w:rStyle w:val="Ttulo2Car"/>
          <w:b w:val="0"/>
          <w:color w:val="auto"/>
          <w:sz w:val="22"/>
          <w:szCs w:val="22"/>
          <w:lang w:bidi="es-ES"/>
        </w:rPr>
      </w:pPr>
      <w:r>
        <w:rPr>
          <w:rStyle w:val="Ttulo2Car"/>
          <w:b w:val="0"/>
          <w:color w:val="auto"/>
          <w:sz w:val="22"/>
          <w:szCs w:val="22"/>
          <w:lang w:bidi="es-ES"/>
        </w:rPr>
        <w:t>Respecto de las resoluciones emitidas en 2020, 19 concedieron la información, de las cuales 16 dieron acceso total y 3</w:t>
      </w:r>
      <w:r w:rsidR="00824A2C">
        <w:rPr>
          <w:rStyle w:val="Ttulo2Car"/>
          <w:b w:val="0"/>
          <w:color w:val="auto"/>
          <w:sz w:val="22"/>
          <w:szCs w:val="22"/>
          <w:lang w:bidi="es-ES"/>
        </w:rPr>
        <w:t>,</w:t>
      </w:r>
      <w:r>
        <w:rPr>
          <w:rStyle w:val="Ttulo2Car"/>
          <w:b w:val="0"/>
          <w:color w:val="auto"/>
          <w:sz w:val="22"/>
          <w:szCs w:val="22"/>
          <w:lang w:bidi="es-ES"/>
        </w:rPr>
        <w:t xml:space="preserve"> parcial. </w:t>
      </w:r>
      <w:r w:rsidR="0098217C">
        <w:rPr>
          <w:rStyle w:val="Ttulo2Car"/>
          <w:b w:val="0"/>
          <w:color w:val="auto"/>
          <w:sz w:val="22"/>
          <w:szCs w:val="22"/>
          <w:lang w:bidi="es-ES"/>
        </w:rPr>
        <w:t xml:space="preserve">Catorce solicitudes </w:t>
      </w:r>
      <w:r>
        <w:rPr>
          <w:rStyle w:val="Ttulo2Car"/>
          <w:b w:val="0"/>
          <w:color w:val="auto"/>
          <w:sz w:val="22"/>
          <w:szCs w:val="22"/>
          <w:lang w:bidi="es-ES"/>
        </w:rPr>
        <w:t>fueron denegadas</w:t>
      </w:r>
      <w:r w:rsidR="00824A2C">
        <w:rPr>
          <w:rStyle w:val="Ttulo2Car"/>
          <w:b w:val="0"/>
          <w:color w:val="auto"/>
          <w:sz w:val="22"/>
          <w:szCs w:val="22"/>
          <w:lang w:bidi="es-ES"/>
        </w:rPr>
        <w:t xml:space="preserve">, 8 de ellas por </w:t>
      </w:r>
      <w:r w:rsidR="0098217C">
        <w:rPr>
          <w:rStyle w:val="Ttulo2Car"/>
          <w:b w:val="0"/>
          <w:color w:val="auto"/>
          <w:sz w:val="22"/>
          <w:szCs w:val="22"/>
          <w:lang w:bidi="es-ES"/>
        </w:rPr>
        <w:t xml:space="preserve">aplicación de varios de los límites contemplados en el artículo 14.1. La distribución de las causas de denegación según límite aplicado se refleja en el siguiente gráfico. </w:t>
      </w:r>
    </w:p>
    <w:p w:rsidR="00E43D0F" w:rsidRPr="009079EA" w:rsidRDefault="0098217C" w:rsidP="001D03EE">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lastRenderedPageBreak/>
        <w:t>L</w:t>
      </w:r>
      <w:r w:rsidR="00E43D0F" w:rsidRPr="009079EA">
        <w:rPr>
          <w:rStyle w:val="Ttulo2Car"/>
          <w:b w:val="0"/>
          <w:color w:val="auto"/>
          <w:sz w:val="22"/>
          <w:szCs w:val="22"/>
          <w:lang w:bidi="es-ES"/>
        </w:rPr>
        <w:t xml:space="preserve">a </w:t>
      </w:r>
      <w:r>
        <w:rPr>
          <w:rStyle w:val="Ttulo2Car"/>
          <w:b w:val="0"/>
          <w:color w:val="auto"/>
          <w:sz w:val="22"/>
          <w:szCs w:val="22"/>
          <w:lang w:bidi="es-ES"/>
        </w:rPr>
        <w:t>CNMC</w:t>
      </w:r>
      <w:r w:rsidR="00E43D0F" w:rsidRPr="009079EA">
        <w:rPr>
          <w:rStyle w:val="Ttulo2Car"/>
          <w:b w:val="0"/>
          <w:color w:val="auto"/>
          <w:sz w:val="22"/>
          <w:szCs w:val="22"/>
          <w:lang w:bidi="es-ES"/>
        </w:rPr>
        <w:t xml:space="preserve"> </w:t>
      </w:r>
      <w:r>
        <w:rPr>
          <w:rStyle w:val="Ttulo2Car"/>
          <w:b w:val="0"/>
          <w:color w:val="auto"/>
          <w:sz w:val="22"/>
          <w:szCs w:val="22"/>
          <w:lang w:bidi="es-ES"/>
        </w:rPr>
        <w:t>publica las resoluciones relativas a</w:t>
      </w:r>
      <w:r w:rsidR="00E43D0F">
        <w:rPr>
          <w:rStyle w:val="Ttulo2Car"/>
          <w:b w:val="0"/>
          <w:color w:val="auto"/>
          <w:sz w:val="22"/>
          <w:szCs w:val="22"/>
          <w:lang w:bidi="es-ES"/>
        </w:rPr>
        <w:t xml:space="preserve"> solicitudes denegadas por aplicación de los límites del artículo 14</w:t>
      </w:r>
      <w:r w:rsidR="00824A2C">
        <w:rPr>
          <w:rStyle w:val="Ttulo2Car"/>
          <w:b w:val="0"/>
          <w:color w:val="auto"/>
          <w:sz w:val="22"/>
          <w:szCs w:val="22"/>
          <w:lang w:bidi="es-ES"/>
        </w:rPr>
        <w:t>.1</w:t>
      </w:r>
      <w:r w:rsidR="00E43D0F">
        <w:rPr>
          <w:rStyle w:val="Ttulo2Car"/>
          <w:b w:val="0"/>
          <w:color w:val="auto"/>
          <w:sz w:val="22"/>
          <w:szCs w:val="22"/>
          <w:lang w:bidi="es-ES"/>
        </w:rPr>
        <w:t xml:space="preserve"> de</w:t>
      </w:r>
      <w:r w:rsidR="003A5A5E">
        <w:rPr>
          <w:rStyle w:val="Ttulo2Car"/>
          <w:b w:val="0"/>
          <w:color w:val="auto"/>
          <w:sz w:val="22"/>
          <w:szCs w:val="22"/>
          <w:lang w:bidi="es-ES"/>
        </w:rPr>
        <w:t xml:space="preserve"> </w:t>
      </w:r>
      <w:r w:rsidR="00E43D0F">
        <w:rPr>
          <w:rStyle w:val="Ttulo2Car"/>
          <w:b w:val="0"/>
          <w:color w:val="auto"/>
          <w:sz w:val="22"/>
          <w:szCs w:val="22"/>
          <w:lang w:bidi="es-ES"/>
        </w:rPr>
        <w:t xml:space="preserve">la LTAIBG, </w:t>
      </w:r>
      <w:r>
        <w:rPr>
          <w:rStyle w:val="Ttulo2Car"/>
          <w:b w:val="0"/>
          <w:color w:val="auto"/>
          <w:sz w:val="22"/>
          <w:szCs w:val="22"/>
          <w:lang w:bidi="es-ES"/>
        </w:rPr>
        <w:t>dando cumplimiento a</w:t>
      </w:r>
      <w:r w:rsidR="00E43D0F">
        <w:rPr>
          <w:rStyle w:val="Ttulo2Car"/>
          <w:b w:val="0"/>
          <w:color w:val="auto"/>
          <w:sz w:val="22"/>
          <w:szCs w:val="22"/>
          <w:lang w:bidi="es-ES"/>
        </w:rPr>
        <w:t xml:space="preserve">l artículo 14.3 de la norma, que obliga a la publicación de estas resoluciones previa disociación de los datos de carácter personal. </w:t>
      </w:r>
    </w:p>
    <w:p w:rsidR="003A5A5E" w:rsidRDefault="003A5A5E" w:rsidP="001D03EE">
      <w:pPr>
        <w:pStyle w:val="Cuerpodelboletn"/>
        <w:spacing w:before="120" w:after="120" w:line="312" w:lineRule="auto"/>
        <w:ind w:left="360"/>
        <w:rPr>
          <w:rStyle w:val="Ttulo2Car"/>
          <w:color w:val="00642D"/>
          <w:lang w:bidi="es-ES"/>
        </w:rPr>
      </w:pPr>
    </w:p>
    <w:p w:rsidR="00F7263F" w:rsidRDefault="00F7263F" w:rsidP="001D03EE">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4</w:t>
      </w:r>
      <w:r>
        <w:rPr>
          <w:rStyle w:val="Ttulo2Car"/>
          <w:color w:val="00642D"/>
          <w:lang w:bidi="es-ES"/>
        </w:rPr>
        <w:t xml:space="preserve"> Indicadores de resolución en 2020 </w:t>
      </w:r>
    </w:p>
    <w:p w:rsidR="0093218C" w:rsidRDefault="0093218C" w:rsidP="001D03EE">
      <w:pPr>
        <w:ind w:left="426"/>
        <w:jc w:val="both"/>
      </w:pPr>
      <w:r>
        <w:t>La CNMC emite resoluciones expresas para la totalidad de las solicitudes admitidas. Ninguna solicitud ha sido desestimada por silencio administrativo.</w:t>
      </w:r>
    </w:p>
    <w:p w:rsidR="00F7263F" w:rsidRDefault="0093218C" w:rsidP="001D03EE">
      <w:pPr>
        <w:ind w:left="426"/>
        <w:jc w:val="both"/>
      </w:pPr>
      <w:r>
        <w:t xml:space="preserve">Un 57,58% de las </w:t>
      </w:r>
      <w:r w:rsidR="00824A2C">
        <w:t>r</w:t>
      </w:r>
      <w:r>
        <w:t>esoluciones concede el acceso a la información. De ellas, el 84,21% concede acceso total y el 15,79% acceso parcial. Un 42,42% deniega la información y ninguna solicitud ha finalizado por silencio administrativo</w:t>
      </w:r>
      <w:r w:rsidR="001D03EE">
        <w:t xml:space="preserve">    </w:t>
      </w:r>
      <w:r>
        <w:t>o por desistimiento y otras causas.</w:t>
      </w:r>
    </w:p>
    <w:p w:rsidR="0093218C" w:rsidRPr="009079EA" w:rsidRDefault="0093218C" w:rsidP="001D03EE">
      <w:pPr>
        <w:pStyle w:val="Epgrafe"/>
        <w:keepNext/>
        <w:ind w:left="426"/>
        <w:jc w:val="both"/>
        <w:rPr>
          <w:rStyle w:val="Ttulo2Car"/>
          <w:b/>
          <w:color w:val="00642D"/>
          <w:sz w:val="22"/>
          <w:szCs w:val="22"/>
          <w:lang w:bidi="es-ES"/>
        </w:rPr>
      </w:pPr>
      <w:r w:rsidRPr="009079EA">
        <w:rPr>
          <w:rStyle w:val="Ttulo2Car"/>
          <w:b/>
          <w:color w:val="00642D"/>
          <w:sz w:val="22"/>
          <w:szCs w:val="22"/>
          <w:lang w:bidi="es-ES"/>
        </w:rPr>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sidR="001D03EE">
        <w:rPr>
          <w:rStyle w:val="Ttulo2Car"/>
          <w:b/>
          <w:color w:val="00642D"/>
          <w:sz w:val="22"/>
          <w:szCs w:val="22"/>
          <w:lang w:bidi="es-ES"/>
        </w:rPr>
        <w:t xml:space="preserve">    </w:t>
      </w:r>
      <w:r w:rsidRPr="009079EA">
        <w:rPr>
          <w:rStyle w:val="Ttulo2Car"/>
          <w:b/>
          <w:color w:val="00642D"/>
          <w:sz w:val="22"/>
          <w:szCs w:val="22"/>
          <w:lang w:bidi="es-ES"/>
        </w:rPr>
        <w:t>2020</w:t>
      </w:r>
    </w:p>
    <w:tbl>
      <w:tblPr>
        <w:tblStyle w:val="Tablaconcuadrcula"/>
        <w:tblW w:w="0" w:type="auto"/>
        <w:tblInd w:w="534" w:type="dxa"/>
        <w:tblLook w:val="04A0" w:firstRow="1" w:lastRow="0" w:firstColumn="1" w:lastColumn="0" w:noHBand="0" w:noVBand="1"/>
      </w:tblPr>
      <w:tblGrid>
        <w:gridCol w:w="1299"/>
        <w:gridCol w:w="6322"/>
        <w:gridCol w:w="1559"/>
      </w:tblGrid>
      <w:tr w:rsidR="0093218C" w:rsidRPr="00706E04" w:rsidTr="003645B4">
        <w:tc>
          <w:tcPr>
            <w:tcW w:w="1299" w:type="dxa"/>
            <w:vMerge w:val="restart"/>
            <w:tcBorders>
              <w:top w:val="nil"/>
              <w:right w:val="nil"/>
            </w:tcBorders>
            <w:shd w:val="clear" w:color="auto" w:fill="4D7F52"/>
            <w:textDirection w:val="btLr"/>
          </w:tcPr>
          <w:p w:rsidR="0093218C" w:rsidRPr="005B3C15" w:rsidRDefault="0093218C" w:rsidP="001D03EE">
            <w:pPr>
              <w:ind w:left="113" w:right="113"/>
              <w:jc w:val="both"/>
              <w:rPr>
                <w:b/>
                <w:color w:val="FFFFFF" w:themeColor="background1"/>
              </w:rPr>
            </w:pPr>
            <w:r w:rsidRPr="005B3C15">
              <w:rPr>
                <w:b/>
                <w:color w:val="FFFFFF" w:themeColor="background1"/>
              </w:rPr>
              <w:t>Indicadores de resolución</w:t>
            </w:r>
          </w:p>
        </w:tc>
        <w:tc>
          <w:tcPr>
            <w:tcW w:w="6322" w:type="dxa"/>
            <w:tcBorders>
              <w:left w:val="nil"/>
            </w:tcBorders>
          </w:tcPr>
          <w:p w:rsidR="0093218C" w:rsidRPr="00670B2B" w:rsidRDefault="0093218C" w:rsidP="001D03EE">
            <w:pPr>
              <w:jc w:val="both"/>
              <w:rPr>
                <w:sz w:val="20"/>
                <w:szCs w:val="20"/>
              </w:rPr>
            </w:pPr>
            <w:r w:rsidRPr="00670B2B">
              <w:rPr>
                <w:sz w:val="20"/>
                <w:szCs w:val="20"/>
              </w:rPr>
              <w:t>Tasa de resolución (resoluciones expresas /solicitudes tramitadas)</w:t>
            </w:r>
          </w:p>
        </w:tc>
        <w:tc>
          <w:tcPr>
            <w:tcW w:w="1559" w:type="dxa"/>
          </w:tcPr>
          <w:p w:rsidR="0093218C" w:rsidRPr="0093218C" w:rsidRDefault="0093218C" w:rsidP="001D03EE">
            <w:pPr>
              <w:jc w:val="both"/>
              <w:rPr>
                <w:sz w:val="20"/>
                <w:szCs w:val="20"/>
              </w:rPr>
            </w:pPr>
            <w:r w:rsidRPr="0093218C">
              <w:rPr>
                <w:sz w:val="20"/>
                <w:szCs w:val="20"/>
              </w:rPr>
              <w:t>100,00</w:t>
            </w:r>
          </w:p>
        </w:tc>
      </w:tr>
      <w:tr w:rsidR="0093218C" w:rsidRPr="00706E04" w:rsidTr="003645B4">
        <w:tc>
          <w:tcPr>
            <w:tcW w:w="1299" w:type="dxa"/>
            <w:vMerge/>
            <w:tcBorders>
              <w:right w:val="nil"/>
            </w:tcBorders>
            <w:shd w:val="clear" w:color="auto" w:fill="4D7F52"/>
            <w:textDirection w:val="btLr"/>
          </w:tcPr>
          <w:p w:rsidR="0093218C" w:rsidRPr="005B3C15" w:rsidRDefault="0093218C" w:rsidP="001D03EE">
            <w:pPr>
              <w:ind w:left="113" w:right="113"/>
              <w:jc w:val="both"/>
              <w:rPr>
                <w:b/>
                <w:color w:val="FFFFFF" w:themeColor="background1"/>
              </w:rPr>
            </w:pPr>
          </w:p>
        </w:tc>
        <w:tc>
          <w:tcPr>
            <w:tcW w:w="6322" w:type="dxa"/>
            <w:tcBorders>
              <w:left w:val="nil"/>
            </w:tcBorders>
          </w:tcPr>
          <w:p w:rsidR="0093218C" w:rsidRPr="00670B2B" w:rsidRDefault="0093218C" w:rsidP="001D03EE">
            <w:pPr>
              <w:jc w:val="both"/>
              <w:rPr>
                <w:sz w:val="20"/>
                <w:szCs w:val="20"/>
              </w:rPr>
            </w:pPr>
            <w:r w:rsidRPr="00670B2B">
              <w:rPr>
                <w:sz w:val="20"/>
                <w:szCs w:val="20"/>
              </w:rPr>
              <w:t>Porcentaje de resoluciones que conceden el acceso</w:t>
            </w:r>
          </w:p>
        </w:tc>
        <w:tc>
          <w:tcPr>
            <w:tcW w:w="1559" w:type="dxa"/>
          </w:tcPr>
          <w:p w:rsidR="0093218C" w:rsidRPr="0093218C" w:rsidRDefault="0093218C" w:rsidP="001D03EE">
            <w:pPr>
              <w:jc w:val="both"/>
              <w:rPr>
                <w:sz w:val="20"/>
                <w:szCs w:val="20"/>
              </w:rPr>
            </w:pPr>
            <w:r w:rsidRPr="0093218C">
              <w:rPr>
                <w:sz w:val="20"/>
                <w:szCs w:val="20"/>
              </w:rPr>
              <w:t>57,58</w:t>
            </w:r>
          </w:p>
        </w:tc>
      </w:tr>
      <w:tr w:rsidR="0093218C" w:rsidRPr="00706E04" w:rsidTr="003645B4">
        <w:tc>
          <w:tcPr>
            <w:tcW w:w="1299" w:type="dxa"/>
            <w:vMerge/>
            <w:tcBorders>
              <w:right w:val="nil"/>
            </w:tcBorders>
            <w:shd w:val="clear" w:color="auto" w:fill="4D7F52"/>
            <w:textDirection w:val="btLr"/>
          </w:tcPr>
          <w:p w:rsidR="0093218C" w:rsidRPr="005B3C15" w:rsidRDefault="0093218C" w:rsidP="001D03EE">
            <w:pPr>
              <w:ind w:left="113" w:right="113"/>
              <w:jc w:val="both"/>
              <w:rPr>
                <w:b/>
                <w:color w:val="FFFFFF" w:themeColor="background1"/>
              </w:rPr>
            </w:pPr>
          </w:p>
        </w:tc>
        <w:tc>
          <w:tcPr>
            <w:tcW w:w="6322" w:type="dxa"/>
            <w:tcBorders>
              <w:left w:val="nil"/>
            </w:tcBorders>
          </w:tcPr>
          <w:p w:rsidR="0093218C" w:rsidRPr="00670B2B" w:rsidRDefault="0093218C" w:rsidP="001D03EE">
            <w:pPr>
              <w:jc w:val="both"/>
              <w:rPr>
                <w:sz w:val="20"/>
                <w:szCs w:val="20"/>
              </w:rPr>
            </w:pPr>
            <w:r w:rsidRPr="00670B2B">
              <w:rPr>
                <w:sz w:val="20"/>
                <w:szCs w:val="20"/>
              </w:rPr>
              <w:t>Porcentaje de resoluciones que conceden acceso parcial</w:t>
            </w:r>
          </w:p>
        </w:tc>
        <w:tc>
          <w:tcPr>
            <w:tcW w:w="1559" w:type="dxa"/>
          </w:tcPr>
          <w:p w:rsidR="0093218C" w:rsidRPr="0093218C" w:rsidRDefault="0093218C" w:rsidP="001D03EE">
            <w:pPr>
              <w:jc w:val="both"/>
              <w:rPr>
                <w:sz w:val="20"/>
                <w:szCs w:val="20"/>
              </w:rPr>
            </w:pPr>
            <w:r w:rsidRPr="0093218C">
              <w:rPr>
                <w:sz w:val="20"/>
                <w:szCs w:val="20"/>
              </w:rPr>
              <w:t>15,79</w:t>
            </w:r>
          </w:p>
        </w:tc>
      </w:tr>
      <w:tr w:rsidR="0093218C" w:rsidRPr="00706E04" w:rsidTr="003645B4">
        <w:tc>
          <w:tcPr>
            <w:tcW w:w="1299" w:type="dxa"/>
            <w:vMerge/>
            <w:tcBorders>
              <w:right w:val="nil"/>
            </w:tcBorders>
            <w:shd w:val="clear" w:color="auto" w:fill="4D7F52"/>
            <w:textDirection w:val="btLr"/>
          </w:tcPr>
          <w:p w:rsidR="0093218C" w:rsidRPr="005B3C15" w:rsidRDefault="0093218C" w:rsidP="001D03EE">
            <w:pPr>
              <w:ind w:left="113" w:right="113"/>
              <w:jc w:val="both"/>
              <w:rPr>
                <w:b/>
                <w:color w:val="FFFFFF" w:themeColor="background1"/>
              </w:rPr>
            </w:pPr>
          </w:p>
        </w:tc>
        <w:tc>
          <w:tcPr>
            <w:tcW w:w="6322" w:type="dxa"/>
            <w:tcBorders>
              <w:left w:val="nil"/>
            </w:tcBorders>
          </w:tcPr>
          <w:p w:rsidR="0093218C" w:rsidRPr="00670B2B" w:rsidRDefault="0093218C" w:rsidP="001D03EE">
            <w:pPr>
              <w:jc w:val="both"/>
              <w:rPr>
                <w:sz w:val="20"/>
                <w:szCs w:val="20"/>
              </w:rPr>
            </w:pPr>
            <w:r w:rsidRPr="00670B2B">
              <w:rPr>
                <w:sz w:val="20"/>
                <w:szCs w:val="20"/>
              </w:rPr>
              <w:t>Porcentaje de resoluciones que conceden acceso total</w:t>
            </w:r>
          </w:p>
        </w:tc>
        <w:tc>
          <w:tcPr>
            <w:tcW w:w="1559" w:type="dxa"/>
          </w:tcPr>
          <w:p w:rsidR="0093218C" w:rsidRPr="0093218C" w:rsidRDefault="0093218C" w:rsidP="001D03EE">
            <w:pPr>
              <w:jc w:val="both"/>
              <w:rPr>
                <w:sz w:val="20"/>
                <w:szCs w:val="20"/>
              </w:rPr>
            </w:pPr>
            <w:r w:rsidRPr="0093218C">
              <w:rPr>
                <w:sz w:val="20"/>
                <w:szCs w:val="20"/>
              </w:rPr>
              <w:t>84,21</w:t>
            </w:r>
          </w:p>
        </w:tc>
      </w:tr>
      <w:tr w:rsidR="0093218C" w:rsidRPr="00706E04" w:rsidTr="003645B4">
        <w:tc>
          <w:tcPr>
            <w:tcW w:w="1299" w:type="dxa"/>
            <w:vMerge/>
            <w:tcBorders>
              <w:right w:val="nil"/>
            </w:tcBorders>
            <w:shd w:val="clear" w:color="auto" w:fill="4D7F52"/>
            <w:textDirection w:val="btLr"/>
          </w:tcPr>
          <w:p w:rsidR="0093218C" w:rsidRPr="005B3C15" w:rsidRDefault="0093218C" w:rsidP="001D03EE">
            <w:pPr>
              <w:ind w:left="113" w:right="113"/>
              <w:jc w:val="both"/>
              <w:rPr>
                <w:b/>
                <w:color w:val="FFFFFF" w:themeColor="background1"/>
              </w:rPr>
            </w:pPr>
          </w:p>
        </w:tc>
        <w:tc>
          <w:tcPr>
            <w:tcW w:w="6322" w:type="dxa"/>
            <w:tcBorders>
              <w:left w:val="nil"/>
            </w:tcBorders>
          </w:tcPr>
          <w:p w:rsidR="0093218C" w:rsidRPr="00670B2B" w:rsidRDefault="0093218C" w:rsidP="001D03EE">
            <w:pPr>
              <w:jc w:val="both"/>
              <w:rPr>
                <w:sz w:val="20"/>
                <w:szCs w:val="20"/>
              </w:rPr>
            </w:pPr>
            <w:r w:rsidRPr="00670B2B">
              <w:rPr>
                <w:sz w:val="20"/>
                <w:szCs w:val="20"/>
              </w:rPr>
              <w:t>Porcentaje de resoluciones que deniegan el acceso</w:t>
            </w:r>
          </w:p>
        </w:tc>
        <w:tc>
          <w:tcPr>
            <w:tcW w:w="1559" w:type="dxa"/>
          </w:tcPr>
          <w:p w:rsidR="0093218C" w:rsidRPr="0093218C" w:rsidRDefault="0093218C" w:rsidP="001D03EE">
            <w:pPr>
              <w:jc w:val="both"/>
              <w:rPr>
                <w:sz w:val="20"/>
                <w:szCs w:val="20"/>
              </w:rPr>
            </w:pPr>
            <w:r w:rsidRPr="0093218C">
              <w:rPr>
                <w:sz w:val="20"/>
                <w:szCs w:val="20"/>
              </w:rPr>
              <w:t>42,42</w:t>
            </w:r>
          </w:p>
        </w:tc>
      </w:tr>
      <w:tr w:rsidR="0093218C" w:rsidRPr="00706E04" w:rsidTr="003645B4">
        <w:tc>
          <w:tcPr>
            <w:tcW w:w="1299" w:type="dxa"/>
            <w:vMerge/>
            <w:tcBorders>
              <w:right w:val="nil"/>
            </w:tcBorders>
            <w:shd w:val="clear" w:color="auto" w:fill="4D7F52"/>
            <w:textDirection w:val="btLr"/>
          </w:tcPr>
          <w:p w:rsidR="0093218C" w:rsidRPr="005B3C15" w:rsidRDefault="0093218C" w:rsidP="001D03EE">
            <w:pPr>
              <w:ind w:left="113" w:right="113"/>
              <w:jc w:val="both"/>
              <w:rPr>
                <w:b/>
                <w:color w:val="FFFFFF" w:themeColor="background1"/>
              </w:rPr>
            </w:pPr>
          </w:p>
        </w:tc>
        <w:tc>
          <w:tcPr>
            <w:tcW w:w="6322" w:type="dxa"/>
            <w:tcBorders>
              <w:left w:val="nil"/>
            </w:tcBorders>
          </w:tcPr>
          <w:p w:rsidR="0093218C" w:rsidRPr="00670B2B" w:rsidRDefault="0093218C" w:rsidP="001D03EE">
            <w:pPr>
              <w:jc w:val="both"/>
              <w:rPr>
                <w:sz w:val="20"/>
                <w:szCs w:val="20"/>
              </w:rPr>
            </w:pPr>
            <w:r w:rsidRPr="00670B2B">
              <w:rPr>
                <w:sz w:val="20"/>
                <w:szCs w:val="20"/>
              </w:rPr>
              <w:t>Porcentaje de resoluciones que finalizan por silencio administrativo</w:t>
            </w:r>
          </w:p>
        </w:tc>
        <w:tc>
          <w:tcPr>
            <w:tcW w:w="1559" w:type="dxa"/>
          </w:tcPr>
          <w:p w:rsidR="0093218C" w:rsidRPr="0093218C" w:rsidRDefault="0093218C" w:rsidP="001D03EE">
            <w:pPr>
              <w:jc w:val="both"/>
              <w:rPr>
                <w:sz w:val="20"/>
                <w:szCs w:val="20"/>
              </w:rPr>
            </w:pPr>
            <w:r w:rsidRPr="0093218C">
              <w:rPr>
                <w:sz w:val="20"/>
                <w:szCs w:val="20"/>
              </w:rPr>
              <w:t>,00</w:t>
            </w:r>
          </w:p>
        </w:tc>
      </w:tr>
      <w:tr w:rsidR="0093218C" w:rsidRPr="00706E04" w:rsidTr="003645B4">
        <w:tc>
          <w:tcPr>
            <w:tcW w:w="1299" w:type="dxa"/>
            <w:vMerge/>
            <w:tcBorders>
              <w:right w:val="nil"/>
            </w:tcBorders>
            <w:shd w:val="clear" w:color="auto" w:fill="4D7F52"/>
            <w:textDirection w:val="btLr"/>
          </w:tcPr>
          <w:p w:rsidR="0093218C" w:rsidRPr="005B3C15" w:rsidRDefault="0093218C" w:rsidP="001D03EE">
            <w:pPr>
              <w:ind w:left="113" w:right="113"/>
              <w:jc w:val="both"/>
              <w:rPr>
                <w:b/>
                <w:color w:val="FFFFFF" w:themeColor="background1"/>
              </w:rPr>
            </w:pPr>
          </w:p>
        </w:tc>
        <w:tc>
          <w:tcPr>
            <w:tcW w:w="6322" w:type="dxa"/>
            <w:tcBorders>
              <w:left w:val="nil"/>
            </w:tcBorders>
          </w:tcPr>
          <w:p w:rsidR="0093218C" w:rsidRPr="00670B2B" w:rsidRDefault="0093218C" w:rsidP="001D03EE">
            <w:pPr>
              <w:jc w:val="both"/>
              <w:rPr>
                <w:sz w:val="20"/>
                <w:szCs w:val="20"/>
              </w:rPr>
            </w:pPr>
            <w:r w:rsidRPr="00670B2B">
              <w:rPr>
                <w:sz w:val="20"/>
                <w:szCs w:val="20"/>
              </w:rPr>
              <w:t>Porcentaje de solicitudes finalizadas por desistimiento y otras causas</w:t>
            </w:r>
          </w:p>
        </w:tc>
        <w:tc>
          <w:tcPr>
            <w:tcW w:w="1559" w:type="dxa"/>
          </w:tcPr>
          <w:p w:rsidR="0093218C" w:rsidRPr="0093218C" w:rsidRDefault="0093218C" w:rsidP="001D03EE">
            <w:pPr>
              <w:jc w:val="both"/>
              <w:rPr>
                <w:sz w:val="20"/>
                <w:szCs w:val="20"/>
              </w:rPr>
            </w:pPr>
            <w:r w:rsidRPr="0093218C">
              <w:rPr>
                <w:sz w:val="20"/>
                <w:szCs w:val="20"/>
              </w:rPr>
              <w:t>,00</w:t>
            </w:r>
          </w:p>
        </w:tc>
      </w:tr>
    </w:tbl>
    <w:p w:rsidR="00055B15" w:rsidRDefault="00055B15" w:rsidP="001D03EE">
      <w:pPr>
        <w:jc w:val="both"/>
      </w:pPr>
    </w:p>
    <w:p w:rsidR="005C44DA" w:rsidRPr="003A5A5E" w:rsidRDefault="005C44DA" w:rsidP="001D03EE">
      <w:pPr>
        <w:pStyle w:val="Epgrafe"/>
        <w:keepNext/>
        <w:jc w:val="both"/>
        <w:rPr>
          <w:rStyle w:val="Ttulo2Car"/>
          <w:b/>
          <w:color w:val="00642D"/>
          <w:sz w:val="22"/>
          <w:szCs w:val="22"/>
          <w:lang w:bidi="es-ES"/>
        </w:rPr>
      </w:pPr>
      <w:r w:rsidRPr="003A5A5E">
        <w:rPr>
          <w:rStyle w:val="Ttulo2Car"/>
          <w:b/>
          <w:color w:val="00642D"/>
          <w:sz w:val="22"/>
          <w:szCs w:val="22"/>
          <w:lang w:bidi="es-ES"/>
        </w:rPr>
        <w:t xml:space="preserve">Gráfico </w:t>
      </w:r>
      <w:r w:rsidRPr="003A5A5E">
        <w:rPr>
          <w:rStyle w:val="Ttulo2Car"/>
          <w:b/>
          <w:color w:val="00642D"/>
          <w:sz w:val="22"/>
          <w:szCs w:val="22"/>
          <w:lang w:bidi="es-ES"/>
        </w:rPr>
        <w:fldChar w:fldCharType="begin"/>
      </w:r>
      <w:r w:rsidRPr="003A5A5E">
        <w:rPr>
          <w:rStyle w:val="Ttulo2Car"/>
          <w:b/>
          <w:color w:val="00642D"/>
          <w:sz w:val="22"/>
          <w:szCs w:val="22"/>
          <w:lang w:bidi="es-ES"/>
        </w:rPr>
        <w:instrText xml:space="preserve"> SEQ Gráfico \* ARABIC </w:instrText>
      </w:r>
      <w:r w:rsidRPr="003A5A5E">
        <w:rPr>
          <w:rStyle w:val="Ttulo2Car"/>
          <w:b/>
          <w:color w:val="00642D"/>
          <w:sz w:val="22"/>
          <w:szCs w:val="22"/>
          <w:lang w:bidi="es-ES"/>
        </w:rPr>
        <w:fldChar w:fldCharType="separate"/>
      </w:r>
      <w:r w:rsidRPr="003A5A5E">
        <w:rPr>
          <w:rStyle w:val="Ttulo2Car"/>
          <w:b/>
          <w:color w:val="00642D"/>
          <w:sz w:val="22"/>
          <w:szCs w:val="22"/>
          <w:lang w:bidi="es-ES"/>
        </w:rPr>
        <w:t>1</w:t>
      </w:r>
      <w:r w:rsidRPr="003A5A5E">
        <w:rPr>
          <w:rStyle w:val="Ttulo2Car"/>
          <w:b/>
          <w:color w:val="00642D"/>
          <w:sz w:val="22"/>
          <w:szCs w:val="22"/>
          <w:lang w:bidi="es-ES"/>
        </w:rPr>
        <w:fldChar w:fldCharType="end"/>
      </w:r>
      <w:r w:rsidRPr="003A5A5E">
        <w:rPr>
          <w:rStyle w:val="Ttulo2Car"/>
          <w:b/>
          <w:color w:val="00642D"/>
          <w:sz w:val="22"/>
          <w:szCs w:val="22"/>
          <w:lang w:bidi="es-ES"/>
        </w:rPr>
        <w:t>: Distribución de las solicitudes denegadas según límite aplicado</w:t>
      </w:r>
    </w:p>
    <w:p w:rsidR="005C44DA" w:rsidRDefault="005C44DA" w:rsidP="001D03EE">
      <w:pPr>
        <w:ind w:left="426"/>
        <w:jc w:val="both"/>
        <w:rPr>
          <w:rStyle w:val="Ttulo2Car"/>
          <w:b w:val="0"/>
          <w:color w:val="auto"/>
          <w:sz w:val="22"/>
          <w:szCs w:val="22"/>
          <w:lang w:bidi="es-ES"/>
        </w:rPr>
      </w:pPr>
      <w:r>
        <w:rPr>
          <w:noProof/>
        </w:rPr>
        <w:drawing>
          <wp:inline distT="0" distB="0" distL="0" distR="0" wp14:anchorId="76B9DAF6" wp14:editId="5312035B">
            <wp:extent cx="5591175" cy="274320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44DA" w:rsidRPr="003A5A5E" w:rsidRDefault="005C44DA" w:rsidP="001D03EE">
      <w:pPr>
        <w:pStyle w:val="Cuerpodelboletn"/>
        <w:spacing w:before="120" w:after="120" w:line="276" w:lineRule="auto"/>
        <w:ind w:left="426"/>
        <w:rPr>
          <w:rStyle w:val="Ttulo2Car"/>
          <w:b w:val="0"/>
          <w:color w:val="auto"/>
          <w:sz w:val="16"/>
          <w:szCs w:val="16"/>
          <w:lang w:bidi="es-ES"/>
        </w:rPr>
      </w:pPr>
      <w:r w:rsidRPr="003A5A5E">
        <w:rPr>
          <w:rStyle w:val="Ttulo2Car"/>
          <w:b w:val="0"/>
          <w:color w:val="auto"/>
          <w:sz w:val="16"/>
          <w:szCs w:val="16"/>
          <w:lang w:bidi="es-ES"/>
        </w:rPr>
        <w:t>Nota: varias solicitudes han sido denegadas aplicando más de un límite.</w:t>
      </w:r>
    </w:p>
    <w:p w:rsidR="005C44DA" w:rsidRDefault="005C44DA" w:rsidP="001D03EE">
      <w:pPr>
        <w:jc w:val="both"/>
      </w:pPr>
    </w:p>
    <w:p w:rsidR="005C44DA" w:rsidRDefault="005C44DA" w:rsidP="001D03EE">
      <w:pPr>
        <w:jc w:val="both"/>
      </w:pPr>
    </w:p>
    <w:p w:rsidR="00B812AB" w:rsidRPr="00E34195" w:rsidRDefault="00ED0253" w:rsidP="001D03EE">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1D03EE">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384F4D" w:rsidRDefault="00384F4D" w:rsidP="001D03EE">
      <w:pPr>
        <w:ind w:left="426"/>
        <w:jc w:val="both"/>
        <w:rPr>
          <w:rStyle w:val="Ttulo2Car"/>
          <w:b w:val="0"/>
          <w:color w:val="auto"/>
          <w:sz w:val="22"/>
          <w:szCs w:val="22"/>
          <w:lang w:bidi="es-ES"/>
        </w:rPr>
      </w:pPr>
    </w:p>
    <w:p w:rsidR="00384F4D" w:rsidRDefault="00384F4D" w:rsidP="001D03EE">
      <w:pPr>
        <w:ind w:left="426"/>
        <w:jc w:val="both"/>
        <w:rPr>
          <w:rStyle w:val="Ttulo2Car"/>
          <w:b w:val="0"/>
          <w:color w:val="auto"/>
          <w:sz w:val="22"/>
          <w:szCs w:val="22"/>
          <w:lang w:bidi="es-ES"/>
        </w:rPr>
      </w:pPr>
      <w:r>
        <w:rPr>
          <w:rStyle w:val="Ttulo2Car"/>
          <w:b w:val="0"/>
          <w:color w:val="auto"/>
          <w:sz w:val="22"/>
          <w:szCs w:val="22"/>
          <w:lang w:bidi="es-ES"/>
        </w:rPr>
        <w:t xml:space="preserve">La CNMC dispone </w:t>
      </w:r>
      <w:r w:rsidRPr="00384F4D">
        <w:rPr>
          <w:rStyle w:val="Ttulo2Car"/>
          <w:b w:val="0"/>
          <w:color w:val="auto"/>
          <w:sz w:val="22"/>
          <w:szCs w:val="22"/>
          <w:lang w:bidi="es-ES"/>
        </w:rPr>
        <w:t xml:space="preserve">en su sede electrónica </w:t>
      </w:r>
      <w:r>
        <w:rPr>
          <w:rStyle w:val="Ttulo2Car"/>
          <w:b w:val="0"/>
          <w:color w:val="auto"/>
          <w:sz w:val="22"/>
          <w:szCs w:val="22"/>
          <w:lang w:bidi="es-ES"/>
        </w:rPr>
        <w:t>de</w:t>
      </w:r>
      <w:r w:rsidRPr="00A26009">
        <w:rPr>
          <w:rStyle w:val="Ttulo2Car"/>
          <w:b w:val="0"/>
          <w:color w:val="auto"/>
          <w:sz w:val="22"/>
          <w:szCs w:val="22"/>
          <w:lang w:bidi="es-ES"/>
        </w:rPr>
        <w:t xml:space="preserve"> </w:t>
      </w:r>
      <w:r>
        <w:rPr>
          <w:rStyle w:val="Ttulo2Car"/>
          <w:b w:val="0"/>
          <w:color w:val="auto"/>
          <w:sz w:val="22"/>
          <w:szCs w:val="22"/>
          <w:lang w:bidi="es-ES"/>
        </w:rPr>
        <w:t xml:space="preserve">un </w:t>
      </w:r>
      <w:r w:rsidRPr="00A26009">
        <w:rPr>
          <w:rStyle w:val="Ttulo2Car"/>
          <w:b w:val="0"/>
          <w:color w:val="auto"/>
          <w:sz w:val="22"/>
          <w:szCs w:val="22"/>
          <w:lang w:bidi="es-ES"/>
        </w:rPr>
        <w:t xml:space="preserve">espacio específico </w:t>
      </w:r>
      <w:r>
        <w:rPr>
          <w:rStyle w:val="Ttulo2Car"/>
          <w:b w:val="0"/>
          <w:color w:val="auto"/>
          <w:sz w:val="22"/>
          <w:szCs w:val="22"/>
          <w:lang w:bidi="es-ES"/>
        </w:rPr>
        <w:t>al que se redirige desde su</w:t>
      </w:r>
      <w:r w:rsidRPr="00A26009">
        <w:rPr>
          <w:rStyle w:val="Ttulo2Car"/>
          <w:b w:val="0"/>
          <w:color w:val="auto"/>
          <w:sz w:val="22"/>
          <w:szCs w:val="22"/>
          <w:lang w:bidi="es-ES"/>
        </w:rPr>
        <w:t xml:space="preserve"> Portal de Transparencia</w:t>
      </w:r>
      <w:r>
        <w:rPr>
          <w:rStyle w:val="Ttulo2Car"/>
          <w:b w:val="0"/>
          <w:color w:val="auto"/>
          <w:sz w:val="22"/>
          <w:szCs w:val="22"/>
          <w:lang w:bidi="es-ES"/>
        </w:rPr>
        <w:t>,</w:t>
      </w:r>
      <w:r w:rsidRPr="00A26009">
        <w:rPr>
          <w:rStyle w:val="Ttulo2Car"/>
          <w:b w:val="0"/>
          <w:color w:val="auto"/>
          <w:sz w:val="22"/>
          <w:szCs w:val="22"/>
          <w:lang w:bidi="es-ES"/>
        </w:rPr>
        <w:t xml:space="preserve"> </w:t>
      </w:r>
      <w:r>
        <w:rPr>
          <w:rStyle w:val="Ttulo2Car"/>
          <w:b w:val="0"/>
          <w:color w:val="auto"/>
          <w:sz w:val="22"/>
          <w:szCs w:val="22"/>
          <w:lang w:bidi="es-ES"/>
        </w:rPr>
        <w:t xml:space="preserve">dedicado al ejercicio del derecho de acceso a la información pública. </w:t>
      </w:r>
    </w:p>
    <w:p w:rsidR="00384F4D" w:rsidRDefault="00384F4D" w:rsidP="001D03EE">
      <w:pPr>
        <w:ind w:left="426"/>
        <w:jc w:val="both"/>
        <w:rPr>
          <w:rStyle w:val="Ttulo2Car"/>
          <w:b w:val="0"/>
          <w:color w:val="auto"/>
          <w:sz w:val="22"/>
          <w:szCs w:val="22"/>
          <w:lang w:bidi="es-ES"/>
        </w:rPr>
      </w:pPr>
      <w:r>
        <w:rPr>
          <w:rStyle w:val="Ttulo2Car"/>
          <w:b w:val="0"/>
          <w:color w:val="auto"/>
          <w:sz w:val="22"/>
          <w:szCs w:val="22"/>
          <w:lang w:bidi="es-ES"/>
        </w:rPr>
        <w:t>En el Portal de Transparencia se hace referencia expresa a</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que tiene la ciudadanía </w:t>
      </w:r>
      <w:r w:rsidRPr="00A26009">
        <w:rPr>
          <w:rStyle w:val="Ttulo2Car"/>
          <w:b w:val="0"/>
          <w:color w:val="auto"/>
          <w:sz w:val="22"/>
          <w:szCs w:val="22"/>
          <w:lang w:bidi="es-ES"/>
        </w:rPr>
        <w:t>de solicitar información pública de acuerdo con la Ley de Transparencia</w:t>
      </w:r>
      <w:r>
        <w:rPr>
          <w:rStyle w:val="Ttulo2Car"/>
          <w:b w:val="0"/>
          <w:color w:val="auto"/>
          <w:sz w:val="22"/>
          <w:szCs w:val="22"/>
          <w:lang w:bidi="es-ES"/>
        </w:rPr>
        <w:t>.</w:t>
      </w:r>
    </w:p>
    <w:p w:rsidR="00384F4D" w:rsidRDefault="008C17BA" w:rsidP="001D03EE">
      <w:pPr>
        <w:ind w:left="426"/>
        <w:jc w:val="both"/>
        <w:rPr>
          <w:rStyle w:val="Ttulo2Car"/>
          <w:b w:val="0"/>
          <w:color w:val="auto"/>
          <w:sz w:val="22"/>
          <w:szCs w:val="22"/>
          <w:lang w:bidi="es-ES"/>
        </w:rPr>
      </w:pPr>
      <w:r>
        <w:rPr>
          <w:rStyle w:val="Ttulo2Car"/>
          <w:b w:val="0"/>
          <w:color w:val="auto"/>
          <w:sz w:val="22"/>
          <w:szCs w:val="22"/>
          <w:lang w:bidi="es-ES"/>
        </w:rPr>
        <w:t>Para la</w:t>
      </w:r>
      <w:r w:rsidR="00384F4D">
        <w:rPr>
          <w:rStyle w:val="Ttulo2Car"/>
          <w:b w:val="0"/>
          <w:color w:val="auto"/>
          <w:sz w:val="22"/>
          <w:szCs w:val="22"/>
          <w:lang w:bidi="es-ES"/>
        </w:rPr>
        <w:t xml:space="preserve"> presentación de las solicitudes </w:t>
      </w:r>
      <w:r>
        <w:rPr>
          <w:rStyle w:val="Ttulo2Car"/>
          <w:b w:val="0"/>
          <w:color w:val="auto"/>
          <w:sz w:val="22"/>
          <w:szCs w:val="22"/>
          <w:lang w:bidi="es-ES"/>
        </w:rPr>
        <w:t xml:space="preserve">solo se indica expresamente </w:t>
      </w:r>
      <w:r w:rsidR="00824A2C">
        <w:rPr>
          <w:rStyle w:val="Ttulo2Car"/>
          <w:b w:val="0"/>
          <w:color w:val="auto"/>
          <w:sz w:val="22"/>
          <w:szCs w:val="22"/>
          <w:lang w:bidi="es-ES"/>
        </w:rPr>
        <w:t xml:space="preserve">la posibilidad de </w:t>
      </w:r>
      <w:r w:rsidR="00384F4D">
        <w:rPr>
          <w:rStyle w:val="Ttulo2Car"/>
          <w:b w:val="0"/>
          <w:color w:val="auto"/>
          <w:sz w:val="22"/>
          <w:szCs w:val="22"/>
          <w:lang w:bidi="es-ES"/>
        </w:rPr>
        <w:t>la sede electrónica.</w:t>
      </w:r>
      <w:r>
        <w:rPr>
          <w:rStyle w:val="Ttulo2Car"/>
          <w:b w:val="0"/>
          <w:color w:val="auto"/>
          <w:sz w:val="22"/>
          <w:szCs w:val="22"/>
          <w:lang w:bidi="es-ES"/>
        </w:rPr>
        <w:t xml:space="preserve"> No se ha localizado en el Portal de Transparencia información sobre los medios de presentación de solicitudes alternativos a la sede y contemplados en la Ley 39/2015.</w:t>
      </w:r>
    </w:p>
    <w:p w:rsidR="00384F4D" w:rsidRDefault="008C17BA" w:rsidP="001D03EE">
      <w:pPr>
        <w:ind w:left="426"/>
        <w:jc w:val="both"/>
        <w:rPr>
          <w:rStyle w:val="Ttulo2Car"/>
          <w:b w:val="0"/>
          <w:color w:val="auto"/>
          <w:sz w:val="22"/>
          <w:szCs w:val="22"/>
          <w:lang w:bidi="es-ES"/>
        </w:rPr>
      </w:pPr>
      <w:r>
        <w:rPr>
          <w:rStyle w:val="Ttulo2Car"/>
          <w:b w:val="0"/>
          <w:color w:val="auto"/>
          <w:sz w:val="22"/>
          <w:szCs w:val="22"/>
          <w:lang w:bidi="es-ES"/>
        </w:rPr>
        <w:t xml:space="preserve">Al presentar </w:t>
      </w:r>
      <w:r w:rsidR="00384F4D">
        <w:rPr>
          <w:rStyle w:val="Ttulo2Car"/>
          <w:b w:val="0"/>
          <w:color w:val="auto"/>
          <w:sz w:val="22"/>
          <w:szCs w:val="22"/>
          <w:lang w:bidi="es-ES"/>
        </w:rPr>
        <w:t xml:space="preserve">la solicitud a través de la sede electrónica </w:t>
      </w:r>
      <w:r w:rsidR="001E2C41">
        <w:rPr>
          <w:rStyle w:val="Ttulo2Car"/>
          <w:b w:val="0"/>
          <w:color w:val="auto"/>
          <w:sz w:val="22"/>
          <w:szCs w:val="22"/>
          <w:lang w:bidi="es-ES"/>
        </w:rPr>
        <w:t>s</w:t>
      </w:r>
      <w:r>
        <w:rPr>
          <w:rStyle w:val="Ttulo2Car"/>
          <w:b w:val="0"/>
          <w:color w:val="auto"/>
          <w:sz w:val="22"/>
          <w:szCs w:val="22"/>
          <w:lang w:bidi="es-ES"/>
        </w:rPr>
        <w:t xml:space="preserve">e requiere certificado digital y además </w:t>
      </w:r>
      <w:r w:rsidR="001E2C41">
        <w:rPr>
          <w:rStyle w:val="Ttulo2Car"/>
          <w:b w:val="0"/>
          <w:color w:val="auto"/>
          <w:sz w:val="22"/>
          <w:szCs w:val="22"/>
          <w:lang w:bidi="es-ES"/>
        </w:rPr>
        <w:t>correo electrónico, teléfono, objeto de la solicitud y la identificación del órgano al que se dirige ésta.</w:t>
      </w:r>
      <w:r w:rsidR="00384F4D">
        <w:rPr>
          <w:rStyle w:val="Ttulo2Car"/>
          <w:b w:val="0"/>
          <w:color w:val="auto"/>
          <w:sz w:val="22"/>
          <w:szCs w:val="22"/>
          <w:lang w:bidi="es-ES"/>
        </w:rPr>
        <w:t xml:space="preserve"> </w:t>
      </w:r>
    </w:p>
    <w:p w:rsidR="00324C58" w:rsidRDefault="00324C58" w:rsidP="001D03EE">
      <w:pPr>
        <w:ind w:left="426"/>
        <w:jc w:val="both"/>
        <w:rPr>
          <w:rStyle w:val="Ttulo2Car"/>
          <w:b w:val="0"/>
          <w:color w:val="auto"/>
          <w:sz w:val="22"/>
          <w:szCs w:val="22"/>
          <w:lang w:bidi="es-ES"/>
        </w:rPr>
      </w:pPr>
      <w:r>
        <w:rPr>
          <w:rStyle w:val="Ttulo2Car"/>
          <w:b w:val="0"/>
          <w:color w:val="auto"/>
          <w:sz w:val="22"/>
          <w:szCs w:val="22"/>
          <w:lang w:bidi="es-ES"/>
        </w:rPr>
        <w:t xml:space="preserve">También se exige la descarga del formulario, su cumplimentación y posteriormente que se adjunte en formato comprimido </w:t>
      </w:r>
      <w:r w:rsidR="005C44DA">
        <w:rPr>
          <w:rStyle w:val="Ttulo2Car"/>
          <w:b w:val="0"/>
          <w:color w:val="auto"/>
          <w:sz w:val="22"/>
          <w:szCs w:val="22"/>
          <w:lang w:bidi="es-ES"/>
        </w:rPr>
        <w:t>(zip</w:t>
      </w:r>
      <w:r>
        <w:rPr>
          <w:rStyle w:val="Ttulo2Car"/>
          <w:b w:val="0"/>
          <w:color w:val="auto"/>
          <w:sz w:val="22"/>
          <w:szCs w:val="22"/>
          <w:lang w:bidi="es-ES"/>
        </w:rPr>
        <w:t xml:space="preserve">) junto con la demás documentación que el interesado quiera aportar. </w:t>
      </w:r>
      <w:r w:rsidR="00E12111">
        <w:rPr>
          <w:rStyle w:val="Ttulo2Car"/>
          <w:b w:val="0"/>
          <w:color w:val="auto"/>
          <w:sz w:val="22"/>
          <w:szCs w:val="22"/>
          <w:lang w:bidi="es-ES"/>
        </w:rPr>
        <w:t>En la sede electrónica se facilita un enlace a esta herramienta de compresión que se ofrece gratuitamente.</w:t>
      </w:r>
    </w:p>
    <w:p w:rsidR="00384F4D" w:rsidRDefault="001E2C41" w:rsidP="001D03EE">
      <w:pPr>
        <w:ind w:left="426"/>
        <w:jc w:val="both"/>
        <w:rPr>
          <w:rStyle w:val="Ttulo2Car"/>
          <w:b w:val="0"/>
          <w:color w:val="auto"/>
          <w:sz w:val="22"/>
          <w:szCs w:val="22"/>
          <w:lang w:bidi="es-ES"/>
        </w:rPr>
      </w:pPr>
      <w:r>
        <w:rPr>
          <w:rStyle w:val="Ttulo2Car"/>
          <w:b w:val="0"/>
          <w:color w:val="auto"/>
          <w:sz w:val="22"/>
          <w:szCs w:val="22"/>
          <w:lang w:bidi="es-ES"/>
        </w:rPr>
        <w:t>Además de dos formularios para la presentación de solicitudes, en el Portal se e</w:t>
      </w:r>
      <w:r w:rsidRPr="001E2C41">
        <w:rPr>
          <w:rStyle w:val="Ttulo2Car"/>
          <w:b w:val="0"/>
          <w:color w:val="auto"/>
          <w:sz w:val="22"/>
          <w:szCs w:val="22"/>
          <w:lang w:bidi="es-ES"/>
        </w:rPr>
        <w:t>xplica que la solicitud puede ser denegada por aplicación de los límites del artículo 14 LTAIBG y</w:t>
      </w:r>
      <w:r>
        <w:rPr>
          <w:rStyle w:val="Ttulo2Car"/>
          <w:b w:val="0"/>
          <w:color w:val="auto"/>
          <w:sz w:val="22"/>
          <w:szCs w:val="22"/>
          <w:lang w:bidi="es-ES"/>
        </w:rPr>
        <w:t xml:space="preserve"> se publican las cinco últimas </w:t>
      </w:r>
      <w:r w:rsidRPr="001E2C41">
        <w:rPr>
          <w:rStyle w:val="Ttulo2Car"/>
          <w:b w:val="0"/>
          <w:color w:val="auto"/>
          <w:sz w:val="22"/>
          <w:szCs w:val="22"/>
          <w:lang w:bidi="es-ES"/>
        </w:rPr>
        <w:t>resoluciones tramitadas a las que se ha aplicado alguno de los límites, además de proporcionar un enlace para acceder todas las resoluciones de solicitud de acceso de la CNMC, en formato pdf</w:t>
      </w:r>
      <w:r w:rsidR="00384F4D">
        <w:rPr>
          <w:rStyle w:val="Ttulo2Car"/>
          <w:b w:val="0"/>
          <w:color w:val="auto"/>
          <w:sz w:val="22"/>
          <w:szCs w:val="22"/>
          <w:lang w:bidi="es-ES"/>
        </w:rPr>
        <w:t>.</w:t>
      </w:r>
    </w:p>
    <w:p w:rsidR="008620ED" w:rsidRDefault="008620ED" w:rsidP="001D03EE">
      <w:pPr>
        <w:ind w:left="426"/>
        <w:jc w:val="both"/>
      </w:pPr>
    </w:p>
    <w:p w:rsidR="00B40246" w:rsidRPr="00E34195" w:rsidRDefault="00ED0253" w:rsidP="001D03EE">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8620ED" w:rsidRDefault="00E3088D" w:rsidP="001D03EE">
      <w:pPr>
        <w:pStyle w:val="Cuerpodelboletn"/>
        <w:spacing w:before="120" w:after="120" w:line="312" w:lineRule="auto"/>
        <w:ind w:left="426"/>
        <w:rPr>
          <w:color w:val="00642D"/>
          <w:lang w:bidi="es-ES"/>
        </w:rPr>
      </w:pPr>
      <w:r w:rsidRPr="00C33A23">
        <w:rPr>
          <w:color w:val="00642D"/>
          <w:lang w:bidi="es-ES"/>
        </w:rPr>
        <w:t xml:space="preserve"> </w:t>
      </w:r>
    </w:p>
    <w:p w:rsidR="001E2C41" w:rsidRPr="001E2C41" w:rsidRDefault="001E2C41" w:rsidP="001D03EE">
      <w:pPr>
        <w:pStyle w:val="Cuerpodelboletn"/>
        <w:spacing w:before="120" w:after="120" w:line="312" w:lineRule="auto"/>
        <w:ind w:left="426"/>
        <w:rPr>
          <w:color w:val="auto"/>
          <w:lang w:bidi="es-ES"/>
        </w:rPr>
      </w:pPr>
      <w:r w:rsidRPr="001E2C41">
        <w:rPr>
          <w:rStyle w:val="Ttulo2Car"/>
          <w:sz w:val="22"/>
          <w:szCs w:val="22"/>
        </w:rPr>
        <w:t>Inicio del procedimiento</w:t>
      </w:r>
      <w:r w:rsidRPr="001E2C41">
        <w:rPr>
          <w:color w:val="auto"/>
          <w:lang w:bidi="es-ES"/>
        </w:rPr>
        <w:t xml:space="preserve">. </w:t>
      </w:r>
    </w:p>
    <w:p w:rsidR="001E2C41" w:rsidRPr="001E2C41" w:rsidRDefault="001E2C41" w:rsidP="001D03EE">
      <w:pPr>
        <w:pStyle w:val="Cuerpodelboletn"/>
        <w:spacing w:before="120" w:after="120" w:line="312" w:lineRule="auto"/>
        <w:ind w:left="426"/>
        <w:rPr>
          <w:color w:val="auto"/>
          <w:lang w:bidi="es-ES"/>
        </w:rPr>
      </w:pPr>
      <w:r w:rsidRPr="001E2C41">
        <w:rPr>
          <w:color w:val="auto"/>
          <w:lang w:bidi="es-ES"/>
        </w:rPr>
        <w:t xml:space="preserve">Con fecha </w:t>
      </w:r>
      <w:r w:rsidR="006D55CE">
        <w:rPr>
          <w:color w:val="auto"/>
          <w:lang w:bidi="es-ES"/>
        </w:rPr>
        <w:t>12</w:t>
      </w:r>
      <w:r w:rsidRPr="001E2C41">
        <w:rPr>
          <w:color w:val="auto"/>
          <w:lang w:bidi="es-ES"/>
        </w:rPr>
        <w:t>/02/2021 se presentó</w:t>
      </w:r>
      <w:r w:rsidR="00824A2C">
        <w:rPr>
          <w:color w:val="auto"/>
          <w:lang w:bidi="es-ES"/>
        </w:rPr>
        <w:t>,</w:t>
      </w:r>
      <w:r w:rsidRPr="001E2C41">
        <w:rPr>
          <w:color w:val="auto"/>
          <w:lang w:bidi="es-ES"/>
        </w:rPr>
        <w:t xml:space="preserve"> </w:t>
      </w:r>
      <w:r w:rsidR="006D55CE">
        <w:rPr>
          <w:color w:val="auto"/>
          <w:lang w:bidi="es-ES"/>
        </w:rPr>
        <w:t>a través de la s</w:t>
      </w:r>
      <w:r w:rsidR="006D55CE" w:rsidRPr="006D55CE">
        <w:rPr>
          <w:color w:val="auto"/>
          <w:lang w:bidi="es-ES"/>
        </w:rPr>
        <w:t>ede electrónica</w:t>
      </w:r>
      <w:r w:rsidR="006D55CE">
        <w:rPr>
          <w:color w:val="auto"/>
          <w:lang w:bidi="es-ES"/>
        </w:rPr>
        <w:t xml:space="preserve"> de la </w:t>
      </w:r>
      <w:r w:rsidR="006D55CE" w:rsidRPr="006D55CE">
        <w:rPr>
          <w:color w:val="auto"/>
          <w:lang w:bidi="es-ES"/>
        </w:rPr>
        <w:t>CNMC</w:t>
      </w:r>
      <w:r w:rsidR="00824A2C">
        <w:rPr>
          <w:color w:val="auto"/>
          <w:lang w:bidi="es-ES"/>
        </w:rPr>
        <w:t>,</w:t>
      </w:r>
      <w:r w:rsidR="006D55CE" w:rsidRPr="006D55CE">
        <w:rPr>
          <w:color w:val="auto"/>
          <w:lang w:bidi="es-ES"/>
        </w:rPr>
        <w:t xml:space="preserve"> </w:t>
      </w:r>
      <w:r w:rsidRPr="001E2C41">
        <w:rPr>
          <w:color w:val="auto"/>
          <w:lang w:bidi="es-ES"/>
        </w:rPr>
        <w:t xml:space="preserve">una solicitud de acceso a información pública. La información solicitada presentaba una incidencia – no indicaba el periodo de tiempo al que se refería la información demandada – y se indicaba en la solicitud que la información se entregase en un formato que permitiese su tratamiento automatizado. </w:t>
      </w:r>
    </w:p>
    <w:p w:rsidR="006D55CE" w:rsidRDefault="006D55CE" w:rsidP="001D03EE">
      <w:pPr>
        <w:pStyle w:val="Cuerpodelboletn"/>
        <w:spacing w:before="120" w:after="120" w:line="312" w:lineRule="auto"/>
        <w:ind w:left="426"/>
        <w:rPr>
          <w:color w:val="auto"/>
          <w:lang w:bidi="es-ES"/>
        </w:rPr>
      </w:pPr>
      <w:r>
        <w:rPr>
          <w:color w:val="auto"/>
          <w:lang w:bidi="es-ES"/>
        </w:rPr>
        <w:lastRenderedPageBreak/>
        <w:t>En el momento de presentar la solicitud se genera un acuse de recibo que incluye el número de</w:t>
      </w:r>
      <w:r w:rsidRPr="006D55CE">
        <w:rPr>
          <w:color w:val="auto"/>
          <w:lang w:bidi="es-ES"/>
        </w:rPr>
        <w:t xml:space="preserve"> registro de entrada (no </w:t>
      </w:r>
      <w:r>
        <w:rPr>
          <w:color w:val="auto"/>
          <w:lang w:bidi="es-ES"/>
        </w:rPr>
        <w:t>el número de expediente</w:t>
      </w:r>
      <w:r w:rsidRPr="006D55CE">
        <w:rPr>
          <w:color w:val="auto"/>
          <w:lang w:bidi="es-ES"/>
        </w:rPr>
        <w:t>) y un resumen de la solicitud</w:t>
      </w:r>
      <w:r>
        <w:rPr>
          <w:color w:val="auto"/>
          <w:lang w:bidi="es-ES"/>
        </w:rPr>
        <w:t xml:space="preserve">. </w:t>
      </w:r>
    </w:p>
    <w:p w:rsidR="00E127B5" w:rsidRDefault="00E127B5" w:rsidP="001D03EE">
      <w:pPr>
        <w:pStyle w:val="Cuerpodelboletn"/>
        <w:spacing w:before="120" w:after="120" w:line="312" w:lineRule="auto"/>
        <w:ind w:left="426"/>
        <w:rPr>
          <w:rStyle w:val="Ttulo2Car"/>
          <w:sz w:val="22"/>
          <w:szCs w:val="22"/>
        </w:rPr>
      </w:pPr>
    </w:p>
    <w:p w:rsidR="001E2C41" w:rsidRPr="001E2C41" w:rsidRDefault="001E2C41" w:rsidP="001D03EE">
      <w:pPr>
        <w:pStyle w:val="Cuerpodelboletn"/>
        <w:spacing w:before="120" w:after="120" w:line="312" w:lineRule="auto"/>
        <w:ind w:left="426"/>
        <w:rPr>
          <w:color w:val="auto"/>
          <w:lang w:bidi="es-ES"/>
        </w:rPr>
      </w:pPr>
      <w:r w:rsidRPr="001E2C41">
        <w:rPr>
          <w:rStyle w:val="Ttulo2Car"/>
          <w:sz w:val="22"/>
          <w:szCs w:val="22"/>
        </w:rPr>
        <w:t>Tramitación</w:t>
      </w:r>
    </w:p>
    <w:p w:rsidR="001E2C41" w:rsidRPr="001E2C41" w:rsidRDefault="006D55CE" w:rsidP="001D03EE">
      <w:pPr>
        <w:pStyle w:val="Cuerpodelboletn"/>
        <w:spacing w:before="120" w:after="120" w:line="312" w:lineRule="auto"/>
        <w:ind w:left="426"/>
        <w:rPr>
          <w:color w:val="auto"/>
          <w:lang w:bidi="es-ES"/>
        </w:rPr>
      </w:pPr>
      <w:r>
        <w:rPr>
          <w:color w:val="auto"/>
          <w:lang w:bidi="es-ES"/>
        </w:rPr>
        <w:t xml:space="preserve">No </w:t>
      </w:r>
      <w:r w:rsidR="001E2C41" w:rsidRPr="001E2C41">
        <w:rPr>
          <w:color w:val="auto"/>
          <w:lang w:bidi="es-ES"/>
        </w:rPr>
        <w:t xml:space="preserve">se recibe comunicación de inicio de la tramitación de la solicitud. </w:t>
      </w:r>
    </w:p>
    <w:p w:rsidR="001E2C41" w:rsidRDefault="001E2C41" w:rsidP="001D03EE">
      <w:pPr>
        <w:pStyle w:val="Cuerpodelboletn"/>
        <w:spacing w:before="120" w:after="120" w:line="312" w:lineRule="auto"/>
        <w:ind w:left="426"/>
        <w:rPr>
          <w:color w:val="auto"/>
          <w:lang w:bidi="es-ES"/>
        </w:rPr>
      </w:pPr>
      <w:r w:rsidRPr="005C44DA">
        <w:rPr>
          <w:color w:val="auto"/>
          <w:lang w:bidi="es-ES"/>
        </w:rPr>
        <w:t>No se ha solicitado subsanación</w:t>
      </w:r>
      <w:r w:rsidRPr="001E2C41">
        <w:rPr>
          <w:color w:val="auto"/>
          <w:lang w:bidi="es-ES"/>
        </w:rPr>
        <w:t xml:space="preserve"> a pesar de que como se ha indicado, no se especificaba el periodo de tiempo al que se refería la información.</w:t>
      </w:r>
    </w:p>
    <w:p w:rsidR="001E2C41" w:rsidRPr="001E2C41" w:rsidRDefault="001E2C41" w:rsidP="001D03EE">
      <w:pPr>
        <w:pStyle w:val="Cuerpodelboletn"/>
        <w:spacing w:before="120" w:after="120" w:line="312" w:lineRule="auto"/>
        <w:ind w:left="426"/>
        <w:rPr>
          <w:color w:val="auto"/>
          <w:lang w:bidi="es-ES"/>
        </w:rPr>
      </w:pPr>
      <w:r w:rsidRPr="001E2C41">
        <w:rPr>
          <w:rStyle w:val="Ttulo2Car"/>
          <w:sz w:val="22"/>
          <w:szCs w:val="22"/>
        </w:rPr>
        <w:t>Resolución</w:t>
      </w:r>
    </w:p>
    <w:p w:rsidR="001E2C41" w:rsidRPr="001E2C41" w:rsidRDefault="001E2C41" w:rsidP="001D03EE">
      <w:pPr>
        <w:pStyle w:val="Cuerpodelboletn"/>
        <w:numPr>
          <w:ilvl w:val="0"/>
          <w:numId w:val="5"/>
        </w:numPr>
        <w:spacing w:before="120" w:after="120" w:line="312" w:lineRule="auto"/>
        <w:rPr>
          <w:color w:val="auto"/>
          <w:lang w:bidi="es-ES"/>
        </w:rPr>
      </w:pPr>
      <w:r w:rsidRPr="001E2C41">
        <w:rPr>
          <w:color w:val="auto"/>
          <w:lang w:bidi="es-ES"/>
        </w:rPr>
        <w:t xml:space="preserve">Se dicta resolución expresa con fecha </w:t>
      </w:r>
      <w:r w:rsidR="006D55CE">
        <w:rPr>
          <w:color w:val="auto"/>
          <w:lang w:bidi="es-ES"/>
        </w:rPr>
        <w:t>17</w:t>
      </w:r>
      <w:r w:rsidRPr="001E2C41">
        <w:rPr>
          <w:color w:val="auto"/>
          <w:lang w:bidi="es-ES"/>
        </w:rPr>
        <w:t>/03/2021</w:t>
      </w:r>
      <w:r w:rsidR="006D55CE">
        <w:rPr>
          <w:color w:val="auto"/>
          <w:lang w:bidi="es-ES"/>
        </w:rPr>
        <w:t>,</w:t>
      </w:r>
      <w:r w:rsidRPr="001E2C41">
        <w:rPr>
          <w:color w:val="auto"/>
          <w:lang w:bidi="es-ES"/>
        </w:rPr>
        <w:t xml:space="preserve"> </w:t>
      </w:r>
      <w:r w:rsidRPr="00C62569">
        <w:rPr>
          <w:color w:val="auto"/>
          <w:u w:val="single"/>
          <w:lang w:bidi="es-ES"/>
        </w:rPr>
        <w:t>por lo tanto</w:t>
      </w:r>
      <w:r w:rsidR="00824A2C">
        <w:rPr>
          <w:color w:val="auto"/>
          <w:u w:val="single"/>
          <w:lang w:bidi="es-ES"/>
        </w:rPr>
        <w:t>,</w:t>
      </w:r>
      <w:r w:rsidRPr="00C62569">
        <w:rPr>
          <w:color w:val="auto"/>
          <w:u w:val="single"/>
          <w:lang w:bidi="es-ES"/>
        </w:rPr>
        <w:t xml:space="preserve"> </w:t>
      </w:r>
      <w:r w:rsidR="006D55CE" w:rsidRPr="00C62569">
        <w:rPr>
          <w:color w:val="auto"/>
          <w:u w:val="single"/>
          <w:lang w:bidi="es-ES"/>
        </w:rPr>
        <w:t>fuera</w:t>
      </w:r>
      <w:r w:rsidRPr="00C62569">
        <w:rPr>
          <w:color w:val="auto"/>
          <w:u w:val="single"/>
          <w:lang w:bidi="es-ES"/>
        </w:rPr>
        <w:t xml:space="preserve"> de plazo</w:t>
      </w:r>
      <w:r w:rsidRPr="001E2C41">
        <w:rPr>
          <w:color w:val="auto"/>
          <w:lang w:bidi="es-ES"/>
        </w:rPr>
        <w:t xml:space="preserve"> </w:t>
      </w:r>
      <w:r w:rsidR="006D55CE">
        <w:rPr>
          <w:color w:val="auto"/>
          <w:lang w:bidi="es-ES"/>
        </w:rPr>
        <w:t>ya que éste había vencido el 12 de marzo</w:t>
      </w:r>
      <w:r w:rsidRPr="001E2C41">
        <w:rPr>
          <w:color w:val="auto"/>
          <w:lang w:bidi="es-ES"/>
        </w:rPr>
        <w:t xml:space="preserve"> </w:t>
      </w:r>
      <w:r w:rsidR="006D55CE">
        <w:rPr>
          <w:bCs/>
        </w:rPr>
        <w:t xml:space="preserve">y </w:t>
      </w:r>
      <w:r w:rsidR="006D55CE" w:rsidRPr="006D55CE">
        <w:rPr>
          <w:bCs/>
        </w:rPr>
        <w:t>se pone</w:t>
      </w:r>
      <w:r w:rsidR="002D5FC6">
        <w:rPr>
          <w:bCs/>
        </w:rPr>
        <w:t xml:space="preserve"> </w:t>
      </w:r>
      <w:r w:rsidR="006D55CE" w:rsidRPr="006D55CE">
        <w:rPr>
          <w:bCs/>
        </w:rPr>
        <w:t>a disposición de la persona solicitante el día 18</w:t>
      </w:r>
      <w:r w:rsidR="006D55CE">
        <w:rPr>
          <w:bCs/>
        </w:rPr>
        <w:t>. La resolución está firmada</w:t>
      </w:r>
      <w:r w:rsidR="002D5FC6">
        <w:rPr>
          <w:bCs/>
        </w:rPr>
        <w:t xml:space="preserve"> </w:t>
      </w:r>
      <w:r w:rsidRPr="001E2C41">
        <w:rPr>
          <w:color w:val="auto"/>
          <w:lang w:bidi="es-ES"/>
        </w:rPr>
        <w:t xml:space="preserve">por </w:t>
      </w:r>
      <w:r w:rsidR="002D5FC6">
        <w:rPr>
          <w:color w:val="auto"/>
          <w:lang w:bidi="es-ES"/>
        </w:rPr>
        <w:t>el Secretario del Consejo de la CNMC.</w:t>
      </w:r>
    </w:p>
    <w:p w:rsidR="001E2C41" w:rsidRPr="001E2C41" w:rsidRDefault="001E2C41" w:rsidP="001D03EE">
      <w:pPr>
        <w:pStyle w:val="Cuerpodelboletn"/>
        <w:numPr>
          <w:ilvl w:val="0"/>
          <w:numId w:val="5"/>
        </w:numPr>
        <w:spacing w:before="120" w:after="120" w:line="312" w:lineRule="auto"/>
        <w:rPr>
          <w:color w:val="auto"/>
          <w:lang w:bidi="es-ES"/>
        </w:rPr>
      </w:pPr>
      <w:r w:rsidRPr="001E2C41">
        <w:rPr>
          <w:color w:val="auto"/>
          <w:lang w:bidi="es-ES"/>
        </w:rPr>
        <w:t>La resolución está motivada.</w:t>
      </w:r>
    </w:p>
    <w:p w:rsidR="001E2C41" w:rsidRPr="001E2C41" w:rsidRDefault="001E2C41" w:rsidP="001D03EE">
      <w:pPr>
        <w:pStyle w:val="Prrafodelista"/>
        <w:numPr>
          <w:ilvl w:val="0"/>
          <w:numId w:val="5"/>
        </w:numPr>
        <w:jc w:val="both"/>
      </w:pPr>
      <w:r w:rsidRPr="001E2C41">
        <w:rPr>
          <w:lang w:bidi="es-ES"/>
        </w:rPr>
        <w:t xml:space="preserve">La resolución no responde a la totalidad de la información solicitada. No obstante, en ella se indica </w:t>
      </w:r>
      <w:r w:rsidR="00C62569">
        <w:t>las razones por las que no se proporcionan determinados datos</w:t>
      </w:r>
      <w:r w:rsidRPr="001E2C41">
        <w:t xml:space="preserve">. </w:t>
      </w:r>
    </w:p>
    <w:p w:rsidR="001E2C41" w:rsidRPr="001E2C41" w:rsidRDefault="001E2C41" w:rsidP="001D03EE">
      <w:pPr>
        <w:pStyle w:val="Cuerpodelboletn"/>
        <w:numPr>
          <w:ilvl w:val="0"/>
          <w:numId w:val="5"/>
        </w:numPr>
        <w:spacing w:before="120" w:after="120" w:line="312" w:lineRule="auto"/>
        <w:rPr>
          <w:color w:val="auto"/>
          <w:lang w:bidi="es-ES"/>
        </w:rPr>
      </w:pPr>
      <w:r w:rsidRPr="001E2C41">
        <w:rPr>
          <w:color w:val="auto"/>
          <w:lang w:bidi="es-ES"/>
        </w:rPr>
        <w:t>La resolución es clara, comprensible y está estructurada.</w:t>
      </w:r>
    </w:p>
    <w:p w:rsidR="001E2C41" w:rsidRPr="001E2C41" w:rsidRDefault="001E2C41" w:rsidP="001D03EE">
      <w:pPr>
        <w:pStyle w:val="Cuerpodelboletn"/>
        <w:numPr>
          <w:ilvl w:val="0"/>
          <w:numId w:val="5"/>
        </w:numPr>
        <w:spacing w:before="120" w:after="120" w:line="312" w:lineRule="auto"/>
        <w:rPr>
          <w:color w:val="auto"/>
          <w:lang w:bidi="es-ES"/>
        </w:rPr>
      </w:pPr>
      <w:r w:rsidRPr="001E2C41">
        <w:rPr>
          <w:color w:val="auto"/>
          <w:lang w:bidi="es-ES"/>
        </w:rPr>
        <w:t>Incluye pie de recurso indicando que pone fin a la vía administrativa, los recursos que pueden interponerse</w:t>
      </w:r>
      <w:r w:rsidR="00824A2C">
        <w:rPr>
          <w:color w:val="auto"/>
          <w:lang w:bidi="es-ES"/>
        </w:rPr>
        <w:t xml:space="preserve"> (incluido la reclamación potestativa ante el CTBG)</w:t>
      </w:r>
      <w:r w:rsidRPr="001E2C41">
        <w:rPr>
          <w:color w:val="auto"/>
          <w:lang w:bidi="es-ES"/>
        </w:rPr>
        <w:t xml:space="preserve">, el órgano competente para resolverlos y el plazo para su interposición. </w:t>
      </w:r>
    </w:p>
    <w:p w:rsidR="001E2C41" w:rsidRPr="001E2C41" w:rsidRDefault="001E2C41" w:rsidP="001D03EE">
      <w:pPr>
        <w:pStyle w:val="Cuerpodelboletn"/>
        <w:numPr>
          <w:ilvl w:val="0"/>
          <w:numId w:val="5"/>
        </w:numPr>
        <w:spacing w:before="120" w:after="120" w:line="312" w:lineRule="auto"/>
        <w:rPr>
          <w:color w:val="auto"/>
          <w:lang w:bidi="es-ES"/>
        </w:rPr>
      </w:pPr>
      <w:r w:rsidRPr="001E2C41">
        <w:rPr>
          <w:color w:val="auto"/>
          <w:lang w:bidi="es-ES"/>
        </w:rPr>
        <w:t>La resolución se notifica en formato electrónico</w:t>
      </w:r>
      <w:r w:rsidR="001D03EE">
        <w:rPr>
          <w:color w:val="auto"/>
          <w:lang w:bidi="es-ES"/>
        </w:rPr>
        <w:t xml:space="preserve">, además de un </w:t>
      </w:r>
      <w:r w:rsidR="001D03EE" w:rsidRPr="00B9651B">
        <w:rPr>
          <w:color w:val="auto"/>
          <w:lang w:bidi="es-ES"/>
        </w:rPr>
        <w:t xml:space="preserve">correo electrónico con acuse de recibo y un </w:t>
      </w:r>
      <w:proofErr w:type="spellStart"/>
      <w:r w:rsidR="001D03EE" w:rsidRPr="00B9651B">
        <w:rPr>
          <w:color w:val="auto"/>
          <w:lang w:bidi="es-ES"/>
        </w:rPr>
        <w:t>sms</w:t>
      </w:r>
      <w:proofErr w:type="spellEnd"/>
      <w:r w:rsidR="001D03EE" w:rsidRPr="00B9651B">
        <w:rPr>
          <w:color w:val="auto"/>
          <w:lang w:bidi="es-ES"/>
        </w:rPr>
        <w:t xml:space="preserve"> al número de móvil proporcionado en la solicitud</w:t>
      </w:r>
      <w:r w:rsidRPr="001E2C41">
        <w:rPr>
          <w:color w:val="auto"/>
          <w:lang w:bidi="es-ES"/>
        </w:rPr>
        <w:t>, lo que concuerda con la forma de presentación de la solicitud</w:t>
      </w:r>
      <w:r w:rsidR="00824A2C">
        <w:rPr>
          <w:color w:val="auto"/>
          <w:lang w:bidi="es-ES"/>
        </w:rPr>
        <w:t xml:space="preserve"> y el medio indicado por la persona solicitante</w:t>
      </w:r>
      <w:r w:rsidRPr="001E2C41">
        <w:rPr>
          <w:color w:val="auto"/>
          <w:lang w:bidi="es-ES"/>
        </w:rPr>
        <w:t>.</w:t>
      </w:r>
    </w:p>
    <w:p w:rsidR="001E2C41" w:rsidRPr="001E2C41" w:rsidRDefault="001E2C41" w:rsidP="001D03EE">
      <w:pPr>
        <w:pStyle w:val="Cuerpodelboletn"/>
        <w:numPr>
          <w:ilvl w:val="0"/>
          <w:numId w:val="5"/>
        </w:numPr>
        <w:spacing w:before="120" w:after="120" w:line="312" w:lineRule="auto"/>
        <w:rPr>
          <w:color w:val="auto"/>
          <w:lang w:bidi="es-ES"/>
        </w:rPr>
      </w:pPr>
      <w:r w:rsidRPr="001E2C41">
        <w:rPr>
          <w:color w:val="auto"/>
          <w:lang w:bidi="es-ES"/>
        </w:rPr>
        <w:t>Se facilita el acceso a la información en el momento de la notificación de la resolución y en el formato solicitado.</w:t>
      </w:r>
    </w:p>
    <w:p w:rsidR="001E2C41" w:rsidRPr="001E2C41" w:rsidRDefault="001E2C41" w:rsidP="001D03EE">
      <w:pPr>
        <w:pStyle w:val="Cuerpodelboletn"/>
        <w:numPr>
          <w:ilvl w:val="0"/>
          <w:numId w:val="5"/>
        </w:numPr>
        <w:spacing w:before="120" w:after="120" w:line="312" w:lineRule="auto"/>
        <w:rPr>
          <w:color w:val="auto"/>
          <w:lang w:bidi="es-ES"/>
        </w:rPr>
      </w:pPr>
      <w:r w:rsidRPr="001E2C41">
        <w:rPr>
          <w:color w:val="auto"/>
          <w:lang w:bidi="es-ES"/>
        </w:rPr>
        <w:t xml:space="preserve">Dado que no se había especificado el periodo de tiempo al que se refería la solicitud y no se ha solicitado subsanación, la </w:t>
      </w:r>
      <w:r w:rsidR="00C62569">
        <w:rPr>
          <w:color w:val="auto"/>
          <w:lang w:bidi="es-ES"/>
        </w:rPr>
        <w:t>CNM</w:t>
      </w:r>
      <w:r w:rsidR="00824A2C">
        <w:rPr>
          <w:color w:val="auto"/>
          <w:lang w:bidi="es-ES"/>
        </w:rPr>
        <w:t>C</w:t>
      </w:r>
      <w:r w:rsidRPr="001E2C41">
        <w:rPr>
          <w:color w:val="auto"/>
          <w:lang w:bidi="es-ES"/>
        </w:rPr>
        <w:t xml:space="preserve"> opta por proporcionarla para el periodo 201</w:t>
      </w:r>
      <w:r w:rsidR="00C62569">
        <w:rPr>
          <w:color w:val="auto"/>
          <w:lang w:bidi="es-ES"/>
        </w:rPr>
        <w:t>5</w:t>
      </w:r>
      <w:r w:rsidRPr="001E2C41">
        <w:rPr>
          <w:color w:val="auto"/>
          <w:lang w:bidi="es-ES"/>
        </w:rPr>
        <w:t>-2021</w:t>
      </w:r>
    </w:p>
    <w:p w:rsidR="00256215" w:rsidRDefault="00256215" w:rsidP="001D03EE">
      <w:pPr>
        <w:pStyle w:val="Cuerpodelboletn"/>
        <w:spacing w:before="120" w:after="120" w:line="312" w:lineRule="auto"/>
        <w:ind w:left="720"/>
        <w:rPr>
          <w:b/>
          <w:color w:val="00642D"/>
          <w:sz w:val="32"/>
        </w:rPr>
      </w:pPr>
    </w:p>
    <w:p w:rsidR="00B9651B" w:rsidRDefault="00B9651B" w:rsidP="001D03EE">
      <w:pPr>
        <w:pStyle w:val="Cuerpodelboletn"/>
        <w:spacing w:before="120" w:after="120" w:line="312" w:lineRule="auto"/>
        <w:ind w:left="720"/>
        <w:rPr>
          <w:b/>
          <w:color w:val="00642D"/>
          <w:sz w:val="32"/>
        </w:rPr>
      </w:pPr>
    </w:p>
    <w:p w:rsidR="00B9651B" w:rsidRDefault="00B9651B" w:rsidP="001D03EE">
      <w:pPr>
        <w:pStyle w:val="Cuerpodelboletn"/>
        <w:spacing w:before="120" w:after="120" w:line="312" w:lineRule="auto"/>
        <w:ind w:left="720"/>
        <w:rPr>
          <w:b/>
          <w:color w:val="00642D"/>
          <w:sz w:val="32"/>
        </w:rPr>
      </w:pPr>
    </w:p>
    <w:p w:rsidR="00256215" w:rsidRPr="00256215" w:rsidRDefault="00ED0253" w:rsidP="001D03EE">
      <w:pPr>
        <w:pStyle w:val="Cuerpodelboletn"/>
        <w:spacing w:before="120" w:after="120" w:line="312" w:lineRule="auto"/>
        <w:ind w:left="709"/>
        <w:rPr>
          <w:b/>
          <w:color w:val="00642D"/>
          <w:sz w:val="32"/>
        </w:rPr>
      </w:pPr>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r w:rsidR="00256215" w:rsidRPr="00256215">
            <w:rPr>
              <w:b/>
              <w:color w:val="00642D"/>
              <w:sz w:val="30"/>
              <w:szCs w:val="30"/>
            </w:rPr>
            <w:t xml:space="preserve">IV. </w:t>
          </w:r>
          <w:r w:rsidR="00256215">
            <w:rPr>
              <w:b/>
              <w:color w:val="00642D"/>
              <w:sz w:val="30"/>
              <w:szCs w:val="30"/>
            </w:rPr>
            <w:t>Reclamaciones ante el Consejo de Transparencia</w:t>
          </w:r>
          <w:r w:rsidR="00EE5BDF">
            <w:rPr>
              <w:b/>
              <w:color w:val="00642D"/>
              <w:sz w:val="30"/>
              <w:szCs w:val="30"/>
            </w:rPr>
            <w:t xml:space="preserve"> y Buen Gobierno</w:t>
          </w:r>
          <w:r w:rsidR="00256215" w:rsidRPr="00256215">
            <w:rPr>
              <w:b/>
              <w:color w:val="00642D"/>
              <w:sz w:val="30"/>
              <w:szCs w:val="30"/>
            </w:rPr>
            <w:t xml:space="preserve"> </w:t>
          </w:r>
        </w:sdtContent>
      </w:sdt>
    </w:p>
    <w:p w:rsidR="003645B4" w:rsidRDefault="003645B4" w:rsidP="001D03EE">
      <w:pPr>
        <w:pStyle w:val="Cuerpodelboletn"/>
        <w:spacing w:line="276" w:lineRule="auto"/>
        <w:ind w:left="426"/>
        <w:rPr>
          <w:color w:val="auto"/>
        </w:rPr>
      </w:pPr>
    </w:p>
    <w:p w:rsidR="006D55CE" w:rsidRDefault="006D55CE" w:rsidP="001D03EE">
      <w:pPr>
        <w:pStyle w:val="Cuerpodelboletn"/>
        <w:spacing w:before="120" w:after="120" w:line="276" w:lineRule="auto"/>
        <w:ind w:left="425"/>
        <w:rPr>
          <w:color w:val="auto"/>
        </w:rPr>
      </w:pPr>
      <w:r>
        <w:rPr>
          <w:color w:val="auto"/>
        </w:rPr>
        <w:t>El CTBG ha recibido</w:t>
      </w:r>
      <w:r w:rsidR="00ED0253" w:rsidRPr="00ED0253">
        <w:t xml:space="preserve"> </w:t>
      </w:r>
      <w:r w:rsidR="00ED0253" w:rsidRPr="00ED0253">
        <w:rPr>
          <w:color w:val="auto"/>
        </w:rPr>
        <w:t>en el periodo 2015-2020,</w:t>
      </w:r>
      <w:r>
        <w:rPr>
          <w:color w:val="auto"/>
        </w:rPr>
        <w:t xml:space="preserve"> un total de </w:t>
      </w:r>
      <w:r w:rsidR="00855A8D">
        <w:rPr>
          <w:color w:val="auto"/>
        </w:rPr>
        <w:t>23</w:t>
      </w:r>
      <w:r>
        <w:rPr>
          <w:color w:val="auto"/>
        </w:rPr>
        <w:t xml:space="preserve"> reclamaciones contra resoluciones de la </w:t>
      </w:r>
      <w:r w:rsidR="00855A8D">
        <w:rPr>
          <w:color w:val="auto"/>
        </w:rPr>
        <w:t>CNMC</w:t>
      </w:r>
      <w:r>
        <w:rPr>
          <w:color w:val="auto"/>
        </w:rPr>
        <w:t xml:space="preserve"> en materia de acceso a la información pública. De éstas, 1</w:t>
      </w:r>
      <w:r w:rsidR="00855A8D">
        <w:rPr>
          <w:color w:val="auto"/>
        </w:rPr>
        <w:t>2</w:t>
      </w:r>
      <w:r>
        <w:rPr>
          <w:color w:val="auto"/>
        </w:rPr>
        <w:t xml:space="preserve"> fueron estimadas –</w:t>
      </w:r>
      <w:r w:rsidR="00855A8D">
        <w:rPr>
          <w:color w:val="auto"/>
        </w:rPr>
        <w:t xml:space="preserve"> </w:t>
      </w:r>
      <w:r>
        <w:rPr>
          <w:color w:val="auto"/>
        </w:rPr>
        <w:t xml:space="preserve">en </w:t>
      </w:r>
      <w:r w:rsidR="00855A8D">
        <w:rPr>
          <w:color w:val="auto"/>
        </w:rPr>
        <w:t>9 de ellas</w:t>
      </w:r>
      <w:r>
        <w:rPr>
          <w:color w:val="auto"/>
        </w:rPr>
        <w:t xml:space="preserve"> la </w:t>
      </w:r>
      <w:r w:rsidR="00855A8D">
        <w:rPr>
          <w:color w:val="auto"/>
        </w:rPr>
        <w:t>CNMC</w:t>
      </w:r>
      <w:r>
        <w:rPr>
          <w:color w:val="auto"/>
        </w:rPr>
        <w:t xml:space="preserve"> concedió la información antes de finalizar el procedimiento de reclamación -. Otras </w:t>
      </w:r>
      <w:r w:rsidR="00855A8D">
        <w:rPr>
          <w:color w:val="auto"/>
        </w:rPr>
        <w:t>7</w:t>
      </w:r>
      <w:r>
        <w:rPr>
          <w:color w:val="auto"/>
        </w:rPr>
        <w:t xml:space="preserve"> fueron desestimadas, 2 inadmitidas y </w:t>
      </w:r>
      <w:r w:rsidR="00855A8D">
        <w:rPr>
          <w:color w:val="auto"/>
        </w:rPr>
        <w:t>2</w:t>
      </w:r>
      <w:r>
        <w:rPr>
          <w:color w:val="auto"/>
        </w:rPr>
        <w:t xml:space="preserve"> archivadas.</w:t>
      </w:r>
    </w:p>
    <w:p w:rsidR="006D55CE" w:rsidRDefault="006D55CE" w:rsidP="001D03EE">
      <w:pPr>
        <w:pStyle w:val="Cuerpodelboletn"/>
        <w:spacing w:before="120" w:after="120" w:line="276" w:lineRule="auto"/>
        <w:ind w:left="425"/>
        <w:rPr>
          <w:color w:val="auto"/>
        </w:rPr>
      </w:pPr>
      <w:r>
        <w:rPr>
          <w:color w:val="auto"/>
        </w:rPr>
        <w:t xml:space="preserve">Por lo tanto, de las </w:t>
      </w:r>
      <w:r w:rsidR="00855A8D">
        <w:rPr>
          <w:color w:val="auto"/>
        </w:rPr>
        <w:t xml:space="preserve">19 </w:t>
      </w:r>
      <w:r>
        <w:rPr>
          <w:color w:val="auto"/>
        </w:rPr>
        <w:t xml:space="preserve">reclamaciones admitidas a trámite, un </w:t>
      </w:r>
      <w:r w:rsidR="00F948F7">
        <w:rPr>
          <w:color w:val="auto"/>
        </w:rPr>
        <w:t>36,84</w:t>
      </w:r>
      <w:r>
        <w:rPr>
          <w:color w:val="auto"/>
        </w:rPr>
        <w:t xml:space="preserve">% han sido favorables a la entidad y </w:t>
      </w:r>
      <w:r w:rsidR="00F948F7">
        <w:rPr>
          <w:color w:val="auto"/>
        </w:rPr>
        <w:t xml:space="preserve">un 63,16% </w:t>
      </w:r>
      <w:r>
        <w:rPr>
          <w:color w:val="auto"/>
        </w:rPr>
        <w:t xml:space="preserve">a los reclamantes. </w:t>
      </w:r>
      <w:bookmarkStart w:id="0" w:name="_GoBack"/>
      <w:bookmarkEnd w:id="0"/>
    </w:p>
    <w:p w:rsidR="006D55CE" w:rsidRDefault="006D55CE" w:rsidP="001D03EE">
      <w:pPr>
        <w:pStyle w:val="Cuerpodelboletn"/>
        <w:spacing w:before="120" w:after="120" w:line="276" w:lineRule="auto"/>
        <w:ind w:left="425"/>
        <w:rPr>
          <w:color w:val="auto"/>
        </w:rPr>
      </w:pPr>
      <w:r>
        <w:rPr>
          <w:color w:val="auto"/>
        </w:rPr>
        <w:t xml:space="preserve">La </w:t>
      </w:r>
      <w:r w:rsidR="00BE1242">
        <w:rPr>
          <w:color w:val="auto"/>
        </w:rPr>
        <w:t>CNMC</w:t>
      </w:r>
      <w:r>
        <w:rPr>
          <w:color w:val="auto"/>
        </w:rPr>
        <w:t xml:space="preserve"> ha presentado recurso contencioso-administrativo contra una de las resoluciones del CTBG, lo que sitúa la tasa de litigiosidad en el </w:t>
      </w:r>
      <w:r w:rsidR="00F948F7">
        <w:rPr>
          <w:color w:val="auto"/>
        </w:rPr>
        <w:t>8,33</w:t>
      </w:r>
      <w:r>
        <w:rPr>
          <w:color w:val="auto"/>
        </w:rPr>
        <w:t xml:space="preserve">%. El recurso finalmente se resolvió mediante sentencia favorable al CTBG que ha adquirido firmeza. </w:t>
      </w:r>
    </w:p>
    <w:p w:rsidR="00F948F7" w:rsidRDefault="00F948F7" w:rsidP="001D03EE">
      <w:pPr>
        <w:pStyle w:val="Cuerpodelboletn"/>
        <w:spacing w:before="120" w:after="120" w:line="276" w:lineRule="auto"/>
        <w:ind w:left="425"/>
        <w:rPr>
          <w:color w:val="auto"/>
        </w:rPr>
      </w:pPr>
    </w:p>
    <w:p w:rsidR="006D55CE" w:rsidRPr="003456B5" w:rsidRDefault="006D55CE" w:rsidP="001D03EE">
      <w:pPr>
        <w:pStyle w:val="Epgrafe"/>
        <w:keepNext/>
        <w:ind w:left="426"/>
        <w:jc w:val="both"/>
        <w:rPr>
          <w:rStyle w:val="Ttulo2Car"/>
          <w:b/>
          <w:color w:val="00642D"/>
          <w:sz w:val="22"/>
          <w:szCs w:val="22"/>
          <w:lang w:bidi="es-ES"/>
        </w:rPr>
      </w:pPr>
      <w:r w:rsidRPr="003456B5">
        <w:rPr>
          <w:rStyle w:val="Ttulo2Car"/>
          <w:b/>
          <w:color w:val="00642D"/>
          <w:sz w:val="22"/>
          <w:szCs w:val="22"/>
          <w:lang w:bidi="es-ES"/>
        </w:rPr>
        <w:t xml:space="preserve">Tabla </w:t>
      </w:r>
      <w:r w:rsidRPr="003456B5">
        <w:rPr>
          <w:rStyle w:val="Ttulo2Car"/>
          <w:b/>
          <w:color w:val="00642D"/>
          <w:sz w:val="22"/>
          <w:szCs w:val="22"/>
          <w:lang w:bidi="es-ES"/>
        </w:rPr>
        <w:fldChar w:fldCharType="begin"/>
      </w:r>
      <w:r w:rsidRPr="003456B5">
        <w:rPr>
          <w:rStyle w:val="Ttulo2Car"/>
          <w:b/>
          <w:color w:val="00642D"/>
          <w:sz w:val="22"/>
          <w:szCs w:val="22"/>
          <w:lang w:bidi="es-ES"/>
        </w:rPr>
        <w:instrText xml:space="preserve"> SEQ Tabla \* ARABIC </w:instrText>
      </w:r>
      <w:r w:rsidRPr="003456B5">
        <w:rPr>
          <w:rStyle w:val="Ttulo2Car"/>
          <w:b/>
          <w:color w:val="00642D"/>
          <w:sz w:val="22"/>
          <w:szCs w:val="22"/>
          <w:lang w:bidi="es-ES"/>
        </w:rPr>
        <w:fldChar w:fldCharType="separate"/>
      </w:r>
      <w:r w:rsidRPr="003456B5">
        <w:rPr>
          <w:rStyle w:val="Ttulo2Car"/>
          <w:b/>
          <w:color w:val="00642D"/>
          <w:sz w:val="22"/>
          <w:szCs w:val="22"/>
          <w:lang w:bidi="es-ES"/>
        </w:rPr>
        <w:t>3</w:t>
      </w:r>
      <w:r w:rsidRPr="003456B5">
        <w:rPr>
          <w:rStyle w:val="Ttulo2Car"/>
          <w:b/>
          <w:color w:val="00642D"/>
          <w:sz w:val="22"/>
          <w:szCs w:val="22"/>
          <w:lang w:bidi="es-ES"/>
        </w:rPr>
        <w:fldChar w:fldCharType="end"/>
      </w:r>
      <w:r w:rsidRPr="003456B5">
        <w:rPr>
          <w:rStyle w:val="Ttulo2Car"/>
          <w:b/>
          <w:color w:val="00642D"/>
          <w:sz w:val="22"/>
          <w:szCs w:val="22"/>
          <w:lang w:bidi="es-ES"/>
        </w:rPr>
        <w:t>: Reclamaciones ante el Consejo de Transparencia y Buen Gobierno</w:t>
      </w:r>
    </w:p>
    <w:tbl>
      <w:tblPr>
        <w:tblStyle w:val="Tablaconcuadrcula"/>
        <w:tblW w:w="0" w:type="auto"/>
        <w:tblInd w:w="959" w:type="dxa"/>
        <w:tblLook w:val="04A0" w:firstRow="1" w:lastRow="0" w:firstColumn="1" w:lastColumn="0" w:noHBand="0" w:noVBand="1"/>
      </w:tblPr>
      <w:tblGrid>
        <w:gridCol w:w="1299"/>
        <w:gridCol w:w="4479"/>
        <w:gridCol w:w="1843"/>
        <w:gridCol w:w="1559"/>
      </w:tblGrid>
      <w:tr w:rsidR="006D55CE" w:rsidRPr="0048443D" w:rsidTr="006D55CE">
        <w:tc>
          <w:tcPr>
            <w:tcW w:w="1299" w:type="dxa"/>
            <w:vMerge w:val="restart"/>
            <w:tcBorders>
              <w:top w:val="single" w:sz="4" w:space="0" w:color="FFFFFF" w:themeColor="background1"/>
              <w:right w:val="nil"/>
            </w:tcBorders>
            <w:shd w:val="clear" w:color="auto" w:fill="4D7F52"/>
            <w:textDirection w:val="btLr"/>
          </w:tcPr>
          <w:p w:rsidR="006D55CE" w:rsidRPr="0048443D" w:rsidRDefault="006D55CE" w:rsidP="001D03EE">
            <w:pPr>
              <w:ind w:left="113" w:right="113"/>
              <w:jc w:val="both"/>
              <w:rPr>
                <w:color w:val="FFFFFF" w:themeColor="background1"/>
              </w:rPr>
            </w:pPr>
          </w:p>
        </w:tc>
        <w:tc>
          <w:tcPr>
            <w:tcW w:w="6322" w:type="dxa"/>
            <w:gridSpan w:val="2"/>
            <w:tcBorders>
              <w:left w:val="nil"/>
            </w:tcBorders>
          </w:tcPr>
          <w:p w:rsidR="006D55CE" w:rsidRPr="0048443D" w:rsidRDefault="006D55CE" w:rsidP="001D03EE">
            <w:pPr>
              <w:jc w:val="both"/>
              <w:rPr>
                <w:sz w:val="20"/>
                <w:szCs w:val="20"/>
              </w:rPr>
            </w:pPr>
            <w:r w:rsidRPr="0048443D">
              <w:rPr>
                <w:sz w:val="20"/>
                <w:szCs w:val="20"/>
              </w:rPr>
              <w:t>Nº de Resoluciones de la entidad recurridas ante el CTBG</w:t>
            </w:r>
          </w:p>
        </w:tc>
        <w:tc>
          <w:tcPr>
            <w:tcW w:w="1559" w:type="dxa"/>
            <w:vAlign w:val="center"/>
          </w:tcPr>
          <w:p w:rsidR="006D55CE" w:rsidRPr="0048443D" w:rsidRDefault="00855A8D" w:rsidP="001D03EE">
            <w:pPr>
              <w:jc w:val="both"/>
              <w:rPr>
                <w:sz w:val="20"/>
                <w:szCs w:val="20"/>
              </w:rPr>
            </w:pPr>
            <w:r>
              <w:rPr>
                <w:sz w:val="20"/>
                <w:szCs w:val="20"/>
              </w:rPr>
              <w:t>23</w:t>
            </w:r>
          </w:p>
        </w:tc>
      </w:tr>
      <w:tr w:rsidR="006D55CE" w:rsidRPr="0048443D" w:rsidTr="006D55CE">
        <w:trPr>
          <w:trHeight w:val="248"/>
        </w:trPr>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val="restart"/>
            <w:tcBorders>
              <w:left w:val="nil"/>
            </w:tcBorders>
          </w:tcPr>
          <w:p w:rsidR="006D55CE" w:rsidRPr="0048443D" w:rsidRDefault="006D55CE" w:rsidP="001D03EE">
            <w:pPr>
              <w:jc w:val="both"/>
              <w:rPr>
                <w:sz w:val="20"/>
                <w:szCs w:val="20"/>
              </w:rPr>
            </w:pPr>
            <w:r w:rsidRPr="0048443D">
              <w:rPr>
                <w:sz w:val="20"/>
                <w:szCs w:val="20"/>
              </w:rPr>
              <w:t>Nº de Resoluciones del CTBG favorables a la entidad</w:t>
            </w:r>
          </w:p>
        </w:tc>
        <w:tc>
          <w:tcPr>
            <w:tcW w:w="1843" w:type="dxa"/>
            <w:tcBorders>
              <w:left w:val="nil"/>
            </w:tcBorders>
          </w:tcPr>
          <w:p w:rsidR="006D55CE" w:rsidRPr="0048443D" w:rsidRDefault="006D55CE" w:rsidP="001D03EE">
            <w:pPr>
              <w:jc w:val="both"/>
              <w:rPr>
                <w:sz w:val="20"/>
                <w:szCs w:val="20"/>
              </w:rPr>
            </w:pPr>
            <w:r w:rsidRPr="0048443D">
              <w:rPr>
                <w:sz w:val="20"/>
                <w:szCs w:val="20"/>
              </w:rPr>
              <w:t>Nº</w:t>
            </w:r>
          </w:p>
        </w:tc>
        <w:tc>
          <w:tcPr>
            <w:tcW w:w="1559" w:type="dxa"/>
            <w:vAlign w:val="center"/>
          </w:tcPr>
          <w:p w:rsidR="006D55CE" w:rsidRPr="0048443D" w:rsidRDefault="00855A8D" w:rsidP="001D03EE">
            <w:pPr>
              <w:jc w:val="both"/>
              <w:rPr>
                <w:sz w:val="20"/>
                <w:szCs w:val="20"/>
              </w:rPr>
            </w:pPr>
            <w:r>
              <w:rPr>
                <w:sz w:val="20"/>
                <w:szCs w:val="20"/>
              </w:rPr>
              <w:t>7</w:t>
            </w:r>
          </w:p>
        </w:tc>
      </w:tr>
      <w:tr w:rsidR="006D55CE" w:rsidRPr="0048443D" w:rsidTr="006D55CE">
        <w:trPr>
          <w:trHeight w:val="247"/>
        </w:trPr>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tcBorders>
              <w:left w:val="nil"/>
            </w:tcBorders>
          </w:tcPr>
          <w:p w:rsidR="006D55CE" w:rsidRPr="0048443D" w:rsidRDefault="006D55CE" w:rsidP="001D03EE">
            <w:pPr>
              <w:jc w:val="both"/>
              <w:rPr>
                <w:sz w:val="20"/>
                <w:szCs w:val="20"/>
              </w:rPr>
            </w:pPr>
          </w:p>
        </w:tc>
        <w:tc>
          <w:tcPr>
            <w:tcW w:w="1843" w:type="dxa"/>
            <w:tcBorders>
              <w:left w:val="nil"/>
            </w:tcBorders>
          </w:tcPr>
          <w:p w:rsidR="006D55CE" w:rsidRPr="0048443D" w:rsidRDefault="006D55CE" w:rsidP="001D03EE">
            <w:pPr>
              <w:jc w:val="both"/>
              <w:rPr>
                <w:sz w:val="20"/>
                <w:szCs w:val="20"/>
              </w:rPr>
            </w:pPr>
            <w:r w:rsidRPr="0048443D">
              <w:rPr>
                <w:sz w:val="20"/>
                <w:szCs w:val="20"/>
              </w:rPr>
              <w:t>Porcentaje</w:t>
            </w:r>
          </w:p>
        </w:tc>
        <w:tc>
          <w:tcPr>
            <w:tcW w:w="1559" w:type="dxa"/>
            <w:vAlign w:val="center"/>
          </w:tcPr>
          <w:p w:rsidR="006D55CE" w:rsidRPr="0048443D" w:rsidRDefault="00F948F7" w:rsidP="001D03EE">
            <w:pPr>
              <w:jc w:val="both"/>
              <w:rPr>
                <w:sz w:val="20"/>
                <w:szCs w:val="20"/>
              </w:rPr>
            </w:pPr>
            <w:r w:rsidRPr="00F948F7">
              <w:rPr>
                <w:sz w:val="20"/>
                <w:szCs w:val="20"/>
              </w:rPr>
              <w:t>36,84</w:t>
            </w:r>
          </w:p>
        </w:tc>
      </w:tr>
      <w:tr w:rsidR="006D55CE" w:rsidRPr="0048443D" w:rsidTr="006D55CE">
        <w:trPr>
          <w:trHeight w:val="248"/>
        </w:trPr>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val="restart"/>
            <w:tcBorders>
              <w:left w:val="nil"/>
            </w:tcBorders>
          </w:tcPr>
          <w:p w:rsidR="006D55CE" w:rsidRPr="0048443D" w:rsidRDefault="006D55CE" w:rsidP="001D03EE">
            <w:pPr>
              <w:jc w:val="both"/>
              <w:rPr>
                <w:sz w:val="20"/>
                <w:szCs w:val="20"/>
              </w:rPr>
            </w:pPr>
            <w:r w:rsidRPr="0048443D">
              <w:rPr>
                <w:sz w:val="20"/>
                <w:szCs w:val="20"/>
              </w:rPr>
              <w:t>Nº de Resoluciones del CTBG favorables a los reclamantes</w:t>
            </w:r>
          </w:p>
        </w:tc>
        <w:tc>
          <w:tcPr>
            <w:tcW w:w="1843" w:type="dxa"/>
            <w:tcBorders>
              <w:left w:val="nil"/>
            </w:tcBorders>
          </w:tcPr>
          <w:p w:rsidR="006D55CE" w:rsidRPr="0048443D" w:rsidRDefault="006D55CE" w:rsidP="001D03EE">
            <w:pPr>
              <w:jc w:val="both"/>
              <w:rPr>
                <w:sz w:val="20"/>
                <w:szCs w:val="20"/>
              </w:rPr>
            </w:pPr>
            <w:r w:rsidRPr="0048443D">
              <w:rPr>
                <w:sz w:val="20"/>
                <w:szCs w:val="20"/>
              </w:rPr>
              <w:t>Nº</w:t>
            </w:r>
          </w:p>
        </w:tc>
        <w:tc>
          <w:tcPr>
            <w:tcW w:w="1559" w:type="dxa"/>
            <w:vAlign w:val="center"/>
          </w:tcPr>
          <w:p w:rsidR="006D55CE" w:rsidRPr="0048443D" w:rsidRDefault="00855A8D" w:rsidP="001D03EE">
            <w:pPr>
              <w:jc w:val="both"/>
              <w:rPr>
                <w:sz w:val="20"/>
                <w:szCs w:val="20"/>
              </w:rPr>
            </w:pPr>
            <w:r>
              <w:rPr>
                <w:sz w:val="20"/>
                <w:szCs w:val="20"/>
              </w:rPr>
              <w:t>12</w:t>
            </w:r>
          </w:p>
        </w:tc>
      </w:tr>
      <w:tr w:rsidR="006D55CE" w:rsidRPr="0048443D" w:rsidTr="006D55CE">
        <w:trPr>
          <w:trHeight w:val="247"/>
        </w:trPr>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tcBorders>
              <w:left w:val="nil"/>
            </w:tcBorders>
          </w:tcPr>
          <w:p w:rsidR="006D55CE" w:rsidRPr="0048443D" w:rsidRDefault="006D55CE" w:rsidP="001D03EE">
            <w:pPr>
              <w:jc w:val="both"/>
              <w:rPr>
                <w:sz w:val="20"/>
                <w:szCs w:val="20"/>
              </w:rPr>
            </w:pPr>
          </w:p>
        </w:tc>
        <w:tc>
          <w:tcPr>
            <w:tcW w:w="1843" w:type="dxa"/>
            <w:tcBorders>
              <w:left w:val="nil"/>
            </w:tcBorders>
          </w:tcPr>
          <w:p w:rsidR="006D55CE" w:rsidRPr="0048443D" w:rsidRDefault="006D55CE" w:rsidP="001D03EE">
            <w:pPr>
              <w:jc w:val="both"/>
              <w:rPr>
                <w:sz w:val="20"/>
                <w:szCs w:val="20"/>
              </w:rPr>
            </w:pPr>
            <w:r w:rsidRPr="0048443D">
              <w:rPr>
                <w:sz w:val="20"/>
                <w:szCs w:val="20"/>
              </w:rPr>
              <w:t>Porcentaje</w:t>
            </w:r>
          </w:p>
        </w:tc>
        <w:tc>
          <w:tcPr>
            <w:tcW w:w="1559" w:type="dxa"/>
            <w:vAlign w:val="center"/>
          </w:tcPr>
          <w:p w:rsidR="006D55CE" w:rsidRPr="0048443D" w:rsidRDefault="00F948F7" w:rsidP="001D03EE">
            <w:pPr>
              <w:jc w:val="both"/>
              <w:rPr>
                <w:sz w:val="20"/>
                <w:szCs w:val="20"/>
              </w:rPr>
            </w:pPr>
            <w:r w:rsidRPr="00F948F7">
              <w:rPr>
                <w:sz w:val="20"/>
                <w:szCs w:val="20"/>
              </w:rPr>
              <w:t>63,16</w:t>
            </w:r>
          </w:p>
        </w:tc>
      </w:tr>
      <w:tr w:rsidR="006D55CE" w:rsidRPr="0048443D" w:rsidTr="006D55CE">
        <w:tc>
          <w:tcPr>
            <w:tcW w:w="1299" w:type="dxa"/>
            <w:vMerge/>
            <w:tcBorders>
              <w:right w:val="nil"/>
            </w:tcBorders>
            <w:shd w:val="clear" w:color="auto" w:fill="4D7F52"/>
          </w:tcPr>
          <w:p w:rsidR="006D55CE" w:rsidRPr="0048443D" w:rsidRDefault="006D55CE" w:rsidP="001D03EE">
            <w:pPr>
              <w:ind w:left="113" w:right="113"/>
              <w:jc w:val="both"/>
            </w:pPr>
          </w:p>
        </w:tc>
        <w:tc>
          <w:tcPr>
            <w:tcW w:w="6322" w:type="dxa"/>
            <w:gridSpan w:val="2"/>
            <w:tcBorders>
              <w:left w:val="nil"/>
            </w:tcBorders>
          </w:tcPr>
          <w:p w:rsidR="006D55CE" w:rsidRPr="0048443D" w:rsidRDefault="006D55CE" w:rsidP="001D03EE">
            <w:pPr>
              <w:jc w:val="both"/>
              <w:rPr>
                <w:sz w:val="20"/>
                <w:szCs w:val="20"/>
              </w:rPr>
            </w:pPr>
            <w:r w:rsidRPr="0048443D">
              <w:rPr>
                <w:sz w:val="20"/>
                <w:szCs w:val="20"/>
              </w:rPr>
              <w:t>Nº de Resoluciones del CTBG favorables a los reclamantes recurridas ante la jurisdicción contencioso-administrativa</w:t>
            </w:r>
          </w:p>
        </w:tc>
        <w:tc>
          <w:tcPr>
            <w:tcW w:w="1559" w:type="dxa"/>
            <w:vAlign w:val="center"/>
          </w:tcPr>
          <w:p w:rsidR="006D55CE" w:rsidRPr="0048443D" w:rsidRDefault="00855A8D" w:rsidP="001D03EE">
            <w:pPr>
              <w:jc w:val="both"/>
              <w:rPr>
                <w:sz w:val="20"/>
                <w:szCs w:val="20"/>
              </w:rPr>
            </w:pPr>
            <w:r>
              <w:rPr>
                <w:sz w:val="20"/>
                <w:szCs w:val="20"/>
              </w:rPr>
              <w:t>1</w:t>
            </w:r>
          </w:p>
        </w:tc>
      </w:tr>
      <w:tr w:rsidR="006D55CE" w:rsidRPr="0048443D" w:rsidTr="006D55CE">
        <w:tc>
          <w:tcPr>
            <w:tcW w:w="1299" w:type="dxa"/>
            <w:vMerge/>
            <w:tcBorders>
              <w:right w:val="nil"/>
            </w:tcBorders>
            <w:shd w:val="clear" w:color="auto" w:fill="4D7F52"/>
          </w:tcPr>
          <w:p w:rsidR="006D55CE" w:rsidRPr="0048443D" w:rsidRDefault="006D55CE" w:rsidP="001D03EE">
            <w:pPr>
              <w:ind w:left="113" w:right="113"/>
              <w:jc w:val="both"/>
            </w:pPr>
          </w:p>
        </w:tc>
        <w:tc>
          <w:tcPr>
            <w:tcW w:w="6322" w:type="dxa"/>
            <w:gridSpan w:val="2"/>
            <w:tcBorders>
              <w:left w:val="nil"/>
            </w:tcBorders>
          </w:tcPr>
          <w:p w:rsidR="006D55CE" w:rsidRPr="0048443D" w:rsidRDefault="006D55CE" w:rsidP="001D03EE">
            <w:pPr>
              <w:jc w:val="both"/>
              <w:rPr>
                <w:sz w:val="20"/>
                <w:szCs w:val="20"/>
              </w:rPr>
            </w:pPr>
            <w:r w:rsidRPr="0048443D">
              <w:rPr>
                <w:sz w:val="20"/>
                <w:szCs w:val="20"/>
              </w:rPr>
              <w:t>Tasa de litigiosidad</w:t>
            </w:r>
          </w:p>
        </w:tc>
        <w:tc>
          <w:tcPr>
            <w:tcW w:w="1559" w:type="dxa"/>
            <w:vAlign w:val="center"/>
          </w:tcPr>
          <w:p w:rsidR="006D55CE" w:rsidRPr="0048443D" w:rsidRDefault="00F948F7" w:rsidP="001D03EE">
            <w:pPr>
              <w:jc w:val="both"/>
              <w:rPr>
                <w:sz w:val="20"/>
                <w:szCs w:val="20"/>
              </w:rPr>
            </w:pPr>
            <w:r>
              <w:rPr>
                <w:sz w:val="20"/>
                <w:szCs w:val="20"/>
              </w:rPr>
              <w:t>8,33</w:t>
            </w:r>
          </w:p>
        </w:tc>
      </w:tr>
      <w:tr w:rsidR="006D55CE" w:rsidRPr="0048443D" w:rsidTr="006D55CE">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val="restart"/>
            <w:tcBorders>
              <w:left w:val="nil"/>
            </w:tcBorders>
            <w:vAlign w:val="center"/>
          </w:tcPr>
          <w:p w:rsidR="006D55CE" w:rsidRPr="0048443D" w:rsidRDefault="006D55CE" w:rsidP="001D03EE">
            <w:pPr>
              <w:jc w:val="both"/>
              <w:rPr>
                <w:sz w:val="20"/>
                <w:szCs w:val="20"/>
              </w:rPr>
            </w:pPr>
            <w:r w:rsidRPr="0048443D">
              <w:rPr>
                <w:sz w:val="20"/>
                <w:szCs w:val="20"/>
              </w:rPr>
              <w:t>Sentencias firmes favorables al CTBG</w:t>
            </w:r>
          </w:p>
        </w:tc>
        <w:tc>
          <w:tcPr>
            <w:tcW w:w="1843" w:type="dxa"/>
            <w:tcBorders>
              <w:left w:val="nil"/>
            </w:tcBorders>
          </w:tcPr>
          <w:p w:rsidR="006D55CE" w:rsidRPr="0048443D" w:rsidRDefault="006D55CE" w:rsidP="001D03EE">
            <w:pPr>
              <w:jc w:val="both"/>
              <w:rPr>
                <w:sz w:val="20"/>
                <w:szCs w:val="20"/>
              </w:rPr>
            </w:pPr>
            <w:r w:rsidRPr="0048443D">
              <w:rPr>
                <w:sz w:val="20"/>
                <w:szCs w:val="20"/>
              </w:rPr>
              <w:t xml:space="preserve">Nº </w:t>
            </w:r>
          </w:p>
        </w:tc>
        <w:tc>
          <w:tcPr>
            <w:tcW w:w="1559" w:type="dxa"/>
            <w:vAlign w:val="center"/>
          </w:tcPr>
          <w:p w:rsidR="006D55CE" w:rsidRPr="0048443D" w:rsidRDefault="00855A8D" w:rsidP="001D03EE">
            <w:pPr>
              <w:jc w:val="both"/>
              <w:rPr>
                <w:sz w:val="20"/>
                <w:szCs w:val="20"/>
              </w:rPr>
            </w:pPr>
            <w:r>
              <w:rPr>
                <w:sz w:val="20"/>
                <w:szCs w:val="20"/>
              </w:rPr>
              <w:t>1</w:t>
            </w:r>
          </w:p>
        </w:tc>
      </w:tr>
      <w:tr w:rsidR="006D55CE" w:rsidRPr="0048443D" w:rsidTr="006D55CE">
        <w:trPr>
          <w:trHeight w:val="113"/>
        </w:trPr>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tcBorders>
              <w:left w:val="nil"/>
            </w:tcBorders>
            <w:vAlign w:val="center"/>
          </w:tcPr>
          <w:p w:rsidR="006D55CE" w:rsidRPr="0048443D" w:rsidRDefault="006D55CE" w:rsidP="001D03EE">
            <w:pPr>
              <w:jc w:val="both"/>
              <w:rPr>
                <w:sz w:val="20"/>
                <w:szCs w:val="20"/>
              </w:rPr>
            </w:pPr>
          </w:p>
        </w:tc>
        <w:tc>
          <w:tcPr>
            <w:tcW w:w="1843" w:type="dxa"/>
            <w:tcBorders>
              <w:left w:val="nil"/>
            </w:tcBorders>
          </w:tcPr>
          <w:p w:rsidR="006D55CE" w:rsidRPr="0048443D" w:rsidRDefault="006D55CE" w:rsidP="001D03EE">
            <w:pPr>
              <w:jc w:val="both"/>
              <w:rPr>
                <w:sz w:val="20"/>
                <w:szCs w:val="20"/>
              </w:rPr>
            </w:pPr>
            <w:r w:rsidRPr="0048443D">
              <w:rPr>
                <w:sz w:val="20"/>
                <w:szCs w:val="20"/>
              </w:rPr>
              <w:t>Porcentaje</w:t>
            </w:r>
          </w:p>
        </w:tc>
        <w:tc>
          <w:tcPr>
            <w:tcW w:w="1559" w:type="dxa"/>
            <w:vAlign w:val="center"/>
          </w:tcPr>
          <w:p w:rsidR="006D55CE" w:rsidRPr="0048443D" w:rsidRDefault="00F948F7" w:rsidP="001D03EE">
            <w:pPr>
              <w:jc w:val="both"/>
              <w:rPr>
                <w:sz w:val="20"/>
                <w:szCs w:val="20"/>
              </w:rPr>
            </w:pPr>
            <w:r>
              <w:rPr>
                <w:sz w:val="20"/>
                <w:szCs w:val="20"/>
              </w:rPr>
              <w:t>100</w:t>
            </w:r>
          </w:p>
        </w:tc>
      </w:tr>
      <w:tr w:rsidR="006D55CE" w:rsidRPr="0048443D" w:rsidTr="006D55CE">
        <w:trPr>
          <w:trHeight w:val="248"/>
        </w:trPr>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val="restart"/>
            <w:tcBorders>
              <w:left w:val="nil"/>
            </w:tcBorders>
            <w:vAlign w:val="center"/>
          </w:tcPr>
          <w:p w:rsidR="006D55CE" w:rsidRPr="0048443D" w:rsidRDefault="006D55CE" w:rsidP="001D03EE">
            <w:pPr>
              <w:jc w:val="both"/>
              <w:rPr>
                <w:sz w:val="20"/>
                <w:szCs w:val="20"/>
              </w:rPr>
            </w:pPr>
            <w:r w:rsidRPr="0048443D">
              <w:rPr>
                <w:sz w:val="20"/>
                <w:szCs w:val="20"/>
              </w:rPr>
              <w:t>Sentencias firmes favorables a la entidad</w:t>
            </w:r>
          </w:p>
        </w:tc>
        <w:tc>
          <w:tcPr>
            <w:tcW w:w="1843" w:type="dxa"/>
            <w:tcBorders>
              <w:left w:val="nil"/>
            </w:tcBorders>
          </w:tcPr>
          <w:p w:rsidR="006D55CE" w:rsidRPr="0048443D" w:rsidRDefault="006D55CE" w:rsidP="001D03EE">
            <w:pPr>
              <w:jc w:val="both"/>
              <w:rPr>
                <w:sz w:val="20"/>
                <w:szCs w:val="20"/>
              </w:rPr>
            </w:pPr>
            <w:r w:rsidRPr="0048443D">
              <w:rPr>
                <w:sz w:val="20"/>
                <w:szCs w:val="20"/>
              </w:rPr>
              <w:t xml:space="preserve">Nº </w:t>
            </w:r>
          </w:p>
        </w:tc>
        <w:tc>
          <w:tcPr>
            <w:tcW w:w="1559" w:type="dxa"/>
            <w:vAlign w:val="center"/>
          </w:tcPr>
          <w:p w:rsidR="006D55CE" w:rsidRPr="0048443D" w:rsidRDefault="00F948F7" w:rsidP="001D03EE">
            <w:pPr>
              <w:jc w:val="both"/>
              <w:rPr>
                <w:sz w:val="20"/>
                <w:szCs w:val="20"/>
              </w:rPr>
            </w:pPr>
            <w:r>
              <w:rPr>
                <w:sz w:val="20"/>
                <w:szCs w:val="20"/>
              </w:rPr>
              <w:t>0</w:t>
            </w:r>
          </w:p>
        </w:tc>
      </w:tr>
      <w:tr w:rsidR="006D55CE" w:rsidRPr="0048443D" w:rsidTr="006D55CE">
        <w:trPr>
          <w:trHeight w:val="247"/>
        </w:trPr>
        <w:tc>
          <w:tcPr>
            <w:tcW w:w="1299" w:type="dxa"/>
            <w:vMerge/>
            <w:tcBorders>
              <w:right w:val="nil"/>
            </w:tcBorders>
            <w:shd w:val="clear" w:color="auto" w:fill="4D7F52"/>
          </w:tcPr>
          <w:p w:rsidR="006D55CE" w:rsidRPr="0048443D" w:rsidRDefault="006D55CE" w:rsidP="001D03EE">
            <w:pPr>
              <w:ind w:left="113" w:right="113"/>
              <w:jc w:val="both"/>
            </w:pPr>
          </w:p>
        </w:tc>
        <w:tc>
          <w:tcPr>
            <w:tcW w:w="4479" w:type="dxa"/>
            <w:vMerge/>
            <w:tcBorders>
              <w:left w:val="nil"/>
            </w:tcBorders>
          </w:tcPr>
          <w:p w:rsidR="006D55CE" w:rsidRPr="0048443D" w:rsidRDefault="006D55CE" w:rsidP="001D03EE">
            <w:pPr>
              <w:jc w:val="both"/>
              <w:rPr>
                <w:sz w:val="20"/>
                <w:szCs w:val="20"/>
              </w:rPr>
            </w:pPr>
          </w:p>
        </w:tc>
        <w:tc>
          <w:tcPr>
            <w:tcW w:w="1843" w:type="dxa"/>
            <w:tcBorders>
              <w:left w:val="nil"/>
            </w:tcBorders>
          </w:tcPr>
          <w:p w:rsidR="006D55CE" w:rsidRPr="0048443D" w:rsidRDefault="006D55CE" w:rsidP="001D03EE">
            <w:pPr>
              <w:jc w:val="both"/>
              <w:rPr>
                <w:sz w:val="20"/>
                <w:szCs w:val="20"/>
              </w:rPr>
            </w:pPr>
            <w:r w:rsidRPr="0048443D">
              <w:rPr>
                <w:sz w:val="20"/>
                <w:szCs w:val="20"/>
              </w:rPr>
              <w:t>Porcentaje</w:t>
            </w:r>
          </w:p>
        </w:tc>
        <w:tc>
          <w:tcPr>
            <w:tcW w:w="1559" w:type="dxa"/>
            <w:vAlign w:val="center"/>
          </w:tcPr>
          <w:p w:rsidR="006D55CE" w:rsidRPr="0048443D" w:rsidRDefault="00F948F7" w:rsidP="001D03EE">
            <w:pPr>
              <w:jc w:val="both"/>
              <w:rPr>
                <w:sz w:val="20"/>
                <w:szCs w:val="20"/>
              </w:rPr>
            </w:pPr>
            <w:r>
              <w:rPr>
                <w:sz w:val="20"/>
                <w:szCs w:val="20"/>
              </w:rPr>
              <w:t>0</w:t>
            </w:r>
          </w:p>
        </w:tc>
      </w:tr>
    </w:tbl>
    <w:p w:rsidR="00256215" w:rsidRDefault="00256215" w:rsidP="001D03EE">
      <w:pPr>
        <w:pStyle w:val="Cuerpodelboletn"/>
      </w:pPr>
    </w:p>
    <w:p w:rsidR="00256215" w:rsidRDefault="00256215" w:rsidP="001D03EE">
      <w:pPr>
        <w:pStyle w:val="Cuerpodelboletn"/>
      </w:pPr>
    </w:p>
    <w:p w:rsidR="001F251B" w:rsidRPr="00256215" w:rsidRDefault="00ED0253" w:rsidP="001D03EE">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6D55CE" w:rsidRPr="00F948F7" w:rsidRDefault="006D55CE" w:rsidP="001D03EE">
      <w:pPr>
        <w:ind w:left="426"/>
        <w:jc w:val="both"/>
      </w:pPr>
      <w:r w:rsidRPr="00F948F7">
        <w:t xml:space="preserve">La gestión del derecho de acceso a la información pública por parte </w:t>
      </w:r>
      <w:r w:rsidR="00F948F7" w:rsidRPr="00F948F7">
        <w:t>de la CNMC</w:t>
      </w:r>
      <w:r w:rsidRPr="00F948F7">
        <w:t xml:space="preserve"> presenta un conjunto de buenas prácticas que podrían ser aplicadas por otras organizaciones públicas. En este sentido cabe destacar:</w:t>
      </w:r>
    </w:p>
    <w:p w:rsidR="006D55CE" w:rsidRDefault="006D55CE" w:rsidP="001D03EE">
      <w:pPr>
        <w:pStyle w:val="Prrafodelista"/>
        <w:numPr>
          <w:ilvl w:val="0"/>
          <w:numId w:val="6"/>
        </w:numPr>
        <w:jc w:val="both"/>
      </w:pPr>
      <w:r w:rsidRPr="00F948F7">
        <w:t xml:space="preserve">La disponibilidad de </w:t>
      </w:r>
      <w:r w:rsidR="007D5F2B">
        <w:t xml:space="preserve">formularios </w:t>
      </w:r>
      <w:r w:rsidRPr="00F948F7">
        <w:t>para la presentación de las solicitudes.</w:t>
      </w:r>
    </w:p>
    <w:p w:rsidR="009E738D" w:rsidRPr="00F948F7" w:rsidRDefault="009E738D" w:rsidP="001D03EE">
      <w:pPr>
        <w:pStyle w:val="Prrafodelista"/>
        <w:numPr>
          <w:ilvl w:val="0"/>
          <w:numId w:val="6"/>
        </w:numPr>
        <w:jc w:val="both"/>
      </w:pPr>
      <w:r>
        <w:t>La disponibilidad de información adicional para la presentación de solicitudes.</w:t>
      </w:r>
    </w:p>
    <w:p w:rsidR="006D55CE" w:rsidRDefault="007D5F2B" w:rsidP="001D03EE">
      <w:pPr>
        <w:pStyle w:val="Prrafodelista"/>
        <w:numPr>
          <w:ilvl w:val="0"/>
          <w:numId w:val="6"/>
        </w:numPr>
        <w:jc w:val="both"/>
      </w:pPr>
      <w:r>
        <w:t>La justificación de las razones por las que no se concede determinada información solicitada</w:t>
      </w:r>
      <w:r w:rsidR="006D55CE" w:rsidRPr="00F948F7">
        <w:t>.</w:t>
      </w:r>
    </w:p>
    <w:p w:rsidR="009E738D" w:rsidRDefault="009E738D" w:rsidP="001D03EE">
      <w:pPr>
        <w:pStyle w:val="Prrafodelista"/>
        <w:numPr>
          <w:ilvl w:val="0"/>
          <w:numId w:val="6"/>
        </w:numPr>
        <w:jc w:val="both"/>
      </w:pPr>
      <w:r>
        <w:t>La publicación de todas las resoluciones relativas a solicitudes de acceso a información pública.</w:t>
      </w:r>
    </w:p>
    <w:p w:rsidR="00256215" w:rsidRDefault="00ED0253" w:rsidP="001D03EE">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rsidP="001D03EE">
      <w:pPr>
        <w:jc w:val="both"/>
      </w:pPr>
    </w:p>
    <w:p w:rsidR="006D55CE" w:rsidRPr="00B70DBD" w:rsidRDefault="006D55CE" w:rsidP="001D03EE">
      <w:pPr>
        <w:pStyle w:val="Prrafodelista"/>
        <w:numPr>
          <w:ilvl w:val="0"/>
          <w:numId w:val="8"/>
        </w:numPr>
        <w:ind w:left="426"/>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6D55CE" w:rsidRDefault="006D55CE" w:rsidP="001D03EE">
      <w:pPr>
        <w:pStyle w:val="Prrafodelista"/>
        <w:ind w:left="426"/>
        <w:jc w:val="both"/>
        <w:rPr>
          <w:rStyle w:val="Ttulo2Car"/>
          <w:color w:val="00642D"/>
          <w:sz w:val="22"/>
          <w:szCs w:val="22"/>
          <w:lang w:bidi="es-ES"/>
        </w:rPr>
      </w:pPr>
    </w:p>
    <w:p w:rsidR="006D55CE" w:rsidRDefault="006D55CE" w:rsidP="001D03EE">
      <w:pPr>
        <w:pStyle w:val="Prrafodelista"/>
        <w:ind w:left="426"/>
        <w:jc w:val="both"/>
        <w:rPr>
          <w:bCs/>
        </w:rPr>
      </w:pPr>
      <w:r w:rsidRPr="008648E8">
        <w:rPr>
          <w:bCs/>
        </w:rPr>
        <w:t xml:space="preserve">La </w:t>
      </w:r>
      <w:r w:rsidR="00E127B5">
        <w:rPr>
          <w:bCs/>
        </w:rPr>
        <w:t>CNMC</w:t>
      </w:r>
      <w:r>
        <w:rPr>
          <w:bCs/>
        </w:rPr>
        <w:t xml:space="preserve"> tramita </w:t>
      </w:r>
      <w:r w:rsidR="00E127B5">
        <w:rPr>
          <w:bCs/>
        </w:rPr>
        <w:t>más</w:t>
      </w:r>
      <w:r>
        <w:rPr>
          <w:bCs/>
        </w:rPr>
        <w:t xml:space="preserve"> </w:t>
      </w:r>
      <w:r w:rsidR="00E127B5">
        <w:rPr>
          <w:bCs/>
        </w:rPr>
        <w:t>del 91</w:t>
      </w:r>
      <w:r>
        <w:rPr>
          <w:bCs/>
        </w:rPr>
        <w:t>% de las solicitudes que recibe</w:t>
      </w:r>
      <w:r w:rsidR="00E127B5">
        <w:rPr>
          <w:bCs/>
        </w:rPr>
        <w:t xml:space="preserve"> y</w:t>
      </w:r>
      <w:r>
        <w:rPr>
          <w:bCs/>
        </w:rPr>
        <w:t xml:space="preserve"> admite un poco más de</w:t>
      </w:r>
      <w:r w:rsidR="00E127B5">
        <w:rPr>
          <w:bCs/>
        </w:rPr>
        <w:t>l 94%</w:t>
      </w:r>
      <w:r>
        <w:rPr>
          <w:bCs/>
        </w:rPr>
        <w:t>. Aunque el número de solicitudes que quedan pendientes de tramitación al finalizar el año es pequeño en términos absolutos, sí que han aumentado respecto de 2019</w:t>
      </w:r>
      <w:r w:rsidR="00E127B5">
        <w:rPr>
          <w:bCs/>
        </w:rPr>
        <w:t>, año en el que no quedó ninguna solicitud pendiente de tramitación</w:t>
      </w:r>
      <w:r>
        <w:rPr>
          <w:bCs/>
        </w:rPr>
        <w:t>.</w:t>
      </w:r>
      <w:r w:rsidR="001D03EE">
        <w:rPr>
          <w:bCs/>
        </w:rPr>
        <w:t xml:space="preserve">    </w:t>
      </w:r>
    </w:p>
    <w:p w:rsidR="006D55CE" w:rsidRDefault="006D55CE" w:rsidP="001D03EE">
      <w:pPr>
        <w:pStyle w:val="Prrafodelista"/>
        <w:ind w:left="426"/>
        <w:jc w:val="both"/>
        <w:rPr>
          <w:bCs/>
        </w:rPr>
      </w:pPr>
    </w:p>
    <w:p w:rsidR="006D55CE" w:rsidRDefault="006D55CE" w:rsidP="001D03EE">
      <w:pPr>
        <w:pStyle w:val="Prrafodelista"/>
        <w:ind w:left="426"/>
        <w:jc w:val="both"/>
        <w:rPr>
          <w:bCs/>
        </w:rPr>
      </w:pPr>
      <w:r>
        <w:rPr>
          <w:bCs/>
        </w:rPr>
        <w:t xml:space="preserve">Por lo que respecta a las resoluciones, emite resolución expresa para la totalidad de las solicitudes admitidas, concediendo el acceso a la información solicitada en </w:t>
      </w:r>
      <w:r w:rsidR="002E5A2D">
        <w:rPr>
          <w:bCs/>
        </w:rPr>
        <w:t>un</w:t>
      </w:r>
      <w:r>
        <w:rPr>
          <w:bCs/>
        </w:rPr>
        <w:t xml:space="preserve"> </w:t>
      </w:r>
      <w:r w:rsidR="002E5A2D">
        <w:rPr>
          <w:bCs/>
        </w:rPr>
        <w:t>57,58</w:t>
      </w:r>
      <w:r>
        <w:rPr>
          <w:bCs/>
        </w:rPr>
        <w:t xml:space="preserve">% de los casos. </w:t>
      </w:r>
      <w:r w:rsidR="002E5A2D">
        <w:rPr>
          <w:bCs/>
        </w:rPr>
        <w:t xml:space="preserve">De estas un 84,21% concede acceso total a la información. </w:t>
      </w:r>
      <w:r>
        <w:rPr>
          <w:bCs/>
        </w:rPr>
        <w:t>Un 4</w:t>
      </w:r>
      <w:r w:rsidR="002E5A2D">
        <w:rPr>
          <w:bCs/>
        </w:rPr>
        <w:t>2,42</w:t>
      </w:r>
      <w:r>
        <w:rPr>
          <w:bCs/>
        </w:rPr>
        <w:t xml:space="preserve">% de las resoluciones deniega la información aplicando los límites del artículo 14.1 de la LTAIBG. Los límites invocados fueron </w:t>
      </w:r>
      <w:r w:rsidRPr="001F7901">
        <w:rPr>
          <w:bCs/>
        </w:rPr>
        <w:t xml:space="preserve">la prevención, investigación y sanción de los ilícitos penales, administrativos o disciplinarios </w:t>
      </w:r>
      <w:r w:rsidR="002E5A2D">
        <w:rPr>
          <w:bCs/>
        </w:rPr>
        <w:t>(letra e), l</w:t>
      </w:r>
      <w:r w:rsidR="002E5A2D" w:rsidRPr="002E5A2D">
        <w:rPr>
          <w:bCs/>
        </w:rPr>
        <w:t xml:space="preserve">as funciones administrativas de vigilancia, inspección y control </w:t>
      </w:r>
      <w:r w:rsidR="002E5A2D">
        <w:rPr>
          <w:bCs/>
        </w:rPr>
        <w:t xml:space="preserve">(letra g), </w:t>
      </w:r>
      <w:r>
        <w:rPr>
          <w:bCs/>
        </w:rPr>
        <w:t>los</w:t>
      </w:r>
      <w:r w:rsidRPr="001F7901">
        <w:rPr>
          <w:bCs/>
        </w:rPr>
        <w:t xml:space="preserve"> intereses económicos y comerciales</w:t>
      </w:r>
      <w:r>
        <w:rPr>
          <w:bCs/>
        </w:rPr>
        <w:t xml:space="preserve"> (letra h)</w:t>
      </w:r>
      <w:r w:rsidR="003D01E6">
        <w:rPr>
          <w:bCs/>
        </w:rPr>
        <w:t>,</w:t>
      </w:r>
      <w:r w:rsidR="003D01E6" w:rsidRPr="003D01E6">
        <w:t xml:space="preserve"> </w:t>
      </w:r>
      <w:r w:rsidR="003D01E6">
        <w:t>e</w:t>
      </w:r>
      <w:r w:rsidR="003D01E6" w:rsidRPr="003D01E6">
        <w:rPr>
          <w:bCs/>
        </w:rPr>
        <w:t>l secreto profesional y la propiedad intelectual e industrial</w:t>
      </w:r>
      <w:r w:rsidR="003D01E6">
        <w:rPr>
          <w:bCs/>
        </w:rPr>
        <w:t xml:space="preserve"> (letra </w:t>
      </w:r>
      <w:r w:rsidR="003D01E6" w:rsidRPr="003D01E6">
        <w:rPr>
          <w:bCs/>
        </w:rPr>
        <w:t>j)</w:t>
      </w:r>
      <w:r w:rsidR="003D01E6">
        <w:rPr>
          <w:bCs/>
        </w:rPr>
        <w:t xml:space="preserve"> y l</w:t>
      </w:r>
      <w:r w:rsidR="003D01E6" w:rsidRPr="003D01E6">
        <w:rPr>
          <w:bCs/>
        </w:rPr>
        <w:t>a garantía de la confidencialidad o el secreto requerido en procesos de toma de decisión</w:t>
      </w:r>
      <w:r w:rsidR="003D01E6">
        <w:rPr>
          <w:bCs/>
        </w:rPr>
        <w:t xml:space="preserve"> (letra k)</w:t>
      </w:r>
      <w:r>
        <w:rPr>
          <w:bCs/>
        </w:rPr>
        <w:t>.</w:t>
      </w:r>
      <w:r w:rsidR="003D01E6">
        <w:rPr>
          <w:bCs/>
        </w:rPr>
        <w:t xml:space="preserve"> En varias resoluciones denegatorias se aplicó </w:t>
      </w:r>
      <w:r w:rsidR="008620ED">
        <w:rPr>
          <w:bCs/>
        </w:rPr>
        <w:t>más</w:t>
      </w:r>
      <w:r w:rsidR="003D01E6">
        <w:rPr>
          <w:bCs/>
        </w:rPr>
        <w:t xml:space="preserve"> de uno de los límites previstos en el artículo 14 de la LTAIBG.</w:t>
      </w:r>
    </w:p>
    <w:p w:rsidR="006D55CE" w:rsidRDefault="006D55CE" w:rsidP="001D03EE">
      <w:pPr>
        <w:pStyle w:val="Prrafodelista"/>
        <w:ind w:left="426"/>
        <w:jc w:val="both"/>
        <w:rPr>
          <w:bCs/>
        </w:rPr>
      </w:pPr>
    </w:p>
    <w:p w:rsidR="006D55CE" w:rsidRDefault="006D55CE" w:rsidP="001D03EE">
      <w:pPr>
        <w:pStyle w:val="Prrafodelista"/>
        <w:ind w:left="426"/>
        <w:jc w:val="both"/>
        <w:rPr>
          <w:bCs/>
        </w:rPr>
      </w:pPr>
      <w:r>
        <w:rPr>
          <w:bCs/>
        </w:rPr>
        <w:t xml:space="preserve">Una cuestión adicional es que </w:t>
      </w:r>
      <w:r w:rsidR="003D01E6">
        <w:rPr>
          <w:bCs/>
        </w:rPr>
        <w:t>la CNMC</w:t>
      </w:r>
      <w:r>
        <w:rPr>
          <w:bCs/>
        </w:rPr>
        <w:t xml:space="preserve"> publica las resoluciones que deniegan el acceso a la información en aplicación</w:t>
      </w:r>
      <w:r w:rsidR="003D01E6">
        <w:rPr>
          <w:bCs/>
        </w:rPr>
        <w:t xml:space="preserve"> de los límites del artículo 14, dando cumplimiento a lo dispuesto en el artículo 14.3.</w:t>
      </w:r>
    </w:p>
    <w:p w:rsidR="006D55CE" w:rsidRDefault="006D55CE" w:rsidP="001D03EE">
      <w:pPr>
        <w:pStyle w:val="Prrafodelista"/>
        <w:ind w:left="426"/>
        <w:jc w:val="both"/>
        <w:rPr>
          <w:bCs/>
        </w:rPr>
      </w:pPr>
      <w:r>
        <w:rPr>
          <w:bCs/>
        </w:rPr>
        <w:t xml:space="preserve"> </w:t>
      </w:r>
    </w:p>
    <w:p w:rsidR="006D55CE" w:rsidRPr="001018C9" w:rsidRDefault="006D55CE" w:rsidP="001D03EE">
      <w:pPr>
        <w:pStyle w:val="Prrafodelista"/>
        <w:numPr>
          <w:ilvl w:val="0"/>
          <w:numId w:val="8"/>
        </w:numPr>
        <w:ind w:left="426"/>
        <w:jc w:val="both"/>
      </w:pPr>
      <w:r w:rsidRPr="00B70DBD">
        <w:rPr>
          <w:rStyle w:val="Ttulo2Car"/>
          <w:color w:val="00642D"/>
          <w:sz w:val="22"/>
          <w:szCs w:val="22"/>
          <w:lang w:bidi="es-ES"/>
        </w:rPr>
        <w:t>Respecto de la localización de la información y facilidad de acceso al ejercicio del derecho.</w:t>
      </w:r>
    </w:p>
    <w:p w:rsidR="006D55CE" w:rsidRDefault="006D55CE" w:rsidP="001D03EE">
      <w:pPr>
        <w:pStyle w:val="Prrafodelista"/>
        <w:ind w:left="426"/>
        <w:jc w:val="both"/>
      </w:pPr>
    </w:p>
    <w:p w:rsidR="003D01E6" w:rsidRDefault="006D55CE" w:rsidP="001D03EE">
      <w:pPr>
        <w:pStyle w:val="Prrafodelista"/>
        <w:ind w:left="426"/>
        <w:jc w:val="both"/>
      </w:pPr>
      <w:r>
        <w:t xml:space="preserve">Como se ha indicado, la </w:t>
      </w:r>
      <w:r w:rsidR="003D01E6">
        <w:t>CNMC</w:t>
      </w:r>
      <w:r>
        <w:t xml:space="preserve"> </w:t>
      </w:r>
      <w:r w:rsidR="003D01E6">
        <w:t>dispone de un espacio en su Portal de Transparencia que ofrece información sobre la posibilidad de que los ciudadanos efectúen solicitudes de acceso a información pública dirigidas a la institución. También proporciona un enlace a su sede electrónica</w:t>
      </w:r>
      <w:r w:rsidR="00324C58">
        <w:t xml:space="preserve"> – único medio indicado expresamente para la presentación de solicitudes -</w:t>
      </w:r>
      <w:r w:rsidR="003D01E6">
        <w:t xml:space="preserve"> en </w:t>
      </w:r>
      <w:r w:rsidR="00324C58">
        <w:t>la</w:t>
      </w:r>
      <w:r w:rsidR="003D01E6">
        <w:t xml:space="preserve"> que se ofrecen dos formularios para </w:t>
      </w:r>
      <w:r w:rsidR="00BE1242">
        <w:t>su</w:t>
      </w:r>
      <w:r w:rsidR="003D01E6">
        <w:t xml:space="preserve"> presentación</w:t>
      </w:r>
      <w:r w:rsidR="008C17BA">
        <w:t xml:space="preserve">. </w:t>
      </w:r>
    </w:p>
    <w:p w:rsidR="00E12111" w:rsidRDefault="00E12111" w:rsidP="001D03EE">
      <w:pPr>
        <w:pStyle w:val="Prrafodelista"/>
        <w:ind w:left="426"/>
        <w:jc w:val="both"/>
      </w:pPr>
    </w:p>
    <w:p w:rsidR="003D01E6" w:rsidRDefault="008C17BA" w:rsidP="001D03EE">
      <w:pPr>
        <w:pStyle w:val="Prrafodelista"/>
        <w:pBdr>
          <w:top w:val="single" w:sz="4" w:space="1" w:color="008000"/>
          <w:left w:val="single" w:sz="4" w:space="4" w:color="008000"/>
          <w:bottom w:val="single" w:sz="4" w:space="1" w:color="008000"/>
          <w:right w:val="single" w:sz="4" w:space="4" w:color="008000"/>
        </w:pBdr>
        <w:ind w:left="426"/>
        <w:jc w:val="both"/>
      </w:pPr>
      <w:r>
        <w:t xml:space="preserve">La CNMC sólo ofrece </w:t>
      </w:r>
      <w:r w:rsidR="00824A2C">
        <w:t xml:space="preserve">información sobre </w:t>
      </w:r>
      <w:r>
        <w:t>un medio de presentación de solicitudes de acceso a la información en su Portal de Transparencia, la sede electrónica</w:t>
      </w:r>
      <w:r w:rsidR="00324C58">
        <w:t>,</w:t>
      </w:r>
      <w:r>
        <w:t xml:space="preserve"> lo que a su vez, obliga a que los solicitantes dispongan de medios electrónicos de identificación.</w:t>
      </w:r>
    </w:p>
    <w:p w:rsidR="008C17BA" w:rsidRDefault="008C17BA" w:rsidP="001D03EE">
      <w:pPr>
        <w:pStyle w:val="Prrafodelista"/>
        <w:pBdr>
          <w:top w:val="single" w:sz="4" w:space="1" w:color="008000"/>
          <w:left w:val="single" w:sz="4" w:space="4" w:color="008000"/>
          <w:bottom w:val="single" w:sz="4" w:space="1" w:color="008000"/>
          <w:right w:val="single" w:sz="4" w:space="4" w:color="008000"/>
        </w:pBdr>
        <w:ind w:left="426"/>
        <w:jc w:val="both"/>
      </w:pPr>
    </w:p>
    <w:p w:rsidR="008C17BA" w:rsidRDefault="008C17BA" w:rsidP="001D03EE">
      <w:pPr>
        <w:pStyle w:val="Prrafodelista"/>
        <w:pBdr>
          <w:top w:val="single" w:sz="4" w:space="1" w:color="008000"/>
          <w:left w:val="single" w:sz="4" w:space="4" w:color="008000"/>
          <w:bottom w:val="single" w:sz="4" w:space="1" w:color="008000"/>
          <w:right w:val="single" w:sz="4" w:space="4" w:color="008000"/>
        </w:pBdr>
        <w:ind w:left="426"/>
        <w:jc w:val="both"/>
      </w:pPr>
      <w:r>
        <w:t xml:space="preserve">Obviamente, esto no excluye que un ciudadano pueda dirigirse a la CNMC por los medios establecidos en la Ley 39/2015, pero esto implica un plus de conocimiento del funcionamiento de la </w:t>
      </w:r>
      <w:r w:rsidR="00824A2C">
        <w:t>A</w:t>
      </w:r>
      <w:r>
        <w:t>dministración que no tiene por</w:t>
      </w:r>
      <w:r w:rsidR="001D03EE">
        <w:t xml:space="preserve">    </w:t>
      </w:r>
      <w:r>
        <w:t>qué estar al alcance de la ciudadanía.</w:t>
      </w:r>
    </w:p>
    <w:p w:rsidR="00154BBE" w:rsidRDefault="00154BBE" w:rsidP="001D03EE">
      <w:pPr>
        <w:pStyle w:val="Prrafodelista"/>
        <w:pBdr>
          <w:top w:val="single" w:sz="4" w:space="1" w:color="008000"/>
          <w:left w:val="single" w:sz="4" w:space="4" w:color="008000"/>
          <w:bottom w:val="single" w:sz="4" w:space="1" w:color="008000"/>
          <w:right w:val="single" w:sz="4" w:space="4" w:color="008000"/>
        </w:pBdr>
        <w:ind w:left="426"/>
        <w:jc w:val="both"/>
      </w:pPr>
    </w:p>
    <w:p w:rsidR="003D01E6" w:rsidRDefault="00154BBE" w:rsidP="001D03EE">
      <w:pPr>
        <w:pStyle w:val="Prrafodelista"/>
        <w:pBdr>
          <w:top w:val="single" w:sz="4" w:space="1" w:color="008000"/>
          <w:left w:val="single" w:sz="4" w:space="4" w:color="008000"/>
          <w:bottom w:val="single" w:sz="4" w:space="1" w:color="008000"/>
          <w:right w:val="single" w:sz="4" w:space="4" w:color="008000"/>
        </w:pBdr>
        <w:ind w:left="426"/>
        <w:jc w:val="both"/>
      </w:pPr>
      <w:r>
        <w:lastRenderedPageBreak/>
        <w:t xml:space="preserve">Por esta razón, este Consejo recomienda que </w:t>
      </w:r>
      <w:r w:rsidR="008C17BA">
        <w:t xml:space="preserve">en el Portal de Transparencia de la CNMC se indiquen expresamente los medios </w:t>
      </w:r>
      <w:r w:rsidR="00324C58">
        <w:t>a través de los cuales la ciudadanía puede relacionarse con la administración</w:t>
      </w:r>
      <w:r w:rsidR="00BE1242">
        <w:t xml:space="preserve"> y en consecuencia, pres</w:t>
      </w:r>
      <w:r w:rsidR="00824A2C">
        <w:t>entar</w:t>
      </w:r>
      <w:r w:rsidR="00BE1242">
        <w:t xml:space="preserve"> solicitudes de información al amparo de la Ley 19/2013</w:t>
      </w:r>
      <w:r>
        <w:t>.</w:t>
      </w:r>
    </w:p>
    <w:p w:rsidR="006D55CE" w:rsidRDefault="006D55CE" w:rsidP="001D03EE">
      <w:pPr>
        <w:pStyle w:val="Prrafodelista"/>
        <w:ind w:left="426"/>
        <w:jc w:val="both"/>
      </w:pPr>
    </w:p>
    <w:p w:rsidR="00E12111" w:rsidRDefault="00E12111" w:rsidP="001D03EE">
      <w:pPr>
        <w:pStyle w:val="Prrafodelista"/>
        <w:ind w:left="426"/>
        <w:jc w:val="both"/>
      </w:pPr>
      <w:r>
        <w:t>Por otra parte, la presentación de la solicitud debe efectuarse adjuntándola en formato comprimido (zip), lo que implica una complicación adicional a la hora de solicitar información.</w:t>
      </w:r>
    </w:p>
    <w:p w:rsidR="00E12111" w:rsidRDefault="00E12111" w:rsidP="001D03EE">
      <w:pPr>
        <w:pStyle w:val="Prrafodelista"/>
        <w:ind w:left="426"/>
        <w:jc w:val="both"/>
      </w:pPr>
    </w:p>
    <w:p w:rsidR="00E12111" w:rsidRDefault="00E12111" w:rsidP="001D03EE">
      <w:pPr>
        <w:pStyle w:val="Prrafodelista"/>
        <w:ind w:left="426"/>
        <w:jc w:val="both"/>
      </w:pPr>
      <w:r>
        <w:t>Ambas cuestiones no facilitan el ejercicio del derecho de acceso a la información pública de la CNMC.</w:t>
      </w:r>
    </w:p>
    <w:p w:rsidR="00E12111" w:rsidRDefault="00E12111" w:rsidP="001D03EE">
      <w:pPr>
        <w:pStyle w:val="Prrafodelista"/>
        <w:ind w:left="426"/>
        <w:jc w:val="both"/>
      </w:pPr>
    </w:p>
    <w:p w:rsidR="00E12111" w:rsidRDefault="00E12111" w:rsidP="001D03EE">
      <w:pPr>
        <w:pStyle w:val="Prrafodelista"/>
        <w:pBdr>
          <w:top w:val="single" w:sz="4" w:space="1" w:color="008000"/>
          <w:left w:val="single" w:sz="4" w:space="4" w:color="008000"/>
          <w:bottom w:val="single" w:sz="4" w:space="1" w:color="008000"/>
          <w:right w:val="single" w:sz="4" w:space="4" w:color="008000"/>
        </w:pBdr>
        <w:ind w:left="426"/>
        <w:jc w:val="both"/>
      </w:pPr>
      <w:r>
        <w:t xml:space="preserve">Como en el caso anterior, el hecho de que la única manera de presentar la solicitud sea adjuntándola en </w:t>
      </w:r>
      <w:r w:rsidR="00AD23BF">
        <w:t>formato</w:t>
      </w:r>
      <w:r>
        <w:t xml:space="preserve"> comprimido, exige unas habilidades en el manejo de herramientas informáticas que no tienen por qué estar al alcance de todos los ciudadanos. Incluso proporcionando, como hace la CNMC un enlace para la descarga de la herramienta, es evidente que esta cuestión constituye una barrera adicional a la disponibilidad de medios electrónicos de identificación para el ejercicio del derecho de acceso.</w:t>
      </w:r>
    </w:p>
    <w:p w:rsidR="00E12111" w:rsidRDefault="00E12111" w:rsidP="001D03EE">
      <w:pPr>
        <w:pStyle w:val="Prrafodelista"/>
        <w:pBdr>
          <w:top w:val="single" w:sz="4" w:space="1" w:color="008000"/>
          <w:left w:val="single" w:sz="4" w:space="4" w:color="008000"/>
          <w:bottom w:val="single" w:sz="4" w:space="1" w:color="008000"/>
          <w:right w:val="single" w:sz="4" w:space="4" w:color="008000"/>
        </w:pBdr>
        <w:ind w:left="426"/>
        <w:jc w:val="both"/>
      </w:pPr>
    </w:p>
    <w:p w:rsidR="00E12111" w:rsidRDefault="00E12111" w:rsidP="001D03EE">
      <w:pPr>
        <w:pStyle w:val="Prrafodelista"/>
        <w:pBdr>
          <w:top w:val="single" w:sz="4" w:space="1" w:color="008000"/>
          <w:left w:val="single" w:sz="4" w:space="4" w:color="008000"/>
          <w:bottom w:val="single" w:sz="4" w:space="1" w:color="008000"/>
          <w:right w:val="single" w:sz="4" w:space="4" w:color="008000"/>
        </w:pBdr>
        <w:ind w:left="426"/>
        <w:jc w:val="both"/>
      </w:pPr>
      <w:r>
        <w:t>Por esta razón, este Consejo recomienda que la CNMC revise los requisitos establecidos para la presentación de las solicitudes con la finalidad de facilitar que cualquier ciudadano</w:t>
      </w:r>
      <w:r w:rsidR="00AD23BF">
        <w:t>,</w:t>
      </w:r>
      <w:r>
        <w:t xml:space="preserve"> independientemente de la</w:t>
      </w:r>
      <w:r w:rsidR="00AD23BF">
        <w:t>s</w:t>
      </w:r>
      <w:r>
        <w:t xml:space="preserve"> habilidades</w:t>
      </w:r>
      <w:r w:rsidR="00AD23BF">
        <w:t xml:space="preserve"> y conocimientos tecnológicos que posea, pueda presentar una solicitud de información</w:t>
      </w:r>
      <w:r>
        <w:t>.</w:t>
      </w:r>
    </w:p>
    <w:p w:rsidR="00BE1242" w:rsidRDefault="00BE1242" w:rsidP="001D03EE">
      <w:pPr>
        <w:pStyle w:val="Prrafodelista"/>
        <w:ind w:left="426"/>
        <w:jc w:val="both"/>
      </w:pPr>
    </w:p>
    <w:p w:rsidR="00BE1242" w:rsidRDefault="00BE1242" w:rsidP="001D03EE">
      <w:pPr>
        <w:pStyle w:val="Prrafodelista"/>
        <w:ind w:left="426"/>
        <w:jc w:val="both"/>
      </w:pPr>
    </w:p>
    <w:p w:rsidR="006D55CE" w:rsidRPr="00B70DBD" w:rsidRDefault="006D55CE" w:rsidP="001D03EE">
      <w:pPr>
        <w:pStyle w:val="Prrafodelista"/>
        <w:numPr>
          <w:ilvl w:val="0"/>
          <w:numId w:val="7"/>
        </w:numPr>
        <w:ind w:left="426"/>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6D55CE" w:rsidRDefault="006D55CE" w:rsidP="001D03EE">
      <w:pPr>
        <w:pStyle w:val="Prrafodelista"/>
        <w:ind w:left="426"/>
        <w:jc w:val="both"/>
      </w:pPr>
    </w:p>
    <w:p w:rsidR="006D55CE" w:rsidRDefault="006D55CE" w:rsidP="001D03EE">
      <w:pPr>
        <w:pStyle w:val="Prrafodelista"/>
        <w:ind w:left="426"/>
        <w:jc w:val="both"/>
      </w:pPr>
      <w:r>
        <w:t xml:space="preserve">La gestión de la solicitud de acceso presentada se ha ajustado al procedimiento establecido por la LTAIBG, con la única excepción de que no se solicitó subsanación a pesar de que no se había definido el periodo de tiempo para el que se solicitaba la información. </w:t>
      </w:r>
    </w:p>
    <w:p w:rsidR="006D55CE" w:rsidRDefault="006D55CE" w:rsidP="001D03EE">
      <w:pPr>
        <w:pStyle w:val="Prrafodelista"/>
        <w:ind w:left="426"/>
        <w:jc w:val="both"/>
      </w:pPr>
    </w:p>
    <w:p w:rsidR="006D55CE" w:rsidRDefault="006D55CE" w:rsidP="001D03EE">
      <w:pPr>
        <w:pStyle w:val="Prrafodelista"/>
        <w:ind w:left="426"/>
        <w:jc w:val="both"/>
      </w:pPr>
      <w:r>
        <w:t xml:space="preserve">La resolución emitida por la </w:t>
      </w:r>
      <w:r w:rsidR="00154BBE">
        <w:t>CNMC</w:t>
      </w:r>
      <w:r>
        <w:t xml:space="preserve"> está motivada y correctamente estructurada, es clara y comprensible, incluye pie de recurso y además proporciona explicaciones adicionales </w:t>
      </w:r>
      <w:r w:rsidR="00154BBE">
        <w:t xml:space="preserve">de las </w:t>
      </w:r>
      <w:r>
        <w:t>razones por las que no se proporciona determinada información.</w:t>
      </w:r>
    </w:p>
    <w:p w:rsidR="00154BBE" w:rsidRDefault="00154BBE" w:rsidP="001D03EE">
      <w:pPr>
        <w:pStyle w:val="Prrafodelista"/>
        <w:ind w:left="426"/>
        <w:jc w:val="both"/>
      </w:pPr>
    </w:p>
    <w:p w:rsidR="00154BBE" w:rsidRDefault="00154BBE" w:rsidP="001D03EE">
      <w:pPr>
        <w:pStyle w:val="Prrafodelista"/>
        <w:ind w:left="426"/>
        <w:jc w:val="both"/>
      </w:pPr>
      <w:r>
        <w:t>Sin embargo la resolución se emite fuera del plazo de un mes natural establecido por la LTAIBG.</w:t>
      </w:r>
    </w:p>
    <w:p w:rsidR="006D55CE" w:rsidRDefault="006D55CE" w:rsidP="001D03EE">
      <w:pPr>
        <w:pStyle w:val="Prrafodelista"/>
        <w:ind w:left="426"/>
        <w:jc w:val="both"/>
      </w:pPr>
    </w:p>
    <w:p w:rsidR="006D55CE" w:rsidRDefault="006D55CE" w:rsidP="001D03EE">
      <w:pPr>
        <w:pStyle w:val="Prrafodelista"/>
        <w:tabs>
          <w:tab w:val="left" w:pos="426"/>
        </w:tabs>
        <w:ind w:left="426"/>
        <w:jc w:val="both"/>
      </w:pPr>
      <w:r>
        <w:t>La notificación se efectúa por el medio solicitado y la información se proporciona en el momento de la notificación y en el formato indicado por el solicitante.</w:t>
      </w:r>
    </w:p>
    <w:p w:rsidR="00154BBE" w:rsidRDefault="00154BBE" w:rsidP="001D03EE">
      <w:pPr>
        <w:pStyle w:val="Prrafodelista"/>
        <w:tabs>
          <w:tab w:val="left" w:pos="426"/>
        </w:tabs>
        <w:ind w:left="426"/>
        <w:jc w:val="both"/>
      </w:pPr>
    </w:p>
    <w:p w:rsidR="00B40246" w:rsidRDefault="00154BBE" w:rsidP="001D03EE">
      <w:pPr>
        <w:pStyle w:val="Prrafodelista"/>
        <w:pBdr>
          <w:top w:val="single" w:sz="4" w:space="0" w:color="007434"/>
          <w:left w:val="single" w:sz="4" w:space="4" w:color="007434"/>
          <w:bottom w:val="single" w:sz="4" w:space="1" w:color="007434"/>
          <w:right w:val="single" w:sz="4" w:space="4" w:color="007434"/>
        </w:pBdr>
        <w:tabs>
          <w:tab w:val="left" w:pos="426"/>
        </w:tabs>
        <w:ind w:left="426"/>
        <w:jc w:val="both"/>
      </w:pPr>
      <w:r>
        <w:t>Este Consejo recomienda que las resoluciones se ajusten a los plazos establecidos por la LTAIBG. En este caso la resolución supera en 5 días el plazo máximo legal.</w:t>
      </w:r>
    </w:p>
    <w:sectPr w:rsidR="00B40246" w:rsidSect="001D03EE">
      <w:headerReference w:type="even" r:id="rId13"/>
      <w:headerReference w:type="default" r:id="rId14"/>
      <w:footerReference w:type="even" r:id="rId15"/>
      <w:footerReference w:type="default" r:id="rId16"/>
      <w:headerReference w:type="first" r:id="rId17"/>
      <w:footerReference w:type="first" r:id="rId18"/>
      <w:pgSz w:w="11906" w:h="16838"/>
      <w:pgMar w:top="1418" w:right="720" w:bottom="184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8D" w:rsidRDefault="009E738D" w:rsidP="00932008">
      <w:pPr>
        <w:spacing w:after="0" w:line="240" w:lineRule="auto"/>
      </w:pPr>
      <w:r>
        <w:separator/>
      </w:r>
    </w:p>
  </w:endnote>
  <w:endnote w:type="continuationSeparator" w:id="0">
    <w:p w:rsidR="009E738D" w:rsidRDefault="009E738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8D" w:rsidRDefault="009E73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82567"/>
      <w:docPartObj>
        <w:docPartGallery w:val="Page Numbers (Bottom of Page)"/>
        <w:docPartUnique/>
      </w:docPartObj>
    </w:sdtPr>
    <w:sdtEndPr>
      <w:rPr>
        <w:sz w:val="20"/>
        <w:szCs w:val="20"/>
      </w:rPr>
    </w:sdtEndPr>
    <w:sdtContent>
      <w:p w:rsidR="009E738D" w:rsidRDefault="009E738D" w:rsidP="00A12BFD">
        <w:pPr>
          <w:pStyle w:val="Piedepgina"/>
          <w:jc w:val="right"/>
        </w:pPr>
      </w:p>
      <w:p w:rsidR="009E738D" w:rsidRPr="00A12BFD" w:rsidRDefault="009E738D" w:rsidP="00A12BFD">
        <w:pPr>
          <w:pStyle w:val="Piedepgina"/>
          <w:jc w:val="right"/>
          <w:rPr>
            <w:sz w:val="20"/>
            <w:szCs w:val="20"/>
          </w:rPr>
        </w:pPr>
        <w:r>
          <w:t xml:space="preserve"> </w:t>
        </w:r>
        <w:r w:rsidRPr="00A12BFD">
          <w:rPr>
            <w:sz w:val="20"/>
            <w:szCs w:val="20"/>
          </w:rPr>
          <w:fldChar w:fldCharType="begin"/>
        </w:r>
        <w:r w:rsidRPr="00A12BFD">
          <w:rPr>
            <w:sz w:val="20"/>
            <w:szCs w:val="20"/>
          </w:rPr>
          <w:instrText>PAGE   \* MERGEFORMAT</w:instrText>
        </w:r>
        <w:r w:rsidRPr="00A12BFD">
          <w:rPr>
            <w:sz w:val="20"/>
            <w:szCs w:val="20"/>
          </w:rPr>
          <w:fldChar w:fldCharType="separate"/>
        </w:r>
        <w:r w:rsidR="00ED0253">
          <w:rPr>
            <w:noProof/>
            <w:sz w:val="20"/>
            <w:szCs w:val="20"/>
          </w:rPr>
          <w:t>6</w:t>
        </w:r>
        <w:r w:rsidRPr="00A12BFD">
          <w:rPr>
            <w:sz w:val="20"/>
            <w:szCs w:val="20"/>
          </w:rPr>
          <w:fldChar w:fldCharType="end"/>
        </w:r>
      </w:p>
    </w:sdtContent>
  </w:sdt>
  <w:p w:rsidR="009E738D" w:rsidRDefault="009E738D" w:rsidP="007A249F">
    <w:pPr>
      <w:pStyle w:val="Piedepgina"/>
      <w:tabs>
        <w:tab w:val="clear" w:pos="4252"/>
        <w:tab w:val="clear" w:pos="8504"/>
        <w:tab w:val="left" w:pos="939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8D" w:rsidRDefault="009E73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8D" w:rsidRDefault="009E738D" w:rsidP="00932008">
      <w:pPr>
        <w:spacing w:after="0" w:line="240" w:lineRule="auto"/>
      </w:pPr>
      <w:r>
        <w:separator/>
      </w:r>
    </w:p>
  </w:footnote>
  <w:footnote w:type="continuationSeparator" w:id="0">
    <w:p w:rsidR="009E738D" w:rsidRDefault="009E738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8D" w:rsidRDefault="009E73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8D" w:rsidRDefault="009E738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38D" w:rsidRDefault="009E73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4">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68623E"/>
    <w:multiLevelType w:val="hybridMultilevel"/>
    <w:tmpl w:val="3A66DCAE"/>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5B15"/>
    <w:rsid w:val="000965B3"/>
    <w:rsid w:val="000C6CFF"/>
    <w:rsid w:val="00102733"/>
    <w:rsid w:val="0012783F"/>
    <w:rsid w:val="00154BBE"/>
    <w:rsid w:val="001561A4"/>
    <w:rsid w:val="00176A94"/>
    <w:rsid w:val="00194000"/>
    <w:rsid w:val="001D03EE"/>
    <w:rsid w:val="001E2C41"/>
    <w:rsid w:val="001F251B"/>
    <w:rsid w:val="002019B0"/>
    <w:rsid w:val="00241D7A"/>
    <w:rsid w:val="0025513D"/>
    <w:rsid w:val="00256215"/>
    <w:rsid w:val="002A154B"/>
    <w:rsid w:val="002D5FC6"/>
    <w:rsid w:val="002E4AE1"/>
    <w:rsid w:val="002E5A2D"/>
    <w:rsid w:val="0032100B"/>
    <w:rsid w:val="00324C58"/>
    <w:rsid w:val="00334115"/>
    <w:rsid w:val="003645B4"/>
    <w:rsid w:val="00384F4D"/>
    <w:rsid w:val="003A5A5E"/>
    <w:rsid w:val="003D01E6"/>
    <w:rsid w:val="003F271E"/>
    <w:rsid w:val="003F572A"/>
    <w:rsid w:val="00425778"/>
    <w:rsid w:val="004A123A"/>
    <w:rsid w:val="004D6E73"/>
    <w:rsid w:val="004F2655"/>
    <w:rsid w:val="005446A8"/>
    <w:rsid w:val="00561402"/>
    <w:rsid w:val="0057532F"/>
    <w:rsid w:val="00575E2F"/>
    <w:rsid w:val="00595AAF"/>
    <w:rsid w:val="005B1F0E"/>
    <w:rsid w:val="005B3C15"/>
    <w:rsid w:val="005C44DA"/>
    <w:rsid w:val="00641533"/>
    <w:rsid w:val="00670B2B"/>
    <w:rsid w:val="006A2766"/>
    <w:rsid w:val="006D55CE"/>
    <w:rsid w:val="00706E04"/>
    <w:rsid w:val="00707CFE"/>
    <w:rsid w:val="00710031"/>
    <w:rsid w:val="00727BA2"/>
    <w:rsid w:val="00743756"/>
    <w:rsid w:val="00770AD9"/>
    <w:rsid w:val="007A249F"/>
    <w:rsid w:val="007B0F99"/>
    <w:rsid w:val="007D5F2B"/>
    <w:rsid w:val="007D6B40"/>
    <w:rsid w:val="00815659"/>
    <w:rsid w:val="008203ED"/>
    <w:rsid w:val="008207D9"/>
    <w:rsid w:val="00824A2C"/>
    <w:rsid w:val="00844FA9"/>
    <w:rsid w:val="00855A8D"/>
    <w:rsid w:val="008620ED"/>
    <w:rsid w:val="008C17BA"/>
    <w:rsid w:val="008C1E1E"/>
    <w:rsid w:val="00923092"/>
    <w:rsid w:val="009239D9"/>
    <w:rsid w:val="00932008"/>
    <w:rsid w:val="0093218C"/>
    <w:rsid w:val="009609E9"/>
    <w:rsid w:val="0098217C"/>
    <w:rsid w:val="00983919"/>
    <w:rsid w:val="009E306E"/>
    <w:rsid w:val="009E738D"/>
    <w:rsid w:val="00A12BFD"/>
    <w:rsid w:val="00A40544"/>
    <w:rsid w:val="00A41DD5"/>
    <w:rsid w:val="00A76CE1"/>
    <w:rsid w:val="00AC5306"/>
    <w:rsid w:val="00AD23BF"/>
    <w:rsid w:val="00B17C09"/>
    <w:rsid w:val="00B40246"/>
    <w:rsid w:val="00B54918"/>
    <w:rsid w:val="00B5583D"/>
    <w:rsid w:val="00B812AB"/>
    <w:rsid w:val="00B841AE"/>
    <w:rsid w:val="00B9651B"/>
    <w:rsid w:val="00BB6799"/>
    <w:rsid w:val="00BC243E"/>
    <w:rsid w:val="00BD4582"/>
    <w:rsid w:val="00BE1242"/>
    <w:rsid w:val="00BE6A46"/>
    <w:rsid w:val="00C33A23"/>
    <w:rsid w:val="00C34BB5"/>
    <w:rsid w:val="00C4479B"/>
    <w:rsid w:val="00C536A0"/>
    <w:rsid w:val="00C5744D"/>
    <w:rsid w:val="00C62569"/>
    <w:rsid w:val="00CB5511"/>
    <w:rsid w:val="00CC2049"/>
    <w:rsid w:val="00CC587B"/>
    <w:rsid w:val="00CD1227"/>
    <w:rsid w:val="00D31A2D"/>
    <w:rsid w:val="00D445A7"/>
    <w:rsid w:val="00D52E43"/>
    <w:rsid w:val="00D96F84"/>
    <w:rsid w:val="00DD3E02"/>
    <w:rsid w:val="00DE4AA9"/>
    <w:rsid w:val="00DF0939"/>
    <w:rsid w:val="00DF63E7"/>
    <w:rsid w:val="00E12111"/>
    <w:rsid w:val="00E127B5"/>
    <w:rsid w:val="00E3088D"/>
    <w:rsid w:val="00E34195"/>
    <w:rsid w:val="00E43D0F"/>
    <w:rsid w:val="00E47613"/>
    <w:rsid w:val="00E569FD"/>
    <w:rsid w:val="00ED0253"/>
    <w:rsid w:val="00EE5BDF"/>
    <w:rsid w:val="00F14DA4"/>
    <w:rsid w:val="00F47C3B"/>
    <w:rsid w:val="00F71D7D"/>
    <w:rsid w:val="00F7263F"/>
    <w:rsid w:val="00F948F7"/>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75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customStyle="1" w:styleId="Ttulo1Car">
    <w:name w:val="Título 1 Car"/>
    <w:basedOn w:val="Fuentedeprrafopredeter"/>
    <w:link w:val="Ttulo1"/>
    <w:uiPriority w:val="9"/>
    <w:rsid w:val="00575E2F"/>
    <w:rPr>
      <w:rFonts w:asciiTheme="majorHAnsi" w:eastAsiaTheme="majorEastAsia" w:hAnsiTheme="majorHAnsi" w:cstheme="majorBidi"/>
      <w:b/>
      <w:bCs/>
      <w:color w:val="365F91" w:themeColor="accent1" w:themeShade="BF"/>
      <w:sz w:val="28"/>
      <w:szCs w:val="28"/>
    </w:rPr>
  </w:style>
  <w:style w:type="paragraph" w:styleId="Epgrafe">
    <w:name w:val="caption"/>
    <w:basedOn w:val="Normal"/>
    <w:next w:val="Normal"/>
    <w:uiPriority w:val="35"/>
    <w:unhideWhenUsed/>
    <w:qFormat/>
    <w:rsid w:val="00E43D0F"/>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1D03EE"/>
    <w:rPr>
      <w:sz w:val="16"/>
      <w:szCs w:val="16"/>
    </w:rPr>
  </w:style>
  <w:style w:type="paragraph" w:styleId="Textocomentario">
    <w:name w:val="annotation text"/>
    <w:basedOn w:val="Normal"/>
    <w:link w:val="TextocomentarioCar"/>
    <w:uiPriority w:val="99"/>
    <w:semiHidden/>
    <w:unhideWhenUsed/>
    <w:rsid w:val="001D03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3E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D03EE"/>
    <w:rPr>
      <w:b/>
      <w:bCs/>
    </w:rPr>
  </w:style>
  <w:style w:type="character" w:customStyle="1" w:styleId="AsuntodelcomentarioCar">
    <w:name w:val="Asunto del comentario Car"/>
    <w:basedOn w:val="TextocomentarioCar"/>
    <w:link w:val="Asuntodelcomentario"/>
    <w:uiPriority w:val="99"/>
    <w:semiHidden/>
    <w:rsid w:val="001D03EE"/>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575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customStyle="1" w:styleId="Ttulo1Car">
    <w:name w:val="Título 1 Car"/>
    <w:basedOn w:val="Fuentedeprrafopredeter"/>
    <w:link w:val="Ttulo1"/>
    <w:uiPriority w:val="9"/>
    <w:rsid w:val="00575E2F"/>
    <w:rPr>
      <w:rFonts w:asciiTheme="majorHAnsi" w:eastAsiaTheme="majorEastAsia" w:hAnsiTheme="majorHAnsi" w:cstheme="majorBidi"/>
      <w:b/>
      <w:bCs/>
      <w:color w:val="365F91" w:themeColor="accent1" w:themeShade="BF"/>
      <w:sz w:val="28"/>
      <w:szCs w:val="28"/>
    </w:rPr>
  </w:style>
  <w:style w:type="paragraph" w:styleId="Epgrafe">
    <w:name w:val="caption"/>
    <w:basedOn w:val="Normal"/>
    <w:next w:val="Normal"/>
    <w:uiPriority w:val="35"/>
    <w:unhideWhenUsed/>
    <w:qFormat/>
    <w:rsid w:val="00E43D0F"/>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1D03EE"/>
    <w:rPr>
      <w:sz w:val="16"/>
      <w:szCs w:val="16"/>
    </w:rPr>
  </w:style>
  <w:style w:type="paragraph" w:styleId="Textocomentario">
    <w:name w:val="annotation text"/>
    <w:basedOn w:val="Normal"/>
    <w:link w:val="TextocomentarioCar"/>
    <w:uiPriority w:val="99"/>
    <w:semiHidden/>
    <w:unhideWhenUsed/>
    <w:rsid w:val="001D03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3E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D03EE"/>
    <w:rPr>
      <w:b/>
      <w:bCs/>
    </w:rPr>
  </w:style>
  <w:style w:type="character" w:customStyle="1" w:styleId="AsuntodelcomentarioCar">
    <w:name w:val="Asunto del comentario Car"/>
    <w:basedOn w:val="TextocomentarioCar"/>
    <w:link w:val="Asuntodelcomentario"/>
    <w:uiPriority w:val="99"/>
    <w:semiHidden/>
    <w:rsid w:val="001D03E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rgbClr val="007434"/>
            </a:solidFill>
          </c:spPr>
          <c:invertIfNegative val="0"/>
          <c:dLbls>
            <c:showLegendKey val="0"/>
            <c:showVal val="1"/>
            <c:showCatName val="0"/>
            <c:showSerName val="0"/>
            <c:showPercent val="0"/>
            <c:showBubbleSize val="0"/>
            <c:showLeaderLines val="0"/>
          </c:dLbls>
          <c:cat>
            <c:strRef>
              <c:f>Hoja1!$A$2:$A$15</c:f>
              <c:strCache>
                <c:ptCount val="14"/>
                <c:pt idx="0">
                  <c:v> aplicación de varios límites</c:v>
                </c:pt>
                <c:pt idx="1">
                  <c:v> seguridad nacional</c:v>
                </c:pt>
                <c:pt idx="2">
                  <c:v> defensa.</c:v>
                </c:pt>
                <c:pt idx="3">
                  <c:v> relaciones exteriores.</c:v>
                </c:pt>
                <c:pt idx="4">
                  <c:v> seguridad pública.</c:v>
                </c:pt>
                <c:pt idx="5">
                  <c:v> prevención, investigación y sanción de los ilícitos penales, administrativos o disciplinarios</c:v>
                </c:pt>
                <c:pt idx="6">
                  <c:v> igualdad de las partes en los procesos judiciales y la tutela judicial efectiva</c:v>
                </c:pt>
                <c:pt idx="7">
                  <c:v> funciones administrativas de vigilancia, inspección y control.</c:v>
                </c:pt>
                <c:pt idx="8">
                  <c:v> intereses económicos y comerciales.</c:v>
                </c:pt>
                <c:pt idx="9">
                  <c:v> política económica y monetaria</c:v>
                </c:pt>
                <c:pt idx="10">
                  <c:v> secreto profesional y la propiedad intelectual e industrial.</c:v>
                </c:pt>
                <c:pt idx="11">
                  <c:v> garantía de la confidencialidad o el secreto requerido en procesos de toma de decisión</c:v>
                </c:pt>
                <c:pt idx="12">
                  <c:v> protección del medio ambiente.</c:v>
                </c:pt>
                <c:pt idx="13">
                  <c:v> protección de datos de carácter personal.</c:v>
                </c:pt>
              </c:strCache>
            </c:strRef>
          </c:cat>
          <c:val>
            <c:numRef>
              <c:f>Hoja1!$C$2:$C$15</c:f>
              <c:numCache>
                <c:formatCode>0.0%</c:formatCode>
                <c:ptCount val="14"/>
                <c:pt idx="1">
                  <c:v>0</c:v>
                </c:pt>
                <c:pt idx="2">
                  <c:v>0</c:v>
                </c:pt>
                <c:pt idx="3">
                  <c:v>0</c:v>
                </c:pt>
                <c:pt idx="4">
                  <c:v>0</c:v>
                </c:pt>
                <c:pt idx="5">
                  <c:v>0.17142857142857143</c:v>
                </c:pt>
                <c:pt idx="6">
                  <c:v>0</c:v>
                </c:pt>
                <c:pt idx="7">
                  <c:v>0.22857142857142856</c:v>
                </c:pt>
                <c:pt idx="8">
                  <c:v>0.34285714285714286</c:v>
                </c:pt>
                <c:pt idx="9">
                  <c:v>0</c:v>
                </c:pt>
                <c:pt idx="10">
                  <c:v>2.8571428571428571E-2</c:v>
                </c:pt>
                <c:pt idx="11">
                  <c:v>0.22857142857142856</c:v>
                </c:pt>
                <c:pt idx="12">
                  <c:v>0</c:v>
                </c:pt>
                <c:pt idx="13">
                  <c:v>0</c:v>
                </c:pt>
              </c:numCache>
            </c:numRef>
          </c:val>
        </c:ser>
        <c:dLbls>
          <c:showLegendKey val="0"/>
          <c:showVal val="0"/>
          <c:showCatName val="0"/>
          <c:showSerName val="0"/>
          <c:showPercent val="0"/>
          <c:showBubbleSize val="0"/>
        </c:dLbls>
        <c:gapWidth val="150"/>
        <c:axId val="221973120"/>
        <c:axId val="252499456"/>
      </c:barChart>
      <c:catAx>
        <c:axId val="221973120"/>
        <c:scaling>
          <c:orientation val="minMax"/>
        </c:scaling>
        <c:delete val="0"/>
        <c:axPos val="b"/>
        <c:majorTickMark val="out"/>
        <c:minorTickMark val="none"/>
        <c:tickLblPos val="nextTo"/>
        <c:txPr>
          <a:bodyPr/>
          <a:lstStyle/>
          <a:p>
            <a:pPr>
              <a:defRPr sz="700"/>
            </a:pPr>
            <a:endParaRPr lang="es-ES"/>
          </a:p>
        </c:txPr>
        <c:crossAx val="252499456"/>
        <c:crosses val="autoZero"/>
        <c:auto val="1"/>
        <c:lblAlgn val="ctr"/>
        <c:lblOffset val="1000"/>
        <c:noMultiLvlLbl val="0"/>
      </c:catAx>
      <c:valAx>
        <c:axId val="252499456"/>
        <c:scaling>
          <c:orientation val="minMax"/>
          <c:max val="1"/>
        </c:scaling>
        <c:delete val="0"/>
        <c:axPos val="l"/>
        <c:numFmt formatCode="0%" sourceLinked="0"/>
        <c:majorTickMark val="out"/>
        <c:minorTickMark val="none"/>
        <c:tickLblPos val="nextTo"/>
        <c:crossAx val="221973120"/>
        <c:crosses val="autoZero"/>
        <c:crossBetween val="between"/>
        <c:majorUnit val="0.2"/>
      </c:valAx>
    </c:plotArea>
    <c:plotVisOnly val="1"/>
    <c:dispBlanksAs val="gap"/>
    <c:showDLblsOverMax val="0"/>
  </c:chart>
  <c:txPr>
    <a:bodyPr/>
    <a:lstStyle/>
    <a:p>
      <a:pPr>
        <a:defRPr sz="800">
          <a:latin typeface="Century Gothic" pitchFamily="34" charset="0"/>
        </a:defRPr>
      </a:pPr>
      <a:endParaRPr lang="es-E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366ED"/>
    <w:rsid w:val="003D088C"/>
    <w:rsid w:val="004861A7"/>
    <w:rsid w:val="004E6F3E"/>
    <w:rsid w:val="005E3BD2"/>
    <w:rsid w:val="007B7FF2"/>
    <w:rsid w:val="009E78A6"/>
    <w:rsid w:val="00B83E7B"/>
    <w:rsid w:val="00C26568"/>
    <w:rsid w:val="00D35513"/>
    <w:rsid w:val="00E147F2"/>
    <w:rsid w:val="00E16D50"/>
    <w:rsid w:val="00E5085E"/>
    <w:rsid w:val="00E614E6"/>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2834B6A-86EF-4B92-B2F5-A971EC36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737</TotalTime>
  <Pages>8</Pages>
  <Words>2321</Words>
  <Characters>12767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33</cp:revision>
  <cp:lastPrinted>2007-10-26T10:03:00Z</cp:lastPrinted>
  <dcterms:created xsi:type="dcterms:W3CDTF">2021-02-11T13:12:00Z</dcterms:created>
  <dcterms:modified xsi:type="dcterms:W3CDTF">2021-05-06T12:49:00Z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