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705E94" w:rsidRPr="00006957" w:rsidRDefault="00705E9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:rsidR="00705E94" w:rsidRPr="00006957" w:rsidRDefault="00705E9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5E94" w:rsidRDefault="00705E9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705E94" w:rsidRDefault="00705E9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705E94" w:rsidRPr="00CB5511" w:rsidTr="00705E94">
        <w:tc>
          <w:tcPr>
            <w:tcW w:w="3652" w:type="dxa"/>
          </w:tcPr>
          <w:p w:rsidR="00705E94" w:rsidRPr="00E34195" w:rsidRDefault="00705E94" w:rsidP="00705E94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705E94" w:rsidRPr="00CB5511" w:rsidRDefault="00705E94" w:rsidP="00705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Comisión Nacional del Mercado de Valores (CNMV)</w:t>
            </w:r>
          </w:p>
        </w:tc>
      </w:tr>
      <w:tr w:rsidR="00705E94" w:rsidRPr="00CB5511" w:rsidTr="00705E94">
        <w:tc>
          <w:tcPr>
            <w:tcW w:w="3652" w:type="dxa"/>
          </w:tcPr>
          <w:p w:rsidR="00705E94" w:rsidRPr="00E34195" w:rsidRDefault="00705E94" w:rsidP="00705E94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705E94" w:rsidRPr="00CB5511" w:rsidRDefault="00705E94" w:rsidP="00705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11/02/2021</w:t>
            </w:r>
          </w:p>
        </w:tc>
      </w:tr>
    </w:tbl>
    <w:p w:rsidR="00705E94" w:rsidRDefault="00705E94"/>
    <w:p w:rsidR="00561402" w:rsidRPr="0012783F" w:rsidRDefault="00FE1888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AC5A8D" w:rsidRPr="00705E94" w:rsidRDefault="00AC5A8D" w:rsidP="001F6DBD">
      <w:pPr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705E94">
        <w:rPr>
          <w:rStyle w:val="Ttulo2Car"/>
          <w:b w:val="0"/>
          <w:color w:val="auto"/>
          <w:sz w:val="22"/>
          <w:szCs w:val="22"/>
          <w:lang w:bidi="es-ES"/>
        </w:rPr>
        <w:t xml:space="preserve">La </w:t>
      </w:r>
      <w:r w:rsidR="00705E94" w:rsidRPr="00705E94">
        <w:t>Comisión Nacional del Mercado de Valores</w:t>
      </w:r>
      <w:r w:rsidR="00705E94" w:rsidRPr="00705E94">
        <w:rPr>
          <w:rStyle w:val="Ttulo2Car"/>
          <w:b w:val="0"/>
          <w:color w:val="auto"/>
          <w:sz w:val="22"/>
          <w:szCs w:val="22"/>
          <w:lang w:bidi="es-ES"/>
        </w:rPr>
        <w:t xml:space="preserve"> (</w:t>
      </w:r>
      <w:r w:rsidRPr="00705E94">
        <w:rPr>
          <w:rStyle w:val="Ttulo2Car"/>
          <w:b w:val="0"/>
          <w:color w:val="auto"/>
          <w:sz w:val="22"/>
          <w:szCs w:val="22"/>
          <w:lang w:bidi="es-ES"/>
        </w:rPr>
        <w:t>CNMV</w:t>
      </w:r>
      <w:r w:rsidR="00705E94" w:rsidRPr="00705E94">
        <w:rPr>
          <w:rStyle w:val="Ttulo2Car"/>
          <w:b w:val="0"/>
          <w:color w:val="auto"/>
          <w:sz w:val="22"/>
          <w:szCs w:val="22"/>
          <w:lang w:bidi="es-ES"/>
        </w:rPr>
        <w:t>)</w:t>
      </w:r>
      <w:r w:rsidRPr="00705E94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0C3945" w:rsidRPr="00705E94">
        <w:rPr>
          <w:rStyle w:val="Ttulo2Car"/>
          <w:b w:val="0"/>
          <w:color w:val="auto"/>
          <w:sz w:val="22"/>
          <w:szCs w:val="22"/>
          <w:lang w:bidi="es-ES"/>
        </w:rPr>
        <w:t>gestiona las solicitudes</w:t>
      </w:r>
      <w:r w:rsidRPr="00705E94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0C3945" w:rsidRPr="00705E94">
        <w:rPr>
          <w:rStyle w:val="Ttulo2Car"/>
          <w:b w:val="0"/>
          <w:color w:val="auto"/>
          <w:sz w:val="22"/>
          <w:szCs w:val="22"/>
          <w:lang w:bidi="es-ES"/>
        </w:rPr>
        <w:t>de acceso a información pública de la entidad a través de</w:t>
      </w:r>
      <w:r w:rsidRPr="00705E94">
        <w:rPr>
          <w:rStyle w:val="Ttulo2Car"/>
          <w:b w:val="0"/>
          <w:color w:val="auto"/>
          <w:sz w:val="22"/>
          <w:szCs w:val="22"/>
          <w:lang w:bidi="es-ES"/>
        </w:rPr>
        <w:t xml:space="preserve"> una Unidad de Transparencia dependiente de la Secretaría General. Cuenta con tres personas que compaginan la gestión de las solicitudes de acceso con otras actividades. </w:t>
      </w:r>
    </w:p>
    <w:p w:rsidR="0012783F" w:rsidRDefault="0012783F" w:rsidP="00700449">
      <w:pPr>
        <w:pStyle w:val="Cuerpodelboletn"/>
        <w:spacing w:before="120" w:after="120" w:line="312" w:lineRule="auto"/>
        <w:rPr>
          <w:rStyle w:val="Ttulo2Car"/>
          <w:color w:val="00642D"/>
          <w:lang w:bidi="es-ES"/>
        </w:rPr>
      </w:pPr>
    </w:p>
    <w:p w:rsidR="00B812AB" w:rsidRPr="0012783F" w:rsidRDefault="00FE1888" w:rsidP="00B812AB">
      <w:pPr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705E94">
            <w:rPr>
              <w:b/>
              <w:color w:val="00642D"/>
              <w:sz w:val="30"/>
              <w:szCs w:val="30"/>
            </w:rPr>
            <w:t xml:space="preserve">      </w:t>
          </w:r>
        </w:sdtContent>
      </w:sdt>
    </w:p>
    <w:p w:rsidR="000C3945" w:rsidRDefault="000C3945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B812AB" w:rsidRDefault="00A41DD5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II.1</w:t>
      </w:r>
      <w:r w:rsidR="00B812AB" w:rsidRPr="00B812AB">
        <w:rPr>
          <w:rStyle w:val="Ttulo2Car"/>
          <w:color w:val="00642D"/>
          <w:lang w:bidi="es-ES"/>
        </w:rPr>
        <w:t>Solicitudes gestionadas en 2020</w:t>
      </w:r>
    </w:p>
    <w:p w:rsidR="00DD3E02" w:rsidRDefault="00AC5A8D" w:rsidP="007F6237">
      <w:pPr>
        <w:ind w:left="426"/>
        <w:jc w:val="both"/>
      </w:pPr>
      <w:r>
        <w:t>En 2020, la CNMV recibió 19 solicitudes de información pública</w:t>
      </w:r>
      <w:r w:rsidR="00705E94">
        <w:t>,</w:t>
      </w:r>
      <w:r>
        <w:t xml:space="preserve"> no había quedado pendiente ninguna solicitud presentada en 2019. </w:t>
      </w:r>
    </w:p>
    <w:p w:rsidR="000C3945" w:rsidRDefault="000C3945" w:rsidP="00F726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7263F" w:rsidRDefault="00F7263F" w:rsidP="00F726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 xml:space="preserve">2 Indicadores de tramitación </w:t>
      </w:r>
      <w:r w:rsidRPr="00B812AB">
        <w:rPr>
          <w:rStyle w:val="Ttulo2Car"/>
          <w:color w:val="00642D"/>
          <w:lang w:bidi="es-ES"/>
        </w:rPr>
        <w:t>en 2020</w:t>
      </w:r>
    </w:p>
    <w:p w:rsidR="00AC5A8D" w:rsidRDefault="00AC5A8D" w:rsidP="007F6237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647481">
        <w:rPr>
          <w:rStyle w:val="Ttulo2Car"/>
          <w:b w:val="0"/>
          <w:color w:val="auto"/>
          <w:sz w:val="22"/>
          <w:szCs w:val="22"/>
          <w:lang w:bidi="es-ES"/>
        </w:rPr>
        <w:t>En 2020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, en promedio, cada una de las personas asignadas a la UT de la CNMV asumió y tramitó 6,33 solicitudes. </w:t>
      </w:r>
    </w:p>
    <w:p w:rsidR="00AC5A8D" w:rsidRDefault="00AC5A8D" w:rsidP="007F6237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En 2020 se tramitó el 100% de las solicitudes. De ellas se admitió un 94,74%. La única solicitud inadmitida</w:t>
      </w:r>
      <w:r w:rsidR="00AB701C">
        <w:rPr>
          <w:rStyle w:val="Ttulo2Car"/>
          <w:b w:val="0"/>
          <w:color w:val="auto"/>
          <w:sz w:val="22"/>
          <w:szCs w:val="22"/>
          <w:lang w:bidi="es-ES"/>
        </w:rPr>
        <w:t xml:space="preserve"> tuvo como causa de inadmisión la necesidad de reelaboración previa para proporcionar la información.</w:t>
      </w:r>
    </w:p>
    <w:p w:rsidR="00AB701C" w:rsidRPr="00647481" w:rsidRDefault="00AB701C" w:rsidP="00AB701C">
      <w:pPr>
        <w:pStyle w:val="Epgrafe"/>
        <w:keepNext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647481">
        <w:rPr>
          <w:rStyle w:val="Ttulo2Car"/>
          <w:b/>
          <w:color w:val="00642D"/>
          <w:sz w:val="22"/>
          <w:szCs w:val="22"/>
          <w:lang w:bidi="es-ES"/>
        </w:rPr>
        <w:lastRenderedPageBreak/>
        <w:t xml:space="preserve">Tabla </w: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instrText xml:space="preserve"> SEQ Tabla \* ARABIC </w:instrTex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>
        <w:rPr>
          <w:rStyle w:val="Ttulo2Car"/>
          <w:b/>
          <w:noProof/>
          <w:color w:val="00642D"/>
          <w:sz w:val="22"/>
          <w:szCs w:val="22"/>
          <w:lang w:bidi="es-ES"/>
        </w:rPr>
        <w:t>1</w: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t>: Indicadores de tramitación 2020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299"/>
        <w:gridCol w:w="6322"/>
        <w:gridCol w:w="1559"/>
      </w:tblGrid>
      <w:tr w:rsidR="00377F7B" w:rsidRPr="00706E04" w:rsidTr="00AB701C">
        <w:tc>
          <w:tcPr>
            <w:tcW w:w="1299" w:type="dxa"/>
            <w:vMerge w:val="restart"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377F7B" w:rsidRPr="005B3C15" w:rsidRDefault="00377F7B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5B3C15">
              <w:rPr>
                <w:b/>
                <w:color w:val="FFFFFF" w:themeColor="background1"/>
              </w:rPr>
              <w:t>Indicadores de tramitación</w:t>
            </w:r>
          </w:p>
        </w:tc>
        <w:tc>
          <w:tcPr>
            <w:tcW w:w="6322" w:type="dxa"/>
            <w:tcBorders>
              <w:left w:val="nil"/>
            </w:tcBorders>
          </w:tcPr>
          <w:p w:rsidR="00377F7B" w:rsidRPr="001B0115" w:rsidRDefault="00377F7B" w:rsidP="00055B15">
            <w:pPr>
              <w:rPr>
                <w:sz w:val="20"/>
                <w:szCs w:val="20"/>
              </w:rPr>
            </w:pPr>
            <w:r w:rsidRPr="001B0115">
              <w:rPr>
                <w:sz w:val="20"/>
                <w:szCs w:val="20"/>
              </w:rPr>
              <w:t>Solicitudes/persona UIT</w:t>
            </w:r>
          </w:p>
        </w:tc>
        <w:tc>
          <w:tcPr>
            <w:tcW w:w="1559" w:type="dxa"/>
          </w:tcPr>
          <w:p w:rsidR="00377F7B" w:rsidRPr="00377F7B" w:rsidRDefault="00377F7B" w:rsidP="00377F7B">
            <w:pPr>
              <w:jc w:val="center"/>
              <w:rPr>
                <w:sz w:val="20"/>
                <w:szCs w:val="20"/>
              </w:rPr>
            </w:pPr>
            <w:r w:rsidRPr="00377F7B">
              <w:rPr>
                <w:sz w:val="20"/>
                <w:szCs w:val="20"/>
              </w:rPr>
              <w:t>6,33</w:t>
            </w:r>
          </w:p>
        </w:tc>
      </w:tr>
      <w:tr w:rsidR="00377F7B" w:rsidRPr="00706E04" w:rsidTr="00AB701C">
        <w:tc>
          <w:tcPr>
            <w:tcW w:w="1299" w:type="dxa"/>
            <w:vMerge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377F7B" w:rsidRPr="005B3C15" w:rsidRDefault="00377F7B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377F7B" w:rsidRPr="001B0115" w:rsidRDefault="00377F7B" w:rsidP="00055B15">
            <w:pPr>
              <w:rPr>
                <w:sz w:val="20"/>
                <w:szCs w:val="20"/>
              </w:rPr>
            </w:pPr>
            <w:r w:rsidRPr="001B0115">
              <w:rPr>
                <w:sz w:val="20"/>
                <w:szCs w:val="20"/>
              </w:rPr>
              <w:t>Solicitudes tramitadas/persona UIT</w:t>
            </w:r>
          </w:p>
        </w:tc>
        <w:tc>
          <w:tcPr>
            <w:tcW w:w="1559" w:type="dxa"/>
          </w:tcPr>
          <w:p w:rsidR="00377F7B" w:rsidRPr="00377F7B" w:rsidRDefault="00377F7B" w:rsidP="00377F7B">
            <w:pPr>
              <w:jc w:val="center"/>
              <w:rPr>
                <w:sz w:val="20"/>
                <w:szCs w:val="20"/>
              </w:rPr>
            </w:pPr>
            <w:r w:rsidRPr="00377F7B">
              <w:rPr>
                <w:sz w:val="20"/>
                <w:szCs w:val="20"/>
              </w:rPr>
              <w:t>6,33</w:t>
            </w:r>
          </w:p>
        </w:tc>
      </w:tr>
      <w:tr w:rsidR="00377F7B" w:rsidRPr="00706E04" w:rsidTr="00AB701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377F7B" w:rsidRPr="005B3C15" w:rsidRDefault="00377F7B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377F7B" w:rsidRPr="001B0115" w:rsidRDefault="00377F7B" w:rsidP="00983919">
            <w:pPr>
              <w:rPr>
                <w:sz w:val="20"/>
                <w:szCs w:val="20"/>
              </w:rPr>
            </w:pPr>
            <w:r w:rsidRPr="001B0115">
              <w:rPr>
                <w:sz w:val="20"/>
                <w:szCs w:val="20"/>
              </w:rPr>
              <w:t>Tasa de Tramitación (tramitadas/(pendientes a 31/12/2019 + recibidas 2020))</w:t>
            </w:r>
          </w:p>
        </w:tc>
        <w:tc>
          <w:tcPr>
            <w:tcW w:w="1559" w:type="dxa"/>
          </w:tcPr>
          <w:p w:rsidR="00377F7B" w:rsidRPr="00377F7B" w:rsidRDefault="00377F7B" w:rsidP="00377F7B">
            <w:pPr>
              <w:jc w:val="center"/>
              <w:rPr>
                <w:sz w:val="20"/>
                <w:szCs w:val="20"/>
              </w:rPr>
            </w:pPr>
            <w:r w:rsidRPr="00377F7B">
              <w:rPr>
                <w:sz w:val="20"/>
                <w:szCs w:val="20"/>
              </w:rPr>
              <w:t>100,00</w:t>
            </w:r>
          </w:p>
        </w:tc>
      </w:tr>
      <w:tr w:rsidR="00377F7B" w:rsidRPr="00706E04" w:rsidTr="00AB701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377F7B" w:rsidRPr="005B3C15" w:rsidRDefault="00377F7B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377F7B" w:rsidRPr="001B0115" w:rsidRDefault="00377F7B" w:rsidP="00983919">
            <w:pPr>
              <w:rPr>
                <w:sz w:val="20"/>
                <w:szCs w:val="20"/>
              </w:rPr>
            </w:pPr>
            <w:r w:rsidRPr="001B0115">
              <w:rPr>
                <w:sz w:val="20"/>
                <w:szCs w:val="20"/>
              </w:rPr>
              <w:t>Tasa de pendencia (pendientes a 31/12/2020 / tramitadas)</w:t>
            </w:r>
          </w:p>
        </w:tc>
        <w:tc>
          <w:tcPr>
            <w:tcW w:w="1559" w:type="dxa"/>
          </w:tcPr>
          <w:p w:rsidR="00377F7B" w:rsidRPr="00377F7B" w:rsidRDefault="00377F7B" w:rsidP="00377F7B">
            <w:pPr>
              <w:jc w:val="center"/>
              <w:rPr>
                <w:sz w:val="20"/>
                <w:szCs w:val="20"/>
              </w:rPr>
            </w:pPr>
            <w:r w:rsidRPr="00377F7B">
              <w:rPr>
                <w:sz w:val="20"/>
                <w:szCs w:val="20"/>
              </w:rPr>
              <w:t>,00</w:t>
            </w:r>
          </w:p>
        </w:tc>
      </w:tr>
      <w:tr w:rsidR="00377F7B" w:rsidRPr="00706E04" w:rsidTr="00AB701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377F7B" w:rsidRPr="005B3C15" w:rsidRDefault="00377F7B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377F7B" w:rsidRPr="001B0115" w:rsidRDefault="00377F7B" w:rsidP="001F251B">
            <w:pPr>
              <w:rPr>
                <w:sz w:val="20"/>
                <w:szCs w:val="20"/>
              </w:rPr>
            </w:pPr>
            <w:r w:rsidRPr="001B0115">
              <w:rPr>
                <w:sz w:val="20"/>
                <w:szCs w:val="20"/>
              </w:rPr>
              <w:t>Tasa de resolución en la tramitación (tramitadas/entradas en 2020)</w:t>
            </w:r>
          </w:p>
        </w:tc>
        <w:tc>
          <w:tcPr>
            <w:tcW w:w="1559" w:type="dxa"/>
          </w:tcPr>
          <w:p w:rsidR="00377F7B" w:rsidRPr="00377F7B" w:rsidRDefault="00377F7B" w:rsidP="00377F7B">
            <w:pPr>
              <w:jc w:val="center"/>
              <w:rPr>
                <w:sz w:val="20"/>
                <w:szCs w:val="20"/>
              </w:rPr>
            </w:pPr>
            <w:r w:rsidRPr="00377F7B">
              <w:rPr>
                <w:sz w:val="20"/>
                <w:szCs w:val="20"/>
              </w:rPr>
              <w:t>100,00</w:t>
            </w:r>
          </w:p>
        </w:tc>
      </w:tr>
      <w:tr w:rsidR="00377F7B" w:rsidRPr="00706E04" w:rsidTr="00AB701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377F7B" w:rsidRPr="005B3C15" w:rsidRDefault="00377F7B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377F7B" w:rsidRPr="001B0115" w:rsidRDefault="00377F7B" w:rsidP="00983919">
            <w:pPr>
              <w:rPr>
                <w:sz w:val="20"/>
                <w:szCs w:val="20"/>
              </w:rPr>
            </w:pPr>
            <w:r w:rsidRPr="001B0115">
              <w:rPr>
                <w:sz w:val="20"/>
                <w:szCs w:val="20"/>
              </w:rPr>
              <w:t>Tasa de congestión ((pendientes a 31/12/2019 + entradas 2020) / tramitadas</w:t>
            </w:r>
          </w:p>
        </w:tc>
        <w:tc>
          <w:tcPr>
            <w:tcW w:w="1559" w:type="dxa"/>
          </w:tcPr>
          <w:p w:rsidR="00377F7B" w:rsidRPr="00377F7B" w:rsidRDefault="00377F7B" w:rsidP="00377F7B">
            <w:pPr>
              <w:jc w:val="center"/>
              <w:rPr>
                <w:sz w:val="20"/>
                <w:szCs w:val="20"/>
              </w:rPr>
            </w:pPr>
            <w:r w:rsidRPr="00377F7B">
              <w:rPr>
                <w:sz w:val="20"/>
                <w:szCs w:val="20"/>
              </w:rPr>
              <w:t>100,00</w:t>
            </w:r>
          </w:p>
        </w:tc>
      </w:tr>
      <w:tr w:rsidR="00377F7B" w:rsidRPr="00706E04" w:rsidTr="00AB701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377F7B" w:rsidRPr="005B3C15" w:rsidRDefault="00377F7B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377F7B" w:rsidRPr="001B0115" w:rsidRDefault="00377F7B" w:rsidP="005B3C15">
            <w:pPr>
              <w:rPr>
                <w:sz w:val="20"/>
                <w:szCs w:val="20"/>
              </w:rPr>
            </w:pPr>
            <w:r w:rsidRPr="001B0115">
              <w:rPr>
                <w:sz w:val="20"/>
                <w:szCs w:val="20"/>
              </w:rPr>
              <w:t xml:space="preserve">Tiempo medio estimado para la tramitación de las solicitudes pendientes ((pendientes a 31/12/2020 / tramitadas)*365 </w:t>
            </w:r>
          </w:p>
        </w:tc>
        <w:tc>
          <w:tcPr>
            <w:tcW w:w="1559" w:type="dxa"/>
          </w:tcPr>
          <w:p w:rsidR="00377F7B" w:rsidRPr="00377F7B" w:rsidRDefault="00377F7B" w:rsidP="00377F7B">
            <w:pPr>
              <w:jc w:val="center"/>
              <w:rPr>
                <w:sz w:val="20"/>
                <w:szCs w:val="20"/>
              </w:rPr>
            </w:pPr>
            <w:r w:rsidRPr="00377F7B">
              <w:rPr>
                <w:sz w:val="20"/>
                <w:szCs w:val="20"/>
              </w:rPr>
              <w:t>,00</w:t>
            </w:r>
          </w:p>
        </w:tc>
      </w:tr>
      <w:tr w:rsidR="00377F7B" w:rsidRPr="00706E04" w:rsidTr="00AB701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377F7B" w:rsidRPr="005B3C15" w:rsidRDefault="00377F7B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377F7B" w:rsidRPr="001B0115" w:rsidRDefault="00377F7B" w:rsidP="00983919">
            <w:pPr>
              <w:rPr>
                <w:sz w:val="20"/>
                <w:szCs w:val="20"/>
              </w:rPr>
            </w:pPr>
            <w:r w:rsidRPr="001B0115">
              <w:rPr>
                <w:sz w:val="20"/>
                <w:szCs w:val="20"/>
              </w:rPr>
              <w:t>Tasa de admisión (admitidas/tramitadas)</w:t>
            </w:r>
          </w:p>
        </w:tc>
        <w:tc>
          <w:tcPr>
            <w:tcW w:w="1559" w:type="dxa"/>
          </w:tcPr>
          <w:p w:rsidR="00377F7B" w:rsidRPr="00377F7B" w:rsidRDefault="00377F7B" w:rsidP="00377F7B">
            <w:pPr>
              <w:jc w:val="center"/>
              <w:rPr>
                <w:sz w:val="20"/>
                <w:szCs w:val="20"/>
              </w:rPr>
            </w:pPr>
            <w:r w:rsidRPr="00377F7B">
              <w:rPr>
                <w:sz w:val="20"/>
                <w:szCs w:val="20"/>
              </w:rPr>
              <w:t>94,74</w:t>
            </w:r>
          </w:p>
        </w:tc>
      </w:tr>
      <w:tr w:rsidR="00377F7B" w:rsidRPr="00706E04" w:rsidTr="00AB701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377F7B" w:rsidRPr="005B3C15" w:rsidRDefault="00377F7B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377F7B" w:rsidRPr="001B0115" w:rsidRDefault="00377F7B" w:rsidP="00983919">
            <w:pPr>
              <w:rPr>
                <w:sz w:val="20"/>
                <w:szCs w:val="20"/>
              </w:rPr>
            </w:pPr>
            <w:r w:rsidRPr="001B0115">
              <w:rPr>
                <w:sz w:val="20"/>
                <w:szCs w:val="20"/>
              </w:rPr>
              <w:t>Tasa de inadmisión (inadmitidas/ tramitadas)</w:t>
            </w:r>
          </w:p>
        </w:tc>
        <w:tc>
          <w:tcPr>
            <w:tcW w:w="1559" w:type="dxa"/>
          </w:tcPr>
          <w:p w:rsidR="00377F7B" w:rsidRPr="00377F7B" w:rsidRDefault="00377F7B" w:rsidP="00377F7B">
            <w:pPr>
              <w:jc w:val="center"/>
              <w:rPr>
                <w:sz w:val="20"/>
                <w:szCs w:val="20"/>
              </w:rPr>
            </w:pPr>
            <w:r w:rsidRPr="00377F7B">
              <w:rPr>
                <w:sz w:val="20"/>
                <w:szCs w:val="20"/>
              </w:rPr>
              <w:t>5,26</w:t>
            </w:r>
          </w:p>
        </w:tc>
      </w:tr>
      <w:tr w:rsidR="00377F7B" w:rsidRPr="00706E04" w:rsidTr="00AB701C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377F7B" w:rsidRPr="005B3C15" w:rsidRDefault="00377F7B" w:rsidP="00983919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377F7B" w:rsidRPr="001B0115" w:rsidRDefault="00377F7B" w:rsidP="00983919">
            <w:pPr>
              <w:rPr>
                <w:sz w:val="20"/>
                <w:szCs w:val="20"/>
              </w:rPr>
            </w:pPr>
            <w:r w:rsidRPr="001B0115">
              <w:rPr>
                <w:sz w:val="20"/>
                <w:szCs w:val="20"/>
              </w:rPr>
              <w:t>Tasa de archivo (archivadas/tramitadas)</w:t>
            </w:r>
          </w:p>
        </w:tc>
        <w:tc>
          <w:tcPr>
            <w:tcW w:w="1559" w:type="dxa"/>
          </w:tcPr>
          <w:p w:rsidR="00377F7B" w:rsidRPr="00377F7B" w:rsidRDefault="00377F7B" w:rsidP="00377F7B">
            <w:pPr>
              <w:jc w:val="center"/>
              <w:rPr>
                <w:sz w:val="20"/>
                <w:szCs w:val="20"/>
              </w:rPr>
            </w:pPr>
            <w:r w:rsidRPr="00377F7B">
              <w:rPr>
                <w:sz w:val="20"/>
                <w:szCs w:val="20"/>
              </w:rPr>
              <w:t>,00</w:t>
            </w:r>
          </w:p>
        </w:tc>
      </w:tr>
    </w:tbl>
    <w:p w:rsidR="00B812AB" w:rsidRDefault="00B812AB" w:rsidP="00B812AB"/>
    <w:p w:rsidR="00055B15" w:rsidRDefault="00055B15" w:rsidP="00055B15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 w:rsidR="00C34BB5">
        <w:rPr>
          <w:rStyle w:val="Ttulo2Car"/>
          <w:color w:val="00642D"/>
          <w:lang w:bidi="es-ES"/>
        </w:rPr>
        <w:t>3</w:t>
      </w:r>
      <w:r>
        <w:rPr>
          <w:rStyle w:val="Ttulo2Car"/>
          <w:color w:val="00642D"/>
          <w:lang w:bidi="es-ES"/>
        </w:rPr>
        <w:t xml:space="preserve"> </w:t>
      </w:r>
      <w:r w:rsidRPr="00055B15">
        <w:rPr>
          <w:rStyle w:val="Ttulo2Car"/>
          <w:color w:val="00642D"/>
          <w:lang w:bidi="es-ES"/>
        </w:rPr>
        <w:t>Resoluciones emitidas en 2020</w:t>
      </w:r>
    </w:p>
    <w:p w:rsidR="00AB701C" w:rsidRPr="009079EA" w:rsidRDefault="00AB701C" w:rsidP="007F6237">
      <w:pPr>
        <w:ind w:left="426"/>
        <w:jc w:val="both"/>
        <w:rPr>
          <w:rStyle w:val="Ttulo2Car"/>
          <w:color w:val="00642D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Respecto de las resoluciones emitidas en 2020, 11 concedieron la información</w:t>
      </w:r>
      <w:r w:rsidR="00705E94">
        <w:rPr>
          <w:rStyle w:val="Ttulo2Car"/>
          <w:b w:val="0"/>
          <w:color w:val="auto"/>
          <w:sz w:val="22"/>
          <w:szCs w:val="22"/>
          <w:lang w:bidi="es-ES"/>
        </w:rPr>
        <w:t>: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7 </w:t>
      </w:r>
      <w:r w:rsidR="00170453">
        <w:rPr>
          <w:rStyle w:val="Ttulo2Car"/>
          <w:b w:val="0"/>
          <w:color w:val="auto"/>
          <w:sz w:val="22"/>
          <w:szCs w:val="22"/>
          <w:lang w:bidi="es-ES"/>
        </w:rPr>
        <w:t xml:space="preserve">de ellas </w:t>
      </w:r>
      <w:r w:rsidR="00705E94">
        <w:rPr>
          <w:rStyle w:val="Ttulo2Car"/>
          <w:b w:val="0"/>
          <w:color w:val="auto"/>
          <w:sz w:val="22"/>
          <w:szCs w:val="22"/>
          <w:lang w:bidi="es-ES"/>
        </w:rPr>
        <w:t>con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acceso total y 4 parcial. Siete solicitudes fueron denegadas aplicando en todos los casos el mismo límite: la </w:t>
      </w:r>
      <w:r w:rsidRPr="00AB701C">
        <w:rPr>
          <w:rStyle w:val="Ttulo2Car"/>
          <w:b w:val="0"/>
          <w:color w:val="auto"/>
          <w:sz w:val="22"/>
          <w:szCs w:val="22"/>
          <w:lang w:bidi="es-ES"/>
        </w:rPr>
        <w:t>garantía de confidencialidad o el secreto requerido en procesos de toma de decisión</w:t>
      </w:r>
      <w:r w:rsidR="00705E94">
        <w:rPr>
          <w:rStyle w:val="Ttulo2Car"/>
          <w:b w:val="0"/>
          <w:color w:val="auto"/>
          <w:sz w:val="22"/>
          <w:szCs w:val="22"/>
          <w:lang w:bidi="es-ES"/>
        </w:rPr>
        <w:t xml:space="preserve"> (letra k) del artículo 14.1 de la LTAIBG)</w:t>
      </w:r>
      <w:r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="00705E94">
        <w:rPr>
          <w:rStyle w:val="Ttulo2Car"/>
          <w:b w:val="0"/>
          <w:color w:val="auto"/>
          <w:sz w:val="22"/>
          <w:szCs w:val="22"/>
          <w:lang w:bidi="es-ES"/>
        </w:rPr>
        <w:t xml:space="preserve">      </w:t>
      </w:r>
    </w:p>
    <w:p w:rsidR="00AB701C" w:rsidRDefault="00170453" w:rsidP="007F6237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</w:t>
      </w:r>
      <w:r w:rsidRPr="00170453">
        <w:rPr>
          <w:rStyle w:val="Ttulo2Car"/>
          <w:b w:val="0"/>
          <w:color w:val="auto"/>
          <w:sz w:val="22"/>
          <w:szCs w:val="22"/>
          <w:lang w:bidi="es-ES"/>
        </w:rPr>
        <w:t>n la web de la CNMV</w:t>
      </w:r>
      <w:r>
        <w:rPr>
          <w:rStyle w:val="Ttulo2Car"/>
          <w:b w:val="0"/>
          <w:color w:val="auto"/>
          <w:sz w:val="22"/>
          <w:szCs w:val="22"/>
          <w:lang w:bidi="es-ES"/>
        </w:rPr>
        <w:t>, n</w:t>
      </w:r>
      <w:r w:rsidR="00AB701C" w:rsidRPr="009079EA">
        <w:rPr>
          <w:rStyle w:val="Ttulo2Car"/>
          <w:b w:val="0"/>
          <w:color w:val="auto"/>
          <w:sz w:val="22"/>
          <w:szCs w:val="22"/>
          <w:lang w:bidi="es-ES"/>
        </w:rPr>
        <w:t>o</w:t>
      </w:r>
      <w:r w:rsidR="00AB701C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AB701C" w:rsidRPr="009079EA">
        <w:rPr>
          <w:rStyle w:val="Ttulo2Car"/>
          <w:b w:val="0"/>
          <w:color w:val="auto"/>
          <w:sz w:val="22"/>
          <w:szCs w:val="22"/>
          <w:lang w:bidi="es-ES"/>
        </w:rPr>
        <w:t>se ha</w:t>
      </w:r>
      <w:r w:rsidR="00AB701C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AB701C" w:rsidRPr="009079EA">
        <w:rPr>
          <w:rStyle w:val="Ttulo2Car"/>
          <w:b w:val="0"/>
          <w:color w:val="auto"/>
          <w:sz w:val="22"/>
          <w:szCs w:val="22"/>
          <w:lang w:bidi="es-ES"/>
        </w:rPr>
        <w:t xml:space="preserve">localizado </w:t>
      </w:r>
      <w:r w:rsidR="00AB701C">
        <w:rPr>
          <w:rStyle w:val="Ttulo2Car"/>
          <w:b w:val="0"/>
          <w:color w:val="auto"/>
          <w:sz w:val="22"/>
          <w:szCs w:val="22"/>
          <w:lang w:bidi="es-ES"/>
        </w:rPr>
        <w:t>información sobre las solicitudes denegadas por aplicación de los límites del artículo 14</w:t>
      </w:r>
      <w:r w:rsidR="00705E94">
        <w:rPr>
          <w:rStyle w:val="Ttulo2Car"/>
          <w:b w:val="0"/>
          <w:color w:val="auto"/>
          <w:sz w:val="22"/>
          <w:szCs w:val="22"/>
          <w:lang w:bidi="es-ES"/>
        </w:rPr>
        <w:t>.1</w:t>
      </w:r>
      <w:r w:rsidR="00AB701C">
        <w:rPr>
          <w:rStyle w:val="Ttulo2Car"/>
          <w:b w:val="0"/>
          <w:color w:val="auto"/>
          <w:sz w:val="22"/>
          <w:szCs w:val="22"/>
          <w:lang w:bidi="es-ES"/>
        </w:rPr>
        <w:t xml:space="preserve"> de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AB701C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7F6237" w:rsidRPr="009079EA" w:rsidRDefault="007F6237" w:rsidP="007F6237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F7263F" w:rsidRDefault="00F7263F" w:rsidP="00F726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 w:rsidR="00C34BB5">
        <w:rPr>
          <w:rStyle w:val="Ttulo2Car"/>
          <w:color w:val="00642D"/>
          <w:lang w:bidi="es-ES"/>
        </w:rPr>
        <w:t>4</w:t>
      </w:r>
      <w:r>
        <w:rPr>
          <w:rStyle w:val="Ttulo2Car"/>
          <w:color w:val="00642D"/>
          <w:lang w:bidi="es-ES"/>
        </w:rPr>
        <w:t xml:space="preserve"> Indicadores de resolución en 2020 </w:t>
      </w:r>
    </w:p>
    <w:p w:rsidR="007F6237" w:rsidRDefault="001F6DBD" w:rsidP="007F6237">
      <w:pPr>
        <w:ind w:left="426"/>
        <w:jc w:val="both"/>
      </w:pPr>
      <w:r>
        <w:t>Según los datos que proporciona, l</w:t>
      </w:r>
      <w:r w:rsidR="007F6237">
        <w:t xml:space="preserve">a </w:t>
      </w:r>
      <w:r w:rsidR="00170453">
        <w:t>CNMV</w:t>
      </w:r>
      <w:r w:rsidR="007F6237">
        <w:t xml:space="preserve"> emite resoluciones expresas para la totalidad de las solicitudes admitidas. Ninguna solicitud ha sido desestimada por silencio administrativo.</w:t>
      </w:r>
    </w:p>
    <w:p w:rsidR="00705E94" w:rsidRDefault="007F6237" w:rsidP="007F6237">
      <w:pPr>
        <w:ind w:left="426"/>
        <w:jc w:val="both"/>
      </w:pPr>
      <w:r>
        <w:t xml:space="preserve">Un </w:t>
      </w:r>
      <w:r w:rsidR="00170453">
        <w:t>61,11</w:t>
      </w:r>
      <w:r>
        <w:t xml:space="preserve">% de las </w:t>
      </w:r>
      <w:r w:rsidR="00170453">
        <w:t>r</w:t>
      </w:r>
      <w:r>
        <w:t xml:space="preserve">esoluciones concede el acceso a la información. De ellas, el </w:t>
      </w:r>
      <w:r w:rsidR="00170453">
        <w:t>63,64</w:t>
      </w:r>
      <w:r>
        <w:t xml:space="preserve">% concede acceso total y el </w:t>
      </w:r>
      <w:r w:rsidR="00170453">
        <w:t>36,36</w:t>
      </w:r>
      <w:r>
        <w:t xml:space="preserve">% acceso parcial. Un </w:t>
      </w:r>
      <w:r w:rsidR="00170453">
        <w:t>38,89% deniega la información.</w:t>
      </w:r>
      <w:r w:rsidR="00FE7956">
        <w:t xml:space="preserve"> La denegación de la información se basó en todos los casos en la aplicación del límite contemplado en la letra k del artículo 14.1: </w:t>
      </w:r>
      <w:r w:rsidR="00FE7956" w:rsidRPr="00FE7956">
        <w:t>garantía de la confidencialidad o el secreto requerido en procesos de toma de decisión</w:t>
      </w:r>
    </w:p>
    <w:p w:rsidR="00705E94" w:rsidRDefault="00705E94">
      <w:r>
        <w:br w:type="page"/>
      </w:r>
    </w:p>
    <w:p w:rsidR="007F6237" w:rsidRDefault="007F6237" w:rsidP="007F6237">
      <w:pPr>
        <w:ind w:left="426"/>
        <w:jc w:val="both"/>
      </w:pPr>
    </w:p>
    <w:p w:rsidR="00170453" w:rsidRPr="009079EA" w:rsidRDefault="00170453" w:rsidP="00170453">
      <w:pPr>
        <w:pStyle w:val="Epgrafe"/>
        <w:keepNext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9079EA">
        <w:rPr>
          <w:rStyle w:val="Ttulo2Car"/>
          <w:b/>
          <w:color w:val="00642D"/>
          <w:sz w:val="22"/>
          <w:szCs w:val="22"/>
          <w:lang w:bidi="es-ES"/>
        </w:rPr>
        <w:t xml:space="preserve">Tabla 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instrText xml:space="preserve"> SEQ Tabla \* ARABIC </w:instrTex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>
        <w:rPr>
          <w:rStyle w:val="Ttulo2Car"/>
          <w:b/>
          <w:color w:val="00642D"/>
          <w:sz w:val="22"/>
          <w:szCs w:val="22"/>
          <w:lang w:bidi="es-ES"/>
        </w:rPr>
        <w:t>2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t>: Indicadores de Resolución</w:t>
      </w:r>
      <w:r w:rsidR="00705E94">
        <w:rPr>
          <w:rStyle w:val="Ttulo2Car"/>
          <w:b/>
          <w:color w:val="00642D"/>
          <w:sz w:val="22"/>
          <w:szCs w:val="22"/>
          <w:lang w:bidi="es-ES"/>
        </w:rPr>
        <w:t xml:space="preserve"> 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t>2020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1299"/>
        <w:gridCol w:w="6322"/>
        <w:gridCol w:w="1559"/>
      </w:tblGrid>
      <w:tr w:rsidR="00377F7B" w:rsidRPr="00706E04" w:rsidTr="00170453">
        <w:tc>
          <w:tcPr>
            <w:tcW w:w="1299" w:type="dxa"/>
            <w:vMerge w:val="restart"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377F7B" w:rsidRPr="005B3C15" w:rsidRDefault="00377F7B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5B3C15">
              <w:rPr>
                <w:b/>
                <w:color w:val="FFFFFF" w:themeColor="background1"/>
              </w:rPr>
              <w:t>Indicadores de resolución</w:t>
            </w:r>
          </w:p>
        </w:tc>
        <w:tc>
          <w:tcPr>
            <w:tcW w:w="6322" w:type="dxa"/>
            <w:tcBorders>
              <w:left w:val="nil"/>
            </w:tcBorders>
          </w:tcPr>
          <w:p w:rsidR="00377F7B" w:rsidRPr="001B0115" w:rsidRDefault="00377F7B" w:rsidP="00377F7B">
            <w:pPr>
              <w:rPr>
                <w:sz w:val="20"/>
                <w:szCs w:val="20"/>
              </w:rPr>
            </w:pPr>
            <w:r w:rsidRPr="001B0115">
              <w:rPr>
                <w:sz w:val="20"/>
                <w:szCs w:val="20"/>
              </w:rPr>
              <w:t>Tasa de resolución (resoluciones expresas /solicitudes admitidas)</w:t>
            </w:r>
          </w:p>
        </w:tc>
        <w:tc>
          <w:tcPr>
            <w:tcW w:w="1559" w:type="dxa"/>
          </w:tcPr>
          <w:p w:rsidR="00377F7B" w:rsidRPr="00377F7B" w:rsidRDefault="00377F7B" w:rsidP="00377F7B">
            <w:pPr>
              <w:jc w:val="center"/>
              <w:rPr>
                <w:sz w:val="20"/>
                <w:szCs w:val="20"/>
              </w:rPr>
            </w:pPr>
            <w:r w:rsidRPr="00377F7B">
              <w:rPr>
                <w:sz w:val="20"/>
                <w:szCs w:val="20"/>
              </w:rPr>
              <w:t>100,00</w:t>
            </w:r>
          </w:p>
        </w:tc>
      </w:tr>
      <w:tr w:rsidR="00377F7B" w:rsidRPr="00706E04" w:rsidTr="00170453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377F7B" w:rsidRPr="005B3C15" w:rsidRDefault="00377F7B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377F7B" w:rsidRPr="001B0115" w:rsidRDefault="00377F7B" w:rsidP="00FD5B21">
            <w:pPr>
              <w:rPr>
                <w:sz w:val="20"/>
                <w:szCs w:val="20"/>
              </w:rPr>
            </w:pPr>
            <w:r w:rsidRPr="001B0115">
              <w:rPr>
                <w:sz w:val="20"/>
                <w:szCs w:val="20"/>
              </w:rPr>
              <w:t>Porcentaje de resoluciones que conceden el acceso</w:t>
            </w:r>
          </w:p>
        </w:tc>
        <w:tc>
          <w:tcPr>
            <w:tcW w:w="1559" w:type="dxa"/>
          </w:tcPr>
          <w:p w:rsidR="00377F7B" w:rsidRPr="00377F7B" w:rsidRDefault="00377F7B" w:rsidP="00377F7B">
            <w:pPr>
              <w:jc w:val="center"/>
              <w:rPr>
                <w:sz w:val="20"/>
                <w:szCs w:val="20"/>
              </w:rPr>
            </w:pPr>
            <w:r w:rsidRPr="00377F7B">
              <w:rPr>
                <w:sz w:val="20"/>
                <w:szCs w:val="20"/>
              </w:rPr>
              <w:t>61,11</w:t>
            </w:r>
          </w:p>
        </w:tc>
      </w:tr>
      <w:tr w:rsidR="00377F7B" w:rsidRPr="00706E04" w:rsidTr="00170453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377F7B" w:rsidRPr="005B3C15" w:rsidRDefault="00377F7B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377F7B" w:rsidRPr="001B0115" w:rsidRDefault="00377F7B" w:rsidP="00055B15">
            <w:pPr>
              <w:rPr>
                <w:sz w:val="20"/>
                <w:szCs w:val="20"/>
              </w:rPr>
            </w:pPr>
            <w:r w:rsidRPr="001B0115">
              <w:rPr>
                <w:sz w:val="20"/>
                <w:szCs w:val="20"/>
              </w:rPr>
              <w:t>Porcentaje de resoluciones que conceden acceso parcial</w:t>
            </w:r>
          </w:p>
        </w:tc>
        <w:tc>
          <w:tcPr>
            <w:tcW w:w="1559" w:type="dxa"/>
          </w:tcPr>
          <w:p w:rsidR="00377F7B" w:rsidRPr="00377F7B" w:rsidRDefault="00377F7B" w:rsidP="00377F7B">
            <w:pPr>
              <w:jc w:val="center"/>
              <w:rPr>
                <w:sz w:val="20"/>
                <w:szCs w:val="20"/>
              </w:rPr>
            </w:pPr>
            <w:r w:rsidRPr="00377F7B">
              <w:rPr>
                <w:sz w:val="20"/>
                <w:szCs w:val="20"/>
              </w:rPr>
              <w:t>36,36</w:t>
            </w:r>
          </w:p>
        </w:tc>
      </w:tr>
      <w:tr w:rsidR="00377F7B" w:rsidRPr="00706E04" w:rsidTr="00170453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377F7B" w:rsidRPr="005B3C15" w:rsidRDefault="00377F7B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377F7B" w:rsidRPr="001B0115" w:rsidRDefault="00377F7B" w:rsidP="00055B15">
            <w:pPr>
              <w:rPr>
                <w:sz w:val="20"/>
                <w:szCs w:val="20"/>
              </w:rPr>
            </w:pPr>
            <w:r w:rsidRPr="001B0115">
              <w:rPr>
                <w:sz w:val="20"/>
                <w:szCs w:val="20"/>
              </w:rPr>
              <w:t>Porcentaje de resoluciones que conceden acceso total</w:t>
            </w:r>
          </w:p>
        </w:tc>
        <w:tc>
          <w:tcPr>
            <w:tcW w:w="1559" w:type="dxa"/>
          </w:tcPr>
          <w:p w:rsidR="00377F7B" w:rsidRPr="00377F7B" w:rsidRDefault="00377F7B" w:rsidP="00377F7B">
            <w:pPr>
              <w:jc w:val="center"/>
              <w:rPr>
                <w:sz w:val="20"/>
                <w:szCs w:val="20"/>
              </w:rPr>
            </w:pPr>
            <w:r w:rsidRPr="00377F7B">
              <w:rPr>
                <w:sz w:val="20"/>
                <w:szCs w:val="20"/>
              </w:rPr>
              <w:t>63,64</w:t>
            </w:r>
          </w:p>
        </w:tc>
      </w:tr>
      <w:tr w:rsidR="00377F7B" w:rsidRPr="00706E04" w:rsidTr="00170453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377F7B" w:rsidRPr="005B3C15" w:rsidRDefault="00377F7B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377F7B" w:rsidRPr="001B0115" w:rsidRDefault="00377F7B" w:rsidP="00055B15">
            <w:pPr>
              <w:rPr>
                <w:sz w:val="20"/>
                <w:szCs w:val="20"/>
              </w:rPr>
            </w:pPr>
            <w:r w:rsidRPr="001B0115">
              <w:rPr>
                <w:sz w:val="20"/>
                <w:szCs w:val="20"/>
              </w:rPr>
              <w:t>Porcentaje de resoluciones que deniegan el acceso</w:t>
            </w:r>
          </w:p>
        </w:tc>
        <w:tc>
          <w:tcPr>
            <w:tcW w:w="1559" w:type="dxa"/>
          </w:tcPr>
          <w:p w:rsidR="00377F7B" w:rsidRPr="00377F7B" w:rsidRDefault="00377F7B" w:rsidP="00377F7B">
            <w:pPr>
              <w:jc w:val="center"/>
              <w:rPr>
                <w:sz w:val="20"/>
                <w:szCs w:val="20"/>
              </w:rPr>
            </w:pPr>
            <w:r w:rsidRPr="00377F7B">
              <w:rPr>
                <w:sz w:val="20"/>
                <w:szCs w:val="20"/>
              </w:rPr>
              <w:t>38,89</w:t>
            </w:r>
          </w:p>
        </w:tc>
      </w:tr>
      <w:tr w:rsidR="00377F7B" w:rsidRPr="00706E04" w:rsidTr="00170453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377F7B" w:rsidRPr="005B3C15" w:rsidRDefault="00377F7B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377F7B" w:rsidRPr="001B0115" w:rsidRDefault="00377F7B" w:rsidP="00055B15">
            <w:pPr>
              <w:rPr>
                <w:sz w:val="20"/>
                <w:szCs w:val="20"/>
              </w:rPr>
            </w:pPr>
            <w:r w:rsidRPr="001B0115">
              <w:rPr>
                <w:sz w:val="20"/>
                <w:szCs w:val="20"/>
              </w:rPr>
              <w:t>Porcentaje de resoluciones que finalizan por silencio administrativo</w:t>
            </w:r>
          </w:p>
        </w:tc>
        <w:tc>
          <w:tcPr>
            <w:tcW w:w="1559" w:type="dxa"/>
          </w:tcPr>
          <w:p w:rsidR="00377F7B" w:rsidRPr="00377F7B" w:rsidRDefault="00377F7B" w:rsidP="00377F7B">
            <w:pPr>
              <w:jc w:val="center"/>
              <w:rPr>
                <w:sz w:val="20"/>
                <w:szCs w:val="20"/>
              </w:rPr>
            </w:pPr>
            <w:r w:rsidRPr="00377F7B">
              <w:rPr>
                <w:sz w:val="20"/>
                <w:szCs w:val="20"/>
              </w:rPr>
              <w:t>,00</w:t>
            </w:r>
          </w:p>
        </w:tc>
      </w:tr>
      <w:tr w:rsidR="00377F7B" w:rsidRPr="00706E04" w:rsidTr="00170453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377F7B" w:rsidRPr="005B3C15" w:rsidRDefault="00377F7B" w:rsidP="00055B1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377F7B" w:rsidRPr="001B0115" w:rsidRDefault="00377F7B" w:rsidP="00F7263F">
            <w:pPr>
              <w:rPr>
                <w:sz w:val="20"/>
                <w:szCs w:val="20"/>
              </w:rPr>
            </w:pPr>
            <w:r w:rsidRPr="001B0115">
              <w:rPr>
                <w:sz w:val="20"/>
                <w:szCs w:val="20"/>
              </w:rPr>
              <w:t>Porcentaje de solicitudes finalizadas por desistimiento y otras causas</w:t>
            </w:r>
          </w:p>
        </w:tc>
        <w:tc>
          <w:tcPr>
            <w:tcW w:w="1559" w:type="dxa"/>
          </w:tcPr>
          <w:p w:rsidR="00377F7B" w:rsidRPr="00377F7B" w:rsidRDefault="00377F7B" w:rsidP="00377F7B">
            <w:pPr>
              <w:jc w:val="center"/>
              <w:rPr>
                <w:sz w:val="20"/>
                <w:szCs w:val="20"/>
              </w:rPr>
            </w:pPr>
            <w:r w:rsidRPr="00377F7B">
              <w:rPr>
                <w:sz w:val="20"/>
                <w:szCs w:val="20"/>
              </w:rPr>
              <w:t>,00</w:t>
            </w:r>
          </w:p>
        </w:tc>
      </w:tr>
    </w:tbl>
    <w:p w:rsidR="00055B15" w:rsidRDefault="00055B15" w:rsidP="00B812AB"/>
    <w:p w:rsidR="008D1EB2" w:rsidRDefault="008D1EB2" w:rsidP="00B812AB"/>
    <w:p w:rsidR="00B812AB" w:rsidRPr="00E34195" w:rsidRDefault="00FE1888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705E94">
            <w:rPr>
              <w:rFonts w:ascii="Century Gothic" w:hAnsi="Century Gothic"/>
              <w:color w:val="00642D"/>
              <w:sz w:val="30"/>
              <w:szCs w:val="30"/>
            </w:rPr>
            <w:t xml:space="preserve">     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170453" w:rsidRPr="00170453" w:rsidRDefault="00170453" w:rsidP="00D7347E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170453">
        <w:rPr>
          <w:rStyle w:val="Ttulo2Car"/>
          <w:b w:val="0"/>
          <w:color w:val="auto"/>
          <w:sz w:val="22"/>
          <w:szCs w:val="22"/>
          <w:lang w:bidi="es-ES"/>
        </w:rPr>
        <w:t>No se ha localizado en la web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o</w:t>
      </w:r>
      <w:r w:rsidRPr="00170453">
        <w:rPr>
          <w:rStyle w:val="Ttulo2Car"/>
          <w:b w:val="0"/>
          <w:color w:val="auto"/>
          <w:sz w:val="22"/>
          <w:szCs w:val="22"/>
          <w:lang w:bidi="es-ES"/>
        </w:rPr>
        <w:t xml:space="preserve"> el Portal de Transparencia de la </w:t>
      </w:r>
      <w:r>
        <w:rPr>
          <w:rStyle w:val="Ttulo2Car"/>
          <w:b w:val="0"/>
          <w:color w:val="auto"/>
          <w:sz w:val="22"/>
          <w:szCs w:val="22"/>
          <w:lang w:bidi="es-ES"/>
        </w:rPr>
        <w:t>CNMV</w:t>
      </w:r>
      <w:r w:rsidRPr="00170453">
        <w:rPr>
          <w:rStyle w:val="Ttulo2Car"/>
          <w:b w:val="0"/>
          <w:color w:val="auto"/>
          <w:sz w:val="22"/>
          <w:szCs w:val="22"/>
          <w:lang w:bidi="es-ES"/>
        </w:rPr>
        <w:t xml:space="preserve">, </w:t>
      </w:r>
      <w:r w:rsidR="00B03B3C">
        <w:rPr>
          <w:rStyle w:val="Ttulo2Car"/>
          <w:b w:val="0"/>
          <w:color w:val="auto"/>
          <w:sz w:val="22"/>
          <w:szCs w:val="22"/>
          <w:lang w:bidi="es-ES"/>
        </w:rPr>
        <w:t>un</w:t>
      </w:r>
      <w:r w:rsidRPr="00170453">
        <w:rPr>
          <w:rStyle w:val="Ttulo2Car"/>
          <w:b w:val="0"/>
          <w:color w:val="auto"/>
          <w:sz w:val="22"/>
          <w:szCs w:val="22"/>
          <w:lang w:bidi="es-ES"/>
        </w:rPr>
        <w:t xml:space="preserve"> espacio específico dedicado al ejercicio del derecho de acceso a la información pública. </w:t>
      </w:r>
      <w:r w:rsidR="00705E94">
        <w:rPr>
          <w:rStyle w:val="Ttulo2Car"/>
          <w:b w:val="0"/>
          <w:color w:val="auto"/>
          <w:sz w:val="22"/>
          <w:szCs w:val="22"/>
          <w:lang w:bidi="es-ES"/>
        </w:rPr>
        <w:t>Dentro del Portal de Transparencia e</w:t>
      </w:r>
      <w:r w:rsidR="00705E94" w:rsidRPr="00170453">
        <w:rPr>
          <w:rStyle w:val="Ttulo2Car"/>
          <w:b w:val="0"/>
          <w:color w:val="auto"/>
          <w:sz w:val="22"/>
          <w:szCs w:val="22"/>
          <w:lang w:bidi="es-ES"/>
        </w:rPr>
        <w:t xml:space="preserve">xiste un </w:t>
      </w:r>
      <w:r w:rsidR="00705E94">
        <w:rPr>
          <w:rStyle w:val="Ttulo2Car"/>
          <w:b w:val="0"/>
          <w:color w:val="auto"/>
          <w:sz w:val="22"/>
          <w:szCs w:val="22"/>
          <w:lang w:bidi="es-ES"/>
        </w:rPr>
        <w:t>enlace</w:t>
      </w:r>
      <w:r w:rsidR="00705E94" w:rsidRPr="00170453">
        <w:rPr>
          <w:rStyle w:val="Ttulo2Car"/>
          <w:b w:val="0"/>
          <w:color w:val="auto"/>
          <w:sz w:val="22"/>
          <w:szCs w:val="22"/>
          <w:lang w:bidi="es-ES"/>
        </w:rPr>
        <w:t xml:space="preserve"> denominado “Buzón de transparencia” </w:t>
      </w:r>
      <w:r w:rsidR="00705E94">
        <w:rPr>
          <w:rStyle w:val="Ttulo2Car"/>
          <w:b w:val="0"/>
          <w:color w:val="auto"/>
          <w:sz w:val="22"/>
          <w:szCs w:val="22"/>
          <w:lang w:bidi="es-ES"/>
        </w:rPr>
        <w:t xml:space="preserve">que posiciona </w:t>
      </w:r>
      <w:r w:rsidR="00705E94" w:rsidRPr="00170453">
        <w:rPr>
          <w:rStyle w:val="Ttulo2Car"/>
          <w:b w:val="0"/>
          <w:color w:val="auto"/>
          <w:sz w:val="22"/>
          <w:szCs w:val="22"/>
          <w:lang w:bidi="es-ES"/>
        </w:rPr>
        <w:t xml:space="preserve">en un </w:t>
      </w:r>
      <w:r w:rsidR="00B03B3C">
        <w:rPr>
          <w:rStyle w:val="Ttulo2Car"/>
          <w:b w:val="0"/>
          <w:color w:val="auto"/>
          <w:sz w:val="22"/>
          <w:szCs w:val="22"/>
          <w:lang w:bidi="es-ES"/>
        </w:rPr>
        <w:t xml:space="preserve">buzón de </w:t>
      </w:r>
      <w:r w:rsidR="00705E94" w:rsidRPr="00170453">
        <w:rPr>
          <w:rStyle w:val="Ttulo2Car"/>
          <w:b w:val="0"/>
          <w:color w:val="auto"/>
          <w:sz w:val="22"/>
          <w:szCs w:val="22"/>
          <w:lang w:bidi="es-ES"/>
        </w:rPr>
        <w:t>correo electrónico</w:t>
      </w:r>
      <w:r w:rsidR="00705E94">
        <w:rPr>
          <w:rStyle w:val="Ttulo2Car"/>
          <w:b w:val="0"/>
          <w:color w:val="auto"/>
          <w:sz w:val="22"/>
          <w:szCs w:val="22"/>
          <w:lang w:bidi="es-ES"/>
        </w:rPr>
        <w:t>:</w:t>
      </w:r>
      <w:r w:rsidR="00705E94" w:rsidRPr="00170453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705E94" w:rsidRPr="00B03B3C">
        <w:rPr>
          <w:rFonts w:eastAsiaTheme="majorEastAsia" w:cstheme="majorBidi"/>
          <w:lang w:bidi="es-ES"/>
        </w:rPr>
        <w:t>transparencia@cnmv.es</w:t>
      </w:r>
      <w:r w:rsidR="00705E94">
        <w:rPr>
          <w:rStyle w:val="Ttulo2Car"/>
          <w:b w:val="0"/>
          <w:color w:val="auto"/>
          <w:sz w:val="22"/>
          <w:szCs w:val="22"/>
          <w:lang w:bidi="es-ES"/>
        </w:rPr>
        <w:t>, pero no</w:t>
      </w:r>
      <w:r w:rsidR="00B03B3C">
        <w:rPr>
          <w:rStyle w:val="Ttulo2Car"/>
          <w:b w:val="0"/>
          <w:color w:val="auto"/>
          <w:sz w:val="22"/>
          <w:szCs w:val="22"/>
          <w:lang w:bidi="es-ES"/>
        </w:rPr>
        <w:t xml:space="preserve"> se</w:t>
      </w:r>
      <w:r w:rsidR="00705E94">
        <w:rPr>
          <w:rStyle w:val="Ttulo2Car"/>
          <w:b w:val="0"/>
          <w:color w:val="auto"/>
          <w:sz w:val="22"/>
          <w:szCs w:val="22"/>
          <w:lang w:bidi="es-ES"/>
        </w:rPr>
        <w:t xml:space="preserve"> informa </w:t>
      </w:r>
      <w:r w:rsidR="00B03B3C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705E94">
        <w:rPr>
          <w:rStyle w:val="Ttulo2Car"/>
          <w:b w:val="0"/>
          <w:color w:val="auto"/>
          <w:sz w:val="22"/>
          <w:szCs w:val="22"/>
          <w:lang w:bidi="es-ES"/>
        </w:rPr>
        <w:t xml:space="preserve"> su objeto o finalidad.</w:t>
      </w:r>
    </w:p>
    <w:p w:rsidR="00170453" w:rsidRPr="00170453" w:rsidRDefault="00170453" w:rsidP="00D7347E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170453">
        <w:rPr>
          <w:rStyle w:val="Ttulo2Car"/>
          <w:b w:val="0"/>
          <w:color w:val="auto"/>
          <w:sz w:val="22"/>
          <w:szCs w:val="22"/>
          <w:lang w:bidi="es-ES"/>
        </w:rPr>
        <w:t xml:space="preserve">Tampoco la </w:t>
      </w:r>
      <w:r>
        <w:rPr>
          <w:rStyle w:val="Ttulo2Car"/>
          <w:b w:val="0"/>
          <w:color w:val="auto"/>
          <w:sz w:val="22"/>
          <w:szCs w:val="22"/>
          <w:lang w:bidi="es-ES"/>
        </w:rPr>
        <w:t>CNMV</w:t>
      </w:r>
      <w:r w:rsidRPr="00170453">
        <w:rPr>
          <w:rStyle w:val="Ttulo2Car"/>
          <w:b w:val="0"/>
          <w:color w:val="auto"/>
          <w:sz w:val="22"/>
          <w:szCs w:val="22"/>
          <w:lang w:bidi="es-ES"/>
        </w:rPr>
        <w:t xml:space="preserve"> hace referencia expresa en ningún espacio de su web institucional a la posibilidad</w:t>
      </w:r>
      <w:r w:rsidR="00705E94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170453">
        <w:rPr>
          <w:rStyle w:val="Ttulo2Car"/>
          <w:b w:val="0"/>
          <w:color w:val="auto"/>
          <w:sz w:val="22"/>
          <w:szCs w:val="22"/>
          <w:lang w:bidi="es-ES"/>
        </w:rPr>
        <w:t>que tiene la ciudadanía de solicitar información pública de acuerdo con la Ley de Transparencia.</w:t>
      </w:r>
    </w:p>
    <w:p w:rsidR="00170453" w:rsidRPr="00170453" w:rsidRDefault="00170453" w:rsidP="00D7347E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170453">
        <w:rPr>
          <w:rStyle w:val="Ttulo2Car"/>
          <w:b w:val="0"/>
          <w:color w:val="auto"/>
          <w:sz w:val="22"/>
          <w:szCs w:val="22"/>
          <w:lang w:bidi="es-ES"/>
        </w:rPr>
        <w:t>En consecuencia, no se informa de los medios habilitados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– parece que sólo se pueden presentar solicitudes por correo electrónico dirigido al buzón </w:t>
      </w:r>
      <w:r w:rsidRPr="00170453">
        <w:rPr>
          <w:rStyle w:val="Ttulo2Car"/>
          <w:b w:val="0"/>
          <w:bCs w:val="0"/>
          <w:color w:val="auto"/>
          <w:sz w:val="22"/>
          <w:szCs w:val="22"/>
          <w:lang w:bidi="es-ES"/>
        </w:rPr>
        <w:t>transparencia@cnmv.es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-</w:t>
      </w:r>
      <w:r w:rsidRPr="00170453">
        <w:rPr>
          <w:rStyle w:val="Ttulo2Car"/>
          <w:b w:val="0"/>
          <w:color w:val="auto"/>
          <w:sz w:val="22"/>
          <w:szCs w:val="22"/>
          <w:lang w:bidi="es-ES"/>
        </w:rPr>
        <w:t xml:space="preserve"> ni de los requisitos necesarios para presentar una solicitud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-</w:t>
      </w:r>
      <w:r w:rsidRPr="00170453">
        <w:t xml:space="preserve"> </w:t>
      </w:r>
      <w:r>
        <w:t>e</w:t>
      </w:r>
      <w:r w:rsidRPr="00170453">
        <w:rPr>
          <w:rStyle w:val="Ttulo2Car"/>
          <w:b w:val="0"/>
          <w:color w:val="auto"/>
          <w:sz w:val="22"/>
          <w:szCs w:val="22"/>
          <w:lang w:bidi="es-ES"/>
        </w:rPr>
        <w:t>l único campo obligatorio parece ser la dirección de correo electrónico a consignar en el email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de presentación de la solicitud -</w:t>
      </w:r>
      <w:r w:rsidRPr="00170453">
        <w:rPr>
          <w:rStyle w:val="Ttulo2Car"/>
          <w:b w:val="0"/>
          <w:color w:val="auto"/>
          <w:sz w:val="22"/>
          <w:szCs w:val="22"/>
          <w:lang w:bidi="es-ES"/>
        </w:rPr>
        <w:t xml:space="preserve">. Como es obvio tampoco se proporcionan, </w:t>
      </w:r>
      <w:r>
        <w:rPr>
          <w:rStyle w:val="Ttulo2Car"/>
          <w:b w:val="0"/>
          <w:color w:val="auto"/>
          <w:sz w:val="22"/>
          <w:szCs w:val="22"/>
          <w:lang w:bidi="es-ES"/>
        </w:rPr>
        <w:t>formularios</w:t>
      </w:r>
      <w:r w:rsidR="00FE7956">
        <w:rPr>
          <w:rStyle w:val="Ttulo2Car"/>
          <w:b w:val="0"/>
          <w:color w:val="auto"/>
          <w:sz w:val="22"/>
          <w:szCs w:val="22"/>
          <w:lang w:bidi="es-ES"/>
        </w:rPr>
        <w:t>,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170453">
        <w:rPr>
          <w:rStyle w:val="Ttulo2Car"/>
          <w:b w:val="0"/>
          <w:color w:val="auto"/>
          <w:sz w:val="22"/>
          <w:szCs w:val="22"/>
          <w:lang w:bidi="es-ES"/>
        </w:rPr>
        <w:t xml:space="preserve">instrucciones, ayudas y demás información facilitadora del ejercicio del derecho. </w:t>
      </w:r>
    </w:p>
    <w:p w:rsidR="00B40246" w:rsidRPr="00E34195" w:rsidRDefault="00FE1888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EE1316" w:rsidRDefault="00E3088D" w:rsidP="00EE1316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C33A23">
        <w:rPr>
          <w:color w:val="00642D"/>
          <w:lang w:bidi="es-ES"/>
        </w:rPr>
        <w:t xml:space="preserve"> </w:t>
      </w:r>
      <w:r w:rsidR="00EE1316" w:rsidRPr="001276B2">
        <w:rPr>
          <w:rStyle w:val="Ttulo2Car"/>
          <w:sz w:val="22"/>
          <w:szCs w:val="22"/>
        </w:rPr>
        <w:t>Inicio del procedimiento</w:t>
      </w:r>
      <w:r w:rsidR="00EE1316">
        <w:rPr>
          <w:color w:val="auto"/>
          <w:lang w:bidi="es-ES"/>
        </w:rPr>
        <w:t xml:space="preserve">. </w:t>
      </w:r>
    </w:p>
    <w:p w:rsidR="00EE1316" w:rsidRDefault="00EE1316" w:rsidP="00EE1316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>
        <w:rPr>
          <w:color w:val="auto"/>
          <w:lang w:bidi="es-ES"/>
        </w:rPr>
        <w:t xml:space="preserve">11/02/2021 se presentó por correo electrónico una solicitud de acceso a información pública dirigida a la </w:t>
      </w:r>
      <w:r w:rsidR="0062241B">
        <w:rPr>
          <w:color w:val="auto"/>
          <w:lang w:bidi="es-ES"/>
        </w:rPr>
        <w:t>CNMV</w:t>
      </w:r>
      <w:r>
        <w:rPr>
          <w:color w:val="auto"/>
          <w:lang w:bidi="es-ES"/>
        </w:rPr>
        <w:t xml:space="preserve">. La información solicitada presentaba una incidencia </w:t>
      </w:r>
      <w:r w:rsidRPr="00EE1316">
        <w:rPr>
          <w:color w:val="auto"/>
          <w:lang w:bidi="es-ES"/>
        </w:rPr>
        <w:t>al no indicarse el forma</w:t>
      </w:r>
      <w:r>
        <w:rPr>
          <w:color w:val="auto"/>
          <w:lang w:bidi="es-ES"/>
        </w:rPr>
        <w:t xml:space="preserve">to de entrega de la información. </w:t>
      </w:r>
    </w:p>
    <w:p w:rsidR="00EE1316" w:rsidRDefault="00EE1316" w:rsidP="00EE1316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0C3945">
        <w:rPr>
          <w:color w:val="auto"/>
          <w:lang w:bidi="es-ES"/>
        </w:rPr>
        <w:t>No se recibió un acuse de recibo</w:t>
      </w:r>
      <w:r w:rsidRPr="00AD49C7">
        <w:rPr>
          <w:color w:val="auto"/>
          <w:lang w:bidi="es-ES"/>
        </w:rPr>
        <w:t xml:space="preserve"> o comunicación al solicitante de la recepción de la solicitud de información.</w:t>
      </w:r>
      <w:r>
        <w:rPr>
          <w:color w:val="auto"/>
          <w:lang w:bidi="es-ES"/>
        </w:rPr>
        <w:t xml:space="preserve"> </w:t>
      </w:r>
    </w:p>
    <w:p w:rsidR="00B3489F" w:rsidRDefault="00B3489F" w:rsidP="00EE1316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p w:rsidR="00EE1316" w:rsidRDefault="00EE1316" w:rsidP="00EE1316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lastRenderedPageBreak/>
        <w:t>Tramitación</w:t>
      </w:r>
    </w:p>
    <w:p w:rsidR="00EE1316" w:rsidRDefault="00342D31" w:rsidP="00EE1316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 xml:space="preserve">No se ha remitido </w:t>
      </w:r>
      <w:r w:rsidR="00EE1316">
        <w:rPr>
          <w:color w:val="auto"/>
          <w:lang w:bidi="es-ES"/>
        </w:rPr>
        <w:t xml:space="preserve">una comunicación de inicio de la tramitación de la solicitud. </w:t>
      </w:r>
    </w:p>
    <w:p w:rsidR="00EE1316" w:rsidRDefault="00EE1316" w:rsidP="00EE1316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0C3945">
        <w:rPr>
          <w:color w:val="auto"/>
          <w:lang w:bidi="es-ES"/>
        </w:rPr>
        <w:t>No se ha solicitado subsanación</w:t>
      </w:r>
      <w:r>
        <w:rPr>
          <w:color w:val="auto"/>
          <w:lang w:bidi="es-ES"/>
        </w:rPr>
        <w:t xml:space="preserve"> a pesar de que como se ha indicado, </w:t>
      </w:r>
      <w:r w:rsidR="00342D31" w:rsidRPr="00342D31">
        <w:rPr>
          <w:color w:val="auto"/>
          <w:lang w:bidi="es-ES"/>
        </w:rPr>
        <w:t>no se especificaba el formato de entrega de la información</w:t>
      </w:r>
      <w:r>
        <w:rPr>
          <w:color w:val="auto"/>
          <w:lang w:bidi="es-ES"/>
        </w:rPr>
        <w:t>.</w:t>
      </w:r>
    </w:p>
    <w:p w:rsidR="00EE1316" w:rsidRDefault="00EE1316" w:rsidP="00EE1316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EE1316" w:rsidRDefault="00342D31" w:rsidP="00EE1316">
      <w:pPr>
        <w:pStyle w:val="Cuerpodelboletn"/>
        <w:numPr>
          <w:ilvl w:val="0"/>
          <w:numId w:val="5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No se dicta resolución expresa. </w:t>
      </w:r>
      <w:r w:rsidR="00B3489F">
        <w:rPr>
          <w:color w:val="auto"/>
          <w:lang w:bidi="es-ES"/>
        </w:rPr>
        <w:t>En respuesta a la solicitud s</w:t>
      </w:r>
      <w:r>
        <w:rPr>
          <w:color w:val="auto"/>
          <w:lang w:bidi="es-ES"/>
        </w:rPr>
        <w:t>e envía un correo electrónico el 09/03/2021 en el que se comunica la remisión de la información solicitada en formato Excel.</w:t>
      </w:r>
    </w:p>
    <w:p w:rsidR="00EE1316" w:rsidRDefault="00EE1316" w:rsidP="00EE1316">
      <w:pPr>
        <w:pStyle w:val="Cuerpodelboletn"/>
        <w:numPr>
          <w:ilvl w:val="0"/>
          <w:numId w:val="5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Se facilita el acceso a </w:t>
      </w:r>
      <w:r w:rsidR="00D1182E">
        <w:rPr>
          <w:color w:val="auto"/>
          <w:lang w:bidi="es-ES"/>
        </w:rPr>
        <w:t xml:space="preserve">totalidad de </w:t>
      </w:r>
      <w:r>
        <w:rPr>
          <w:color w:val="auto"/>
          <w:lang w:bidi="es-ES"/>
        </w:rPr>
        <w:t xml:space="preserve">la información </w:t>
      </w:r>
      <w:r w:rsidR="00D1182E">
        <w:rPr>
          <w:color w:val="auto"/>
          <w:lang w:bidi="es-ES"/>
        </w:rPr>
        <w:t>que se entrega en formato electrónico</w:t>
      </w:r>
      <w:r>
        <w:rPr>
          <w:color w:val="auto"/>
          <w:lang w:bidi="es-ES"/>
        </w:rPr>
        <w:t>.</w:t>
      </w:r>
    </w:p>
    <w:p w:rsidR="00EE1316" w:rsidRDefault="00D1182E" w:rsidP="00EE1316">
      <w:pPr>
        <w:pStyle w:val="Cuerpodelboletn"/>
        <w:numPr>
          <w:ilvl w:val="0"/>
          <w:numId w:val="5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>L</w:t>
      </w:r>
      <w:r w:rsidR="00EE1316">
        <w:rPr>
          <w:color w:val="auto"/>
          <w:lang w:bidi="es-ES"/>
        </w:rPr>
        <w:t xml:space="preserve">a </w:t>
      </w:r>
      <w:r>
        <w:rPr>
          <w:color w:val="auto"/>
          <w:lang w:bidi="es-ES"/>
        </w:rPr>
        <w:t>CNMV</w:t>
      </w:r>
      <w:r w:rsidR="00EE1316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 xml:space="preserve">proporciona la información </w:t>
      </w:r>
      <w:r w:rsidR="00EE1316">
        <w:rPr>
          <w:color w:val="auto"/>
          <w:lang w:bidi="es-ES"/>
        </w:rPr>
        <w:t>para el periodo 201</w:t>
      </w:r>
      <w:r>
        <w:rPr>
          <w:color w:val="auto"/>
          <w:lang w:bidi="es-ES"/>
        </w:rPr>
        <w:t>5</w:t>
      </w:r>
      <w:r w:rsidR="00EE1316">
        <w:rPr>
          <w:color w:val="auto"/>
          <w:lang w:bidi="es-ES"/>
        </w:rPr>
        <w:t>-2021</w:t>
      </w:r>
      <w:r w:rsidR="00705E94">
        <w:rPr>
          <w:color w:val="auto"/>
          <w:lang w:bidi="es-ES"/>
        </w:rPr>
        <w:t>.</w:t>
      </w:r>
    </w:p>
    <w:p w:rsidR="005773D0" w:rsidRPr="005C4D89" w:rsidRDefault="005773D0" w:rsidP="005773D0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p w:rsidR="00256215" w:rsidRPr="00256215" w:rsidRDefault="00FE1888" w:rsidP="00256215">
      <w:pPr>
        <w:pStyle w:val="Cuerpodelboletn"/>
        <w:spacing w:before="120" w:after="120" w:line="312" w:lineRule="auto"/>
        <w:ind w:left="709"/>
        <w:rPr>
          <w:b/>
          <w:color w:val="00642D"/>
          <w:sz w:val="32"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219174856"/>
          <w:placeholder>
            <w:docPart w:val="0D1B12810E674B789E9273833A80B3B3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 xml:space="preserve">IV. </w:t>
          </w:r>
          <w:r w:rsidR="00256215"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D1182E" w:rsidRDefault="00D1182E" w:rsidP="00FE7956">
      <w:pPr>
        <w:pStyle w:val="Cuerpodelboletn"/>
        <w:spacing w:line="276" w:lineRule="auto"/>
        <w:ind w:left="426"/>
      </w:pPr>
      <w:r>
        <w:t>El CTBG ha recibido</w:t>
      </w:r>
      <w:r w:rsidR="00FE1888" w:rsidRPr="00FE1888">
        <w:t xml:space="preserve"> en el periodo 2015-2020,</w:t>
      </w:r>
      <w:bookmarkStart w:id="0" w:name="_GoBack"/>
      <w:bookmarkEnd w:id="0"/>
      <w:r>
        <w:t xml:space="preserve"> un total de </w:t>
      </w:r>
      <w:r w:rsidR="005773D0">
        <w:t>15</w:t>
      </w:r>
      <w:r>
        <w:t xml:space="preserve"> reclamaciones contra resoluciones de la </w:t>
      </w:r>
      <w:r w:rsidR="005773D0">
        <w:t>CNMV</w:t>
      </w:r>
      <w:r>
        <w:t xml:space="preserve"> en materia de acceso a la información pública. De éstas, </w:t>
      </w:r>
      <w:r w:rsidR="00FE7956">
        <w:t>5</w:t>
      </w:r>
      <w:r>
        <w:t xml:space="preserve"> fueron estimadas –en </w:t>
      </w:r>
      <w:r w:rsidR="00FE7956">
        <w:t>dos casos</w:t>
      </w:r>
      <w:r>
        <w:t xml:space="preserve"> la </w:t>
      </w:r>
      <w:r w:rsidR="005773D0">
        <w:t>CNMV</w:t>
      </w:r>
      <w:r>
        <w:t xml:space="preserve"> concedió la información antes de finalizar el procedimiento de reclamación -. Otras </w:t>
      </w:r>
      <w:r w:rsidR="005773D0">
        <w:t>2</w:t>
      </w:r>
      <w:r>
        <w:t xml:space="preserve"> fueron desestimadas, </w:t>
      </w:r>
      <w:r w:rsidR="005773D0">
        <w:t>4 inadmitidas, 1</w:t>
      </w:r>
      <w:r>
        <w:t xml:space="preserve"> archivada</w:t>
      </w:r>
      <w:r w:rsidR="005773D0">
        <w:t xml:space="preserve"> y 1 suspendida por estar pendiente de resolución un recurso contencioso-administrativo que afecta a la misma materia objeto de la reclamación</w:t>
      </w:r>
      <w:r>
        <w:t>.</w:t>
      </w:r>
    </w:p>
    <w:p w:rsidR="00D1182E" w:rsidRDefault="00D1182E" w:rsidP="00FE7956">
      <w:pPr>
        <w:pStyle w:val="Cuerpodelboletn"/>
        <w:spacing w:line="276" w:lineRule="auto"/>
        <w:ind w:left="426"/>
      </w:pPr>
      <w:r>
        <w:t xml:space="preserve">Por lo tanto, de las </w:t>
      </w:r>
      <w:r w:rsidR="00FE7956">
        <w:t>8</w:t>
      </w:r>
      <w:r>
        <w:t xml:space="preserve"> reclamaciones admitidas a trámite</w:t>
      </w:r>
      <w:r w:rsidR="00FE7956">
        <w:t xml:space="preserve"> – incluyendo la que se encuentra suspendida -</w:t>
      </w:r>
      <w:r>
        <w:t xml:space="preserve">, un </w:t>
      </w:r>
      <w:r w:rsidR="00FE7956">
        <w:t>22,22</w:t>
      </w:r>
      <w:r>
        <w:t xml:space="preserve">% han sido favorables a la entidad y </w:t>
      </w:r>
      <w:r w:rsidR="00FE7956">
        <w:t>un 78,78%</w:t>
      </w:r>
      <w:r w:rsidR="00705E94">
        <w:t xml:space="preserve">  </w:t>
      </w:r>
      <w:r>
        <w:t xml:space="preserve">a los reclamantes. </w:t>
      </w:r>
    </w:p>
    <w:p w:rsidR="00342D31" w:rsidRDefault="00D1182E" w:rsidP="00FE7956">
      <w:pPr>
        <w:pStyle w:val="Cuerpodelboletn"/>
        <w:spacing w:line="276" w:lineRule="auto"/>
        <w:ind w:left="426"/>
      </w:pPr>
      <w:r>
        <w:t xml:space="preserve">La </w:t>
      </w:r>
      <w:r w:rsidR="000C3945">
        <w:t>CNMV</w:t>
      </w:r>
      <w:r>
        <w:t xml:space="preserve"> ha presentado </w:t>
      </w:r>
      <w:r w:rsidR="00FE7956">
        <w:t xml:space="preserve">cuatro </w:t>
      </w:r>
      <w:r>
        <w:t>recurso</w:t>
      </w:r>
      <w:r w:rsidR="00FE7956">
        <w:t>s</w:t>
      </w:r>
      <w:r>
        <w:t xml:space="preserve"> contencioso-administrativo</w:t>
      </w:r>
      <w:r w:rsidR="00FE7956">
        <w:t>s</w:t>
      </w:r>
      <w:r>
        <w:t xml:space="preserve"> contra resoluciones del CTBG, lo que sitúa la tasa de litigiosidad en el </w:t>
      </w:r>
      <w:r w:rsidR="00FE7956">
        <w:t>57,14</w:t>
      </w:r>
      <w:r>
        <w:t xml:space="preserve">%. El </w:t>
      </w:r>
      <w:r w:rsidR="00FE7956">
        <w:t xml:space="preserve">único </w:t>
      </w:r>
      <w:r>
        <w:t xml:space="preserve">recurso </w:t>
      </w:r>
      <w:r w:rsidR="00705E94">
        <w:t xml:space="preserve">con sentencia firme, </w:t>
      </w:r>
      <w:r w:rsidR="00FE7956">
        <w:t xml:space="preserve">ha sido </w:t>
      </w:r>
      <w:r>
        <w:t>favorable al CTBG.</w:t>
      </w:r>
    </w:p>
    <w:p w:rsidR="00342D31" w:rsidRPr="00FE7956" w:rsidRDefault="00FE7956" w:rsidP="001B0115">
      <w:pPr>
        <w:pStyle w:val="Cuerpodelboletn"/>
        <w:ind w:left="426"/>
      </w:pPr>
      <w:r w:rsidRPr="00FE7956">
        <w:rPr>
          <w:rStyle w:val="Ttulo2Car"/>
          <w:color w:val="00642D"/>
          <w:sz w:val="22"/>
          <w:szCs w:val="22"/>
          <w:lang w:bidi="es-ES"/>
        </w:rPr>
        <w:t xml:space="preserve">Tabla </w:t>
      </w:r>
      <w:r w:rsidRPr="00FE7956">
        <w:rPr>
          <w:rStyle w:val="Ttulo2Car"/>
          <w:color w:val="00642D"/>
          <w:sz w:val="22"/>
          <w:szCs w:val="22"/>
          <w:lang w:bidi="es-ES"/>
        </w:rPr>
        <w:fldChar w:fldCharType="begin"/>
      </w:r>
      <w:r w:rsidRPr="00FE7956">
        <w:rPr>
          <w:rStyle w:val="Ttulo2Car"/>
          <w:color w:val="00642D"/>
          <w:sz w:val="22"/>
          <w:szCs w:val="22"/>
          <w:lang w:bidi="es-ES"/>
        </w:rPr>
        <w:instrText xml:space="preserve"> SEQ Tabla \* ARABIC </w:instrText>
      </w:r>
      <w:r w:rsidRPr="00FE7956">
        <w:rPr>
          <w:rStyle w:val="Ttulo2Car"/>
          <w:color w:val="00642D"/>
          <w:sz w:val="22"/>
          <w:szCs w:val="22"/>
          <w:lang w:bidi="es-ES"/>
        </w:rPr>
        <w:fldChar w:fldCharType="separate"/>
      </w:r>
      <w:r w:rsidRPr="00FE7956">
        <w:rPr>
          <w:rStyle w:val="Ttulo2Car"/>
          <w:color w:val="00642D"/>
          <w:sz w:val="22"/>
          <w:szCs w:val="22"/>
          <w:lang w:bidi="es-ES"/>
        </w:rPr>
        <w:t>3</w:t>
      </w:r>
      <w:r w:rsidRPr="00FE7956">
        <w:rPr>
          <w:rStyle w:val="Ttulo2Car"/>
          <w:color w:val="00642D"/>
          <w:sz w:val="22"/>
          <w:szCs w:val="22"/>
          <w:lang w:bidi="es-ES"/>
        </w:rPr>
        <w:fldChar w:fldCharType="end"/>
      </w:r>
      <w:r w:rsidRPr="00FE7956">
        <w:rPr>
          <w:rStyle w:val="Ttulo2Car"/>
          <w:color w:val="00642D"/>
          <w:sz w:val="22"/>
          <w:szCs w:val="22"/>
          <w:lang w:bidi="es-ES"/>
        </w:rPr>
        <w:t>: Reclamaciones ante el Consejo de Transparencia y Buen Gobierno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299"/>
        <w:gridCol w:w="4479"/>
        <w:gridCol w:w="1843"/>
        <w:gridCol w:w="1559"/>
      </w:tblGrid>
      <w:tr w:rsidR="00342D31" w:rsidRPr="0048443D" w:rsidTr="00FE7956">
        <w:tc>
          <w:tcPr>
            <w:tcW w:w="1299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342D31" w:rsidRPr="0048443D" w:rsidRDefault="00342D31" w:rsidP="00D1182E">
            <w:pPr>
              <w:ind w:left="113" w:right="113"/>
              <w:jc w:val="center"/>
              <w:rPr>
                <w:color w:val="FFFFFF" w:themeColor="background1"/>
              </w:rPr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342D31" w:rsidRPr="0048443D" w:rsidRDefault="00342D31" w:rsidP="00D1182E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Nº de Resoluciones de la entidad recurridas ante el CTBG</w:t>
            </w:r>
          </w:p>
        </w:tc>
        <w:tc>
          <w:tcPr>
            <w:tcW w:w="1559" w:type="dxa"/>
            <w:vAlign w:val="center"/>
          </w:tcPr>
          <w:p w:rsidR="00342D31" w:rsidRPr="0048443D" w:rsidRDefault="00342D31" w:rsidP="00D1182E">
            <w:pPr>
              <w:jc w:val="center"/>
              <w:rPr>
                <w:sz w:val="20"/>
                <w:szCs w:val="20"/>
              </w:rPr>
            </w:pPr>
            <w:r w:rsidRPr="00953D62">
              <w:rPr>
                <w:sz w:val="20"/>
                <w:szCs w:val="20"/>
              </w:rPr>
              <w:t>15</w:t>
            </w:r>
          </w:p>
        </w:tc>
      </w:tr>
      <w:tr w:rsidR="00342D31" w:rsidRPr="0048443D" w:rsidTr="00FE7956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342D31" w:rsidRPr="0048443D" w:rsidRDefault="00342D31" w:rsidP="00D1182E">
            <w:pPr>
              <w:ind w:left="113" w:right="113"/>
              <w:jc w:val="center"/>
            </w:pPr>
          </w:p>
        </w:tc>
        <w:tc>
          <w:tcPr>
            <w:tcW w:w="4479" w:type="dxa"/>
            <w:vMerge w:val="restart"/>
            <w:tcBorders>
              <w:left w:val="nil"/>
            </w:tcBorders>
          </w:tcPr>
          <w:p w:rsidR="00342D31" w:rsidRPr="0048443D" w:rsidRDefault="00342D31" w:rsidP="00D1182E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Nº de Resoluciones del CTBG favorables a la entidad</w:t>
            </w:r>
          </w:p>
        </w:tc>
        <w:tc>
          <w:tcPr>
            <w:tcW w:w="1843" w:type="dxa"/>
            <w:tcBorders>
              <w:left w:val="nil"/>
            </w:tcBorders>
          </w:tcPr>
          <w:p w:rsidR="00342D31" w:rsidRPr="0048443D" w:rsidRDefault="00342D31" w:rsidP="00D1182E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Nº</w:t>
            </w:r>
          </w:p>
        </w:tc>
        <w:tc>
          <w:tcPr>
            <w:tcW w:w="1559" w:type="dxa"/>
            <w:vAlign w:val="center"/>
          </w:tcPr>
          <w:p w:rsidR="00342D31" w:rsidRPr="0048443D" w:rsidRDefault="00342D31" w:rsidP="00D11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42D31" w:rsidRPr="0048443D" w:rsidTr="00FE7956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342D31" w:rsidRPr="0048443D" w:rsidRDefault="00342D31" w:rsidP="00D1182E">
            <w:pPr>
              <w:ind w:left="113" w:right="113"/>
              <w:jc w:val="center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342D31" w:rsidRPr="0048443D" w:rsidRDefault="00342D31" w:rsidP="00D1182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342D31" w:rsidRPr="0048443D" w:rsidRDefault="00342D31" w:rsidP="00D1182E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342D31" w:rsidRPr="0048443D" w:rsidRDefault="00342D31" w:rsidP="00D11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22,22</w:t>
            </w:r>
          </w:p>
        </w:tc>
      </w:tr>
      <w:tr w:rsidR="00342D31" w:rsidRPr="0048443D" w:rsidTr="00FE7956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342D31" w:rsidRPr="0048443D" w:rsidRDefault="00342D31" w:rsidP="00D1182E">
            <w:pPr>
              <w:ind w:left="113" w:right="113"/>
              <w:jc w:val="center"/>
            </w:pPr>
          </w:p>
        </w:tc>
        <w:tc>
          <w:tcPr>
            <w:tcW w:w="4479" w:type="dxa"/>
            <w:vMerge w:val="restart"/>
            <w:tcBorders>
              <w:left w:val="nil"/>
            </w:tcBorders>
          </w:tcPr>
          <w:p w:rsidR="00342D31" w:rsidRPr="0048443D" w:rsidRDefault="00342D31" w:rsidP="00D1182E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Nº de Resoluciones del CTBG favorables a los reclamantes</w:t>
            </w:r>
          </w:p>
        </w:tc>
        <w:tc>
          <w:tcPr>
            <w:tcW w:w="1843" w:type="dxa"/>
            <w:tcBorders>
              <w:left w:val="nil"/>
            </w:tcBorders>
          </w:tcPr>
          <w:p w:rsidR="00342D31" w:rsidRPr="0048443D" w:rsidRDefault="00342D31" w:rsidP="00D1182E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Nº</w:t>
            </w:r>
          </w:p>
        </w:tc>
        <w:tc>
          <w:tcPr>
            <w:tcW w:w="1559" w:type="dxa"/>
            <w:vAlign w:val="center"/>
          </w:tcPr>
          <w:p w:rsidR="00342D31" w:rsidRPr="0048443D" w:rsidRDefault="005773D0" w:rsidP="00D11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42D31" w:rsidRPr="0048443D" w:rsidTr="00FE7956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342D31" w:rsidRPr="0048443D" w:rsidRDefault="00342D31" w:rsidP="00D1182E">
            <w:pPr>
              <w:ind w:left="113" w:right="113"/>
              <w:jc w:val="center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342D31" w:rsidRPr="0048443D" w:rsidRDefault="00342D31" w:rsidP="00D1182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342D31" w:rsidRPr="0048443D" w:rsidRDefault="00342D31" w:rsidP="00D1182E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342D31" w:rsidRPr="0048443D" w:rsidRDefault="00342D31" w:rsidP="00D11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78,78</w:t>
            </w:r>
          </w:p>
        </w:tc>
      </w:tr>
      <w:tr w:rsidR="00342D31" w:rsidRPr="0048443D" w:rsidTr="00FE7956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342D31" w:rsidRPr="0048443D" w:rsidRDefault="00342D31" w:rsidP="00D1182E">
            <w:pPr>
              <w:ind w:left="113" w:right="113"/>
              <w:jc w:val="center"/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342D31" w:rsidRPr="0048443D" w:rsidRDefault="00342D31" w:rsidP="00D1182E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Nº de Resoluciones del CTBG favorables a los reclamantes recurridas ante la jurisdicción contencioso-administrativa</w:t>
            </w:r>
          </w:p>
        </w:tc>
        <w:tc>
          <w:tcPr>
            <w:tcW w:w="1559" w:type="dxa"/>
            <w:vAlign w:val="center"/>
          </w:tcPr>
          <w:p w:rsidR="00342D31" w:rsidRPr="0048443D" w:rsidRDefault="00342D31" w:rsidP="00D11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42D31" w:rsidRPr="0048443D" w:rsidTr="00FE7956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342D31" w:rsidRPr="0048443D" w:rsidRDefault="00342D31" w:rsidP="00D1182E">
            <w:pPr>
              <w:ind w:left="113" w:right="113"/>
              <w:jc w:val="center"/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342D31" w:rsidRPr="0048443D" w:rsidRDefault="00342D31" w:rsidP="00D1182E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Tasa de litigiosidad</w:t>
            </w:r>
          </w:p>
        </w:tc>
        <w:tc>
          <w:tcPr>
            <w:tcW w:w="1559" w:type="dxa"/>
            <w:vAlign w:val="center"/>
          </w:tcPr>
          <w:p w:rsidR="00342D31" w:rsidRPr="0048443D" w:rsidRDefault="00342D31" w:rsidP="00D11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57,14</w:t>
            </w:r>
          </w:p>
        </w:tc>
      </w:tr>
      <w:tr w:rsidR="00342D31" w:rsidRPr="0048443D" w:rsidTr="00FE7956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342D31" w:rsidRPr="0048443D" w:rsidRDefault="00342D31" w:rsidP="00D1182E">
            <w:pPr>
              <w:ind w:left="113" w:right="113"/>
              <w:jc w:val="center"/>
            </w:pPr>
          </w:p>
        </w:tc>
        <w:tc>
          <w:tcPr>
            <w:tcW w:w="4479" w:type="dxa"/>
            <w:vMerge w:val="restart"/>
            <w:tcBorders>
              <w:left w:val="nil"/>
            </w:tcBorders>
            <w:vAlign w:val="center"/>
          </w:tcPr>
          <w:p w:rsidR="00342D31" w:rsidRPr="0048443D" w:rsidRDefault="00342D31" w:rsidP="00D1182E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Sentencias firmes favorables al CTBG</w:t>
            </w:r>
          </w:p>
        </w:tc>
        <w:tc>
          <w:tcPr>
            <w:tcW w:w="1843" w:type="dxa"/>
            <w:tcBorders>
              <w:left w:val="nil"/>
            </w:tcBorders>
          </w:tcPr>
          <w:p w:rsidR="00342D31" w:rsidRPr="0048443D" w:rsidRDefault="00342D31" w:rsidP="00D1182E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 xml:space="preserve">Nº </w:t>
            </w:r>
          </w:p>
        </w:tc>
        <w:tc>
          <w:tcPr>
            <w:tcW w:w="1559" w:type="dxa"/>
            <w:vAlign w:val="center"/>
          </w:tcPr>
          <w:p w:rsidR="00342D31" w:rsidRPr="0048443D" w:rsidRDefault="00342D31" w:rsidP="00D11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42D31" w:rsidRPr="0048443D" w:rsidTr="00FE7956">
        <w:trPr>
          <w:trHeight w:val="113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342D31" w:rsidRPr="0048443D" w:rsidRDefault="00342D31" w:rsidP="00D1182E">
            <w:pPr>
              <w:ind w:left="113" w:right="113"/>
              <w:jc w:val="center"/>
            </w:pPr>
          </w:p>
        </w:tc>
        <w:tc>
          <w:tcPr>
            <w:tcW w:w="4479" w:type="dxa"/>
            <w:vMerge/>
            <w:tcBorders>
              <w:left w:val="nil"/>
            </w:tcBorders>
            <w:vAlign w:val="center"/>
          </w:tcPr>
          <w:p w:rsidR="00342D31" w:rsidRPr="0048443D" w:rsidRDefault="00342D31" w:rsidP="00D1182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342D31" w:rsidRPr="0048443D" w:rsidRDefault="00342D31" w:rsidP="00D1182E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342D31" w:rsidRPr="0048443D" w:rsidRDefault="00342D31" w:rsidP="00D11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42D31" w:rsidRPr="0048443D" w:rsidTr="00FE7956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342D31" w:rsidRPr="0048443D" w:rsidRDefault="00342D31" w:rsidP="00D1182E">
            <w:pPr>
              <w:ind w:left="113" w:right="113"/>
              <w:jc w:val="center"/>
            </w:pPr>
          </w:p>
        </w:tc>
        <w:tc>
          <w:tcPr>
            <w:tcW w:w="4479" w:type="dxa"/>
            <w:vMerge w:val="restart"/>
            <w:tcBorders>
              <w:left w:val="nil"/>
            </w:tcBorders>
            <w:vAlign w:val="center"/>
          </w:tcPr>
          <w:p w:rsidR="00342D31" w:rsidRPr="0048443D" w:rsidRDefault="00342D31" w:rsidP="00D1182E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Sentencias firmes favorables a la entidad</w:t>
            </w:r>
          </w:p>
        </w:tc>
        <w:tc>
          <w:tcPr>
            <w:tcW w:w="1843" w:type="dxa"/>
            <w:tcBorders>
              <w:left w:val="nil"/>
            </w:tcBorders>
          </w:tcPr>
          <w:p w:rsidR="00342D31" w:rsidRPr="0048443D" w:rsidRDefault="00342D31" w:rsidP="00D1182E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 xml:space="preserve">Nº </w:t>
            </w:r>
          </w:p>
        </w:tc>
        <w:tc>
          <w:tcPr>
            <w:tcW w:w="1559" w:type="dxa"/>
            <w:vAlign w:val="center"/>
          </w:tcPr>
          <w:p w:rsidR="00342D31" w:rsidRPr="0048443D" w:rsidRDefault="00342D31" w:rsidP="00D11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2D31" w:rsidRPr="0048443D" w:rsidTr="00FE7956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342D31" w:rsidRPr="0048443D" w:rsidRDefault="00342D31" w:rsidP="00D1182E">
            <w:pPr>
              <w:ind w:left="113" w:right="113"/>
              <w:jc w:val="center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342D31" w:rsidRPr="0048443D" w:rsidRDefault="00342D31" w:rsidP="00D1182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342D31" w:rsidRPr="0048443D" w:rsidRDefault="00342D31" w:rsidP="00D1182E">
            <w:pPr>
              <w:rPr>
                <w:sz w:val="20"/>
                <w:szCs w:val="20"/>
              </w:rPr>
            </w:pPr>
            <w:r w:rsidRPr="0048443D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342D31" w:rsidRPr="0048443D" w:rsidRDefault="00342D31" w:rsidP="00D1182E">
            <w:pPr>
              <w:jc w:val="center"/>
              <w:rPr>
                <w:sz w:val="20"/>
                <w:szCs w:val="20"/>
              </w:rPr>
            </w:pPr>
          </w:p>
        </w:tc>
      </w:tr>
    </w:tbl>
    <w:p w:rsidR="00342D31" w:rsidRDefault="00342D31" w:rsidP="00256215">
      <w:pPr>
        <w:pStyle w:val="Cuerpodelboletn"/>
      </w:pPr>
    </w:p>
    <w:p w:rsidR="001F251B" w:rsidRPr="00256215" w:rsidRDefault="00FE1888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256215" w:rsidRDefault="00FE7956" w:rsidP="00FE7956">
      <w:pPr>
        <w:ind w:left="426"/>
      </w:pPr>
      <w:r>
        <w:t xml:space="preserve">Dado </w:t>
      </w:r>
      <w:r w:rsidR="00215688">
        <w:t xml:space="preserve">que la CNMV no dispone más que de un buzón de correo para la tramitación de las solicitudes de </w:t>
      </w:r>
      <w:r w:rsidR="00B03B3C">
        <w:t xml:space="preserve">acceso a la información </w:t>
      </w:r>
      <w:proofErr w:type="gramStart"/>
      <w:r w:rsidR="00B03B3C">
        <w:t>pública ,</w:t>
      </w:r>
      <w:proofErr w:type="gramEnd"/>
      <w:r w:rsidR="00B03B3C">
        <w:t xml:space="preserve"> </w:t>
      </w:r>
      <w:r w:rsidR="00215688">
        <w:t>no cabe reseñar buenas prácticas en esta materia.</w:t>
      </w:r>
    </w:p>
    <w:p w:rsidR="001B0115" w:rsidRDefault="001B0115" w:rsidP="00FE7956">
      <w:pPr>
        <w:ind w:left="426"/>
      </w:pPr>
    </w:p>
    <w:p w:rsidR="00256215" w:rsidRDefault="00FE1888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F87AD3" w:rsidRDefault="00F87AD3" w:rsidP="00F87AD3">
      <w:pPr>
        <w:pStyle w:val="Prrafodelista"/>
        <w:ind w:left="426"/>
        <w:rPr>
          <w:rStyle w:val="Ttulo2Car"/>
          <w:color w:val="00642D"/>
          <w:sz w:val="22"/>
          <w:szCs w:val="22"/>
          <w:lang w:bidi="es-ES"/>
        </w:rPr>
      </w:pPr>
    </w:p>
    <w:p w:rsidR="00F87AD3" w:rsidRPr="00B70DBD" w:rsidRDefault="00F87AD3" w:rsidP="00F87AD3">
      <w:pPr>
        <w:pStyle w:val="Prrafodelista"/>
        <w:numPr>
          <w:ilvl w:val="0"/>
          <w:numId w:val="7"/>
        </w:numPr>
        <w:ind w:left="426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87AD3" w:rsidRDefault="00F87AD3" w:rsidP="00342D31">
      <w:pPr>
        <w:pStyle w:val="Prrafodelista"/>
        <w:ind w:left="426"/>
        <w:jc w:val="both"/>
        <w:rPr>
          <w:bCs/>
        </w:rPr>
      </w:pPr>
    </w:p>
    <w:p w:rsidR="00342D31" w:rsidRDefault="00342D31" w:rsidP="00342D31">
      <w:pPr>
        <w:pStyle w:val="Prrafodelista"/>
        <w:ind w:left="426"/>
        <w:jc w:val="both"/>
        <w:rPr>
          <w:bCs/>
        </w:rPr>
      </w:pPr>
      <w:r w:rsidRPr="008648E8">
        <w:rPr>
          <w:bCs/>
        </w:rPr>
        <w:t xml:space="preserve">La </w:t>
      </w:r>
      <w:r w:rsidR="00215688">
        <w:rPr>
          <w:bCs/>
        </w:rPr>
        <w:t>CNMV</w:t>
      </w:r>
      <w:r>
        <w:rPr>
          <w:bCs/>
        </w:rPr>
        <w:t xml:space="preserve"> tramita </w:t>
      </w:r>
      <w:r w:rsidR="00215688">
        <w:rPr>
          <w:bCs/>
        </w:rPr>
        <w:t>el 100%</w:t>
      </w:r>
      <w:r>
        <w:rPr>
          <w:bCs/>
        </w:rPr>
        <w:t xml:space="preserve"> de las solicitudes que recibe</w:t>
      </w:r>
      <w:r w:rsidR="00215688">
        <w:rPr>
          <w:bCs/>
        </w:rPr>
        <w:t xml:space="preserve"> y</w:t>
      </w:r>
      <w:r>
        <w:rPr>
          <w:bCs/>
        </w:rPr>
        <w:t xml:space="preserve"> admite </w:t>
      </w:r>
      <w:r w:rsidR="00215688">
        <w:rPr>
          <w:bCs/>
        </w:rPr>
        <w:t>casi un 95%</w:t>
      </w:r>
      <w:r>
        <w:rPr>
          <w:bCs/>
        </w:rPr>
        <w:t xml:space="preserve"> de ellas.</w:t>
      </w:r>
      <w:r w:rsidR="00705E94">
        <w:rPr>
          <w:bCs/>
        </w:rPr>
        <w:t xml:space="preserve">      </w:t>
      </w:r>
    </w:p>
    <w:p w:rsidR="00342D31" w:rsidRDefault="00342D31" w:rsidP="00342D31">
      <w:pPr>
        <w:pStyle w:val="Prrafodelista"/>
        <w:ind w:left="426"/>
        <w:jc w:val="both"/>
        <w:rPr>
          <w:bCs/>
        </w:rPr>
      </w:pPr>
    </w:p>
    <w:p w:rsidR="00342D31" w:rsidRDefault="00342D31" w:rsidP="00342D31">
      <w:pPr>
        <w:pStyle w:val="Prrafodelista"/>
        <w:ind w:left="426"/>
        <w:jc w:val="both"/>
        <w:rPr>
          <w:bCs/>
        </w:rPr>
      </w:pPr>
      <w:r>
        <w:rPr>
          <w:bCs/>
        </w:rPr>
        <w:t xml:space="preserve">Por lo que respecta a las resoluciones, </w:t>
      </w:r>
      <w:r w:rsidR="00F87AD3">
        <w:rPr>
          <w:bCs/>
        </w:rPr>
        <w:t xml:space="preserve">según los datos remitidos, </w:t>
      </w:r>
      <w:r>
        <w:rPr>
          <w:bCs/>
        </w:rPr>
        <w:t xml:space="preserve">emite resolución expresa para la totalidad de las solicitudes admitidas, concediendo el acceso total a la información solicitada en el </w:t>
      </w:r>
      <w:r w:rsidR="00215688">
        <w:rPr>
          <w:bCs/>
        </w:rPr>
        <w:t>63,64</w:t>
      </w:r>
      <w:r>
        <w:rPr>
          <w:bCs/>
        </w:rPr>
        <w:t xml:space="preserve">% de los casos. Un </w:t>
      </w:r>
      <w:r w:rsidR="00215688">
        <w:rPr>
          <w:bCs/>
        </w:rPr>
        <w:t>38,89</w:t>
      </w:r>
      <w:r>
        <w:rPr>
          <w:bCs/>
        </w:rPr>
        <w:t xml:space="preserve">% de las resoluciones deniega la información aplicando los límites del </w:t>
      </w:r>
      <w:r w:rsidR="00215688">
        <w:rPr>
          <w:bCs/>
        </w:rPr>
        <w:t xml:space="preserve">artículo 14.1 de la LTAIBG, en todos los casos la </w:t>
      </w:r>
      <w:r w:rsidR="00215688" w:rsidRPr="00215688">
        <w:rPr>
          <w:bCs/>
        </w:rPr>
        <w:t>garantía de la confidencialidad o el secreto requerido en procesos de toma de decisión</w:t>
      </w:r>
      <w:r>
        <w:rPr>
          <w:bCs/>
        </w:rPr>
        <w:t xml:space="preserve"> (letra </w:t>
      </w:r>
      <w:r w:rsidR="00215688">
        <w:rPr>
          <w:bCs/>
        </w:rPr>
        <w:t>k</w:t>
      </w:r>
      <w:r>
        <w:rPr>
          <w:bCs/>
        </w:rPr>
        <w:t>).</w:t>
      </w:r>
    </w:p>
    <w:p w:rsidR="00342D31" w:rsidRDefault="00342D31" w:rsidP="00342D31">
      <w:pPr>
        <w:pStyle w:val="Prrafodelista"/>
        <w:ind w:left="426"/>
        <w:jc w:val="both"/>
        <w:rPr>
          <w:bCs/>
        </w:rPr>
      </w:pPr>
    </w:p>
    <w:p w:rsidR="00342D31" w:rsidRDefault="00342D31" w:rsidP="00342D31">
      <w:pPr>
        <w:pStyle w:val="Prrafodelista"/>
        <w:ind w:left="426"/>
        <w:jc w:val="both"/>
        <w:rPr>
          <w:bCs/>
        </w:rPr>
      </w:pPr>
      <w:r>
        <w:rPr>
          <w:bCs/>
        </w:rPr>
        <w:t>Una cuestión adicional es que no se publican las resoluciones que deniegan el acceso a la información en aplicación de los límites del artículo 14.</w:t>
      </w:r>
    </w:p>
    <w:p w:rsidR="00342D31" w:rsidRDefault="00342D31" w:rsidP="00342D31">
      <w:pPr>
        <w:pStyle w:val="Prrafodelista"/>
        <w:ind w:left="426"/>
        <w:jc w:val="both"/>
        <w:rPr>
          <w:bCs/>
        </w:rPr>
      </w:pPr>
      <w:r>
        <w:rPr>
          <w:bCs/>
        </w:rPr>
        <w:t xml:space="preserve"> </w:t>
      </w:r>
    </w:p>
    <w:p w:rsidR="00215688" w:rsidRPr="008648E8" w:rsidRDefault="00215688" w:rsidP="00215688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La CNMV debería publicar en su Portal de Transparencia las resoluciones que deniegan el acceso a la información por aplicación de los límites del artículo 14, según lo dispuesto por el artículo 14.3 de la LTAIBG.</w:t>
      </w:r>
    </w:p>
    <w:p w:rsidR="00342D31" w:rsidRDefault="00342D31" w:rsidP="00342D31">
      <w:pPr>
        <w:pStyle w:val="Prrafodelista"/>
        <w:ind w:left="426"/>
      </w:pPr>
    </w:p>
    <w:p w:rsidR="00342D31" w:rsidRPr="001018C9" w:rsidRDefault="00342D31" w:rsidP="00342D31">
      <w:pPr>
        <w:pStyle w:val="Prrafodelista"/>
        <w:numPr>
          <w:ilvl w:val="0"/>
          <w:numId w:val="7"/>
        </w:numPr>
        <w:ind w:left="426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342D31" w:rsidRDefault="00342D31" w:rsidP="00342D31">
      <w:pPr>
        <w:pStyle w:val="Prrafodelista"/>
        <w:ind w:left="426"/>
      </w:pPr>
    </w:p>
    <w:p w:rsidR="00342D31" w:rsidRDefault="00342D31" w:rsidP="00342D31">
      <w:pPr>
        <w:pStyle w:val="Prrafodelista"/>
        <w:ind w:left="426"/>
        <w:jc w:val="both"/>
      </w:pPr>
      <w:r>
        <w:t xml:space="preserve">Como se ha indicado, la </w:t>
      </w:r>
      <w:r w:rsidR="00215688">
        <w:t>CNMV</w:t>
      </w:r>
      <w:r>
        <w:t xml:space="preserve"> no incluye en ningún espacio de su web institucional información sobre la posibilidad de que los ciudadanos efectúen solicitudes de información pública dirigidas a la </w:t>
      </w:r>
      <w:r w:rsidR="00215688">
        <w:t>entidad</w:t>
      </w:r>
      <w:r>
        <w:t xml:space="preserve">. Tampoco incluye instrucciones, ni aporta información sobre los medios habilitados ni sobre los requisitos necesarios </w:t>
      </w:r>
      <w:r w:rsidRPr="00342775">
        <w:t>para la presentación de estas solicitudes</w:t>
      </w:r>
      <w:r>
        <w:t>.</w:t>
      </w:r>
      <w:r w:rsidR="00215688">
        <w:t xml:space="preserve"> Solo se proporciona un enlace a un buzón de correo para la presentación de las solicitudes.</w:t>
      </w:r>
    </w:p>
    <w:p w:rsidR="00342D31" w:rsidRDefault="00342D31" w:rsidP="00342D31">
      <w:pPr>
        <w:pStyle w:val="Prrafodelista"/>
        <w:ind w:left="426"/>
        <w:jc w:val="both"/>
      </w:pPr>
    </w:p>
    <w:p w:rsidR="00342D31" w:rsidRDefault="00342D31" w:rsidP="00342D31">
      <w:pPr>
        <w:pStyle w:val="Prrafodelista"/>
        <w:ind w:left="426"/>
        <w:jc w:val="both"/>
      </w:pPr>
      <w:r>
        <w:t>Todo ello puede dificultar el acceso al ejercicio del derecho</w:t>
      </w:r>
      <w:r w:rsidR="00215688">
        <w:t>.</w:t>
      </w:r>
    </w:p>
    <w:p w:rsidR="00342D31" w:rsidRDefault="00342D31" w:rsidP="00342D31">
      <w:pPr>
        <w:pStyle w:val="Prrafodelista"/>
        <w:ind w:left="426"/>
        <w:jc w:val="both"/>
      </w:pPr>
    </w:p>
    <w:p w:rsidR="00342D31" w:rsidRDefault="00342D31" w:rsidP="00342D31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426"/>
        <w:jc w:val="both"/>
      </w:pPr>
      <w:r>
        <w:t xml:space="preserve">Este Consejo recomienda que, para facilitar el acceso de la ciudadanía al ejercicio del derecho de acceso a la información pública, en el Portal de Transparencia de la </w:t>
      </w:r>
      <w:r w:rsidR="00215688">
        <w:t>CNMV</w:t>
      </w:r>
      <w:r>
        <w:t xml:space="preserve">, se incluya un enlace a un apartado específico, en el que se proporcione información sobre el derecho que asiste a los ciudadanos a solicitar información pública, se indiquen los medios habilitados para la presentación de las solicitudes de información pública dirigidas a la </w:t>
      </w:r>
      <w:r w:rsidR="00F87AD3">
        <w:t>entidad</w:t>
      </w:r>
      <w:r>
        <w:t xml:space="preserve"> y se informe sobre los requisitos necesarios para la presentación de una solicitud de acceso a la información pública de la </w:t>
      </w:r>
      <w:r w:rsidR="00215688">
        <w:t>CNMV</w:t>
      </w:r>
      <w:r>
        <w:t xml:space="preserve">. </w:t>
      </w:r>
    </w:p>
    <w:p w:rsidR="00342D31" w:rsidRDefault="00342D31" w:rsidP="00342D31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426"/>
        <w:jc w:val="both"/>
      </w:pPr>
    </w:p>
    <w:p w:rsidR="00342D31" w:rsidRDefault="00342D31" w:rsidP="00342D31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426"/>
        <w:jc w:val="both"/>
      </w:pPr>
      <w:r>
        <w:lastRenderedPageBreak/>
        <w:t>Este mismo espacio podría utilizarse para la publicación de las resoluciones denegatorias por aplicación de los límites del artículo14 de la LTAIBG</w:t>
      </w:r>
    </w:p>
    <w:p w:rsidR="00342D31" w:rsidRDefault="00342D31" w:rsidP="00342D31">
      <w:pPr>
        <w:pStyle w:val="Prrafodelista"/>
        <w:ind w:left="426"/>
        <w:jc w:val="both"/>
      </w:pPr>
    </w:p>
    <w:p w:rsidR="00342D31" w:rsidRDefault="00342D31" w:rsidP="00342D31">
      <w:pPr>
        <w:pStyle w:val="Prrafodelista"/>
        <w:ind w:left="426"/>
        <w:jc w:val="both"/>
      </w:pPr>
      <w:r>
        <w:t xml:space="preserve"> </w:t>
      </w:r>
    </w:p>
    <w:p w:rsidR="00342D31" w:rsidRPr="00B70DBD" w:rsidRDefault="00342D31" w:rsidP="00342D31">
      <w:pPr>
        <w:pStyle w:val="Prrafodelista"/>
        <w:numPr>
          <w:ilvl w:val="0"/>
          <w:numId w:val="6"/>
        </w:numPr>
        <w:ind w:left="426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342D31" w:rsidRDefault="00342D31" w:rsidP="00342D31">
      <w:pPr>
        <w:pStyle w:val="Prrafodelista"/>
        <w:ind w:left="426"/>
        <w:jc w:val="both"/>
      </w:pPr>
    </w:p>
    <w:p w:rsidR="00215688" w:rsidRDefault="00342D31" w:rsidP="00342D31">
      <w:pPr>
        <w:pStyle w:val="Prrafodelista"/>
        <w:ind w:left="426"/>
        <w:jc w:val="both"/>
      </w:pPr>
      <w:r>
        <w:t xml:space="preserve">La gestión de la solicitud de acceso presentada </w:t>
      </w:r>
      <w:r w:rsidR="00215688">
        <w:t xml:space="preserve">no </w:t>
      </w:r>
      <w:r>
        <w:t>se ha ajustado al procedim</w:t>
      </w:r>
      <w:r w:rsidR="00215688">
        <w:t>iento establecido por la LTAIBG</w:t>
      </w:r>
      <w:r w:rsidR="00705E94">
        <w:t>.</w:t>
      </w:r>
    </w:p>
    <w:p w:rsidR="00215688" w:rsidRDefault="00215688" w:rsidP="00342D31">
      <w:pPr>
        <w:pStyle w:val="Prrafodelista"/>
        <w:ind w:left="426"/>
        <w:jc w:val="both"/>
      </w:pPr>
    </w:p>
    <w:p w:rsidR="00342D31" w:rsidRDefault="00215688" w:rsidP="00342D31">
      <w:pPr>
        <w:pStyle w:val="Prrafodelista"/>
        <w:ind w:left="426"/>
        <w:jc w:val="both"/>
      </w:pPr>
      <w:r>
        <w:t>En primer lugar</w:t>
      </w:r>
      <w:r w:rsidR="00B03B3C">
        <w:t>,</w:t>
      </w:r>
      <w:r>
        <w:t xml:space="preserve"> porque </w:t>
      </w:r>
      <w:r w:rsidR="00342D31">
        <w:t xml:space="preserve">no se solicitó subsanación a pesar de que no se había definido el </w:t>
      </w:r>
      <w:r w:rsidR="00330EC6">
        <w:t>formato en</w:t>
      </w:r>
      <w:r w:rsidR="00342D31">
        <w:t xml:space="preserve"> el que se solicitaba la información. </w:t>
      </w:r>
    </w:p>
    <w:p w:rsidR="00342D31" w:rsidRDefault="00342D31" w:rsidP="00342D31">
      <w:pPr>
        <w:pStyle w:val="Prrafodelista"/>
        <w:ind w:left="426"/>
        <w:jc w:val="both"/>
      </w:pPr>
    </w:p>
    <w:p w:rsidR="00342D31" w:rsidRDefault="00330EC6" w:rsidP="00342D31">
      <w:pPr>
        <w:pStyle w:val="Prrafodelista"/>
        <w:ind w:left="426"/>
        <w:jc w:val="both"/>
      </w:pPr>
      <w:r>
        <w:t>En segundo lugar</w:t>
      </w:r>
      <w:r w:rsidR="00B03B3C">
        <w:t>,</w:t>
      </w:r>
      <w:r>
        <w:t xml:space="preserve"> porque la CNMV no emite una resolución expresa. La información se remite en un fichero adjunto a un correo electrónico en el que solo existe una referencia a la Unidad de Transparencia de CNMV y que no incluye pie de recurso, </w:t>
      </w:r>
      <w:r w:rsidRPr="00330EC6">
        <w:t>carec</w:t>
      </w:r>
      <w:r>
        <w:t>i</w:t>
      </w:r>
      <w:r w:rsidRPr="00330EC6">
        <w:t>e</w:t>
      </w:r>
      <w:r>
        <w:t xml:space="preserve">ndo en consecuencia, </w:t>
      </w:r>
      <w:r w:rsidRPr="00330EC6">
        <w:t>de información sobre los medios de impugnación en caso de disconformidad</w:t>
      </w:r>
      <w:r w:rsidR="00705E94">
        <w:t xml:space="preserve">      </w:t>
      </w:r>
      <w:r w:rsidRPr="00330EC6">
        <w:t>con la respuesta proporcionada, cuestión sobre la que tampoco se informa en el Portal de Transparencia de la entidad.</w:t>
      </w:r>
      <w:r w:rsidR="00705E94">
        <w:t xml:space="preserve">      </w:t>
      </w:r>
    </w:p>
    <w:p w:rsidR="00330EC6" w:rsidRDefault="00330EC6" w:rsidP="00342D31">
      <w:pPr>
        <w:pStyle w:val="Prrafodelista"/>
        <w:ind w:left="426"/>
        <w:jc w:val="both"/>
      </w:pPr>
    </w:p>
    <w:p w:rsidR="00330EC6" w:rsidRDefault="00330EC6" w:rsidP="00B03B3C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426"/>
        <w:jc w:val="both"/>
      </w:pPr>
      <w:r>
        <w:t>La CNMV debe ajustarse al procedimiento establecido por las Leyes 19/2013 y 39/2015</w:t>
      </w:r>
      <w:r w:rsidR="00705E94">
        <w:t>:</w:t>
      </w:r>
      <w:r>
        <w:t xml:space="preserve"> debe emitir una resolución expresa – no es suficiente un correo electrónico informando de la remisión de la información -</w:t>
      </w:r>
      <w:r w:rsidR="00705E94">
        <w:t xml:space="preserve"> </w:t>
      </w:r>
      <w:r>
        <w:t xml:space="preserve">que indique los recursos que contra la misma procedan, órgano administrativo o judicial ante el que presentarlos y el plazo para interponerlos. </w:t>
      </w:r>
    </w:p>
    <w:p w:rsidR="00330EC6" w:rsidRDefault="00330EC6" w:rsidP="00342D31">
      <w:pPr>
        <w:pStyle w:val="Prrafodelista"/>
        <w:tabs>
          <w:tab w:val="left" w:pos="426"/>
        </w:tabs>
        <w:ind w:left="426"/>
        <w:jc w:val="both"/>
      </w:pPr>
    </w:p>
    <w:p w:rsidR="00342D31" w:rsidRDefault="00342D31" w:rsidP="00342D31">
      <w:pPr>
        <w:pStyle w:val="Prrafodelista"/>
        <w:tabs>
          <w:tab w:val="left" w:pos="426"/>
        </w:tabs>
        <w:ind w:left="426"/>
        <w:jc w:val="both"/>
      </w:pPr>
      <w:r>
        <w:t xml:space="preserve">La notificación se efectúa por </w:t>
      </w:r>
      <w:r w:rsidR="00705E94">
        <w:t>correo electrónico</w:t>
      </w:r>
      <w:r>
        <w:t xml:space="preserve"> </w:t>
      </w:r>
      <w:r w:rsidR="001F6DBD">
        <w:t xml:space="preserve">y </w:t>
      </w:r>
      <w:r>
        <w:t>la información se proporciona en el momento de la notificación</w:t>
      </w:r>
      <w:r w:rsidR="001F6DBD">
        <w:t xml:space="preserve">. Aunque no se había especificado el formato de entrega, la información se proporciona en formato </w:t>
      </w:r>
      <w:r w:rsidR="00705E94">
        <w:t xml:space="preserve">reutilizable junto al correo electrónico </w:t>
      </w:r>
      <w:r w:rsidR="001F6DBD">
        <w:t>lo que es coherente con la forma de presentación de la solicitud que</w:t>
      </w:r>
      <w:r w:rsidR="00705E94">
        <w:t>,</w:t>
      </w:r>
      <w:r w:rsidR="001F6DBD">
        <w:t xml:space="preserve"> por otra parte</w:t>
      </w:r>
      <w:r w:rsidR="00705E94">
        <w:t>,</w:t>
      </w:r>
      <w:r w:rsidR="001F6DBD">
        <w:t xml:space="preserve"> </w:t>
      </w:r>
      <w:r w:rsidR="00F87AD3">
        <w:t>es la única habilitada en el Por</w:t>
      </w:r>
      <w:r w:rsidR="001F6DBD">
        <w:t>tal de Transparencia de la CNMV.</w:t>
      </w:r>
    </w:p>
    <w:p w:rsidR="00B40246" w:rsidRDefault="00B40246"/>
    <w:sectPr w:rsidR="00B40246" w:rsidSect="00705E94">
      <w:footerReference w:type="default" r:id="rId12"/>
      <w:pgSz w:w="11906" w:h="16838"/>
      <w:pgMar w:top="1276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E94" w:rsidRDefault="00705E94" w:rsidP="00932008">
      <w:pPr>
        <w:spacing w:after="0" w:line="240" w:lineRule="auto"/>
      </w:pPr>
      <w:r>
        <w:separator/>
      </w:r>
    </w:p>
  </w:endnote>
  <w:endnote w:type="continuationSeparator" w:id="0">
    <w:p w:rsidR="00705E94" w:rsidRDefault="00705E9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939407"/>
      <w:docPartObj>
        <w:docPartGallery w:val="Page Numbers (Bottom of Page)"/>
        <w:docPartUnique/>
      </w:docPartObj>
    </w:sdtPr>
    <w:sdtEndPr/>
    <w:sdtContent>
      <w:p w:rsidR="008D1EB2" w:rsidRDefault="008D1EB2">
        <w:pPr>
          <w:pStyle w:val="Piedepgina"/>
          <w:jc w:val="right"/>
        </w:pPr>
        <w:r w:rsidRPr="008D1EB2">
          <w:rPr>
            <w:sz w:val="20"/>
            <w:szCs w:val="20"/>
          </w:rPr>
          <w:fldChar w:fldCharType="begin"/>
        </w:r>
        <w:r w:rsidRPr="008D1EB2">
          <w:rPr>
            <w:sz w:val="20"/>
            <w:szCs w:val="20"/>
          </w:rPr>
          <w:instrText>PAGE   \* MERGEFORMAT</w:instrText>
        </w:r>
        <w:r w:rsidRPr="008D1EB2">
          <w:rPr>
            <w:sz w:val="20"/>
            <w:szCs w:val="20"/>
          </w:rPr>
          <w:fldChar w:fldCharType="separate"/>
        </w:r>
        <w:r w:rsidR="00FE1888">
          <w:rPr>
            <w:noProof/>
            <w:sz w:val="20"/>
            <w:szCs w:val="20"/>
          </w:rPr>
          <w:t>4</w:t>
        </w:r>
        <w:r w:rsidRPr="008D1EB2">
          <w:rPr>
            <w:sz w:val="20"/>
            <w:szCs w:val="20"/>
          </w:rPr>
          <w:fldChar w:fldCharType="end"/>
        </w:r>
      </w:p>
    </w:sdtContent>
  </w:sdt>
  <w:p w:rsidR="008D1EB2" w:rsidRDefault="008D1E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E94" w:rsidRDefault="00705E94" w:rsidP="00932008">
      <w:pPr>
        <w:spacing w:after="0" w:line="240" w:lineRule="auto"/>
      </w:pPr>
      <w:r>
        <w:separator/>
      </w:r>
    </w:p>
  </w:footnote>
  <w:footnote w:type="continuationSeparator" w:id="0">
    <w:p w:rsidR="00705E94" w:rsidRDefault="00705E94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55B15"/>
    <w:rsid w:val="00062F5A"/>
    <w:rsid w:val="00082FBF"/>
    <w:rsid w:val="000965B3"/>
    <w:rsid w:val="000C3945"/>
    <w:rsid w:val="000C6CFF"/>
    <w:rsid w:val="00102733"/>
    <w:rsid w:val="0012783F"/>
    <w:rsid w:val="001561A4"/>
    <w:rsid w:val="00170453"/>
    <w:rsid w:val="00176A94"/>
    <w:rsid w:val="00194000"/>
    <w:rsid w:val="001B0115"/>
    <w:rsid w:val="001F251B"/>
    <w:rsid w:val="001F6DBD"/>
    <w:rsid w:val="00215688"/>
    <w:rsid w:val="00241D7A"/>
    <w:rsid w:val="00256215"/>
    <w:rsid w:val="00287962"/>
    <w:rsid w:val="002A154B"/>
    <w:rsid w:val="0032346F"/>
    <w:rsid w:val="00330EC6"/>
    <w:rsid w:val="00334115"/>
    <w:rsid w:val="00342D31"/>
    <w:rsid w:val="00377F7B"/>
    <w:rsid w:val="003F271E"/>
    <w:rsid w:val="003F572A"/>
    <w:rsid w:val="0045203D"/>
    <w:rsid w:val="004A123A"/>
    <w:rsid w:val="004D6E73"/>
    <w:rsid w:val="004F2655"/>
    <w:rsid w:val="005446A8"/>
    <w:rsid w:val="00561402"/>
    <w:rsid w:val="0057532F"/>
    <w:rsid w:val="005773D0"/>
    <w:rsid w:val="00595AAF"/>
    <w:rsid w:val="005B1F0E"/>
    <w:rsid w:val="005B3C15"/>
    <w:rsid w:val="0062241B"/>
    <w:rsid w:val="006A2766"/>
    <w:rsid w:val="00700449"/>
    <w:rsid w:val="00705E94"/>
    <w:rsid w:val="00706E04"/>
    <w:rsid w:val="00707CFE"/>
    <w:rsid w:val="00710031"/>
    <w:rsid w:val="00727BA2"/>
    <w:rsid w:val="00743756"/>
    <w:rsid w:val="007B0F99"/>
    <w:rsid w:val="007B7838"/>
    <w:rsid w:val="007D6B40"/>
    <w:rsid w:val="007F6237"/>
    <w:rsid w:val="00815659"/>
    <w:rsid w:val="008207D9"/>
    <w:rsid w:val="00844FA9"/>
    <w:rsid w:val="008C1E1E"/>
    <w:rsid w:val="008D1EB2"/>
    <w:rsid w:val="00923092"/>
    <w:rsid w:val="009239D9"/>
    <w:rsid w:val="00932008"/>
    <w:rsid w:val="00953D62"/>
    <w:rsid w:val="009609E9"/>
    <w:rsid w:val="00983919"/>
    <w:rsid w:val="00A41DD5"/>
    <w:rsid w:val="00AB701C"/>
    <w:rsid w:val="00AC5A8D"/>
    <w:rsid w:val="00AC756B"/>
    <w:rsid w:val="00B03B3C"/>
    <w:rsid w:val="00B3489F"/>
    <w:rsid w:val="00B40246"/>
    <w:rsid w:val="00B5583D"/>
    <w:rsid w:val="00B812AB"/>
    <w:rsid w:val="00B841AE"/>
    <w:rsid w:val="00BB6799"/>
    <w:rsid w:val="00BD4582"/>
    <w:rsid w:val="00BE6A46"/>
    <w:rsid w:val="00C33A23"/>
    <w:rsid w:val="00C34BB5"/>
    <w:rsid w:val="00C4479B"/>
    <w:rsid w:val="00C5744D"/>
    <w:rsid w:val="00CB5511"/>
    <w:rsid w:val="00CC2049"/>
    <w:rsid w:val="00CC587B"/>
    <w:rsid w:val="00D1182E"/>
    <w:rsid w:val="00D445A7"/>
    <w:rsid w:val="00D52E43"/>
    <w:rsid w:val="00D7347E"/>
    <w:rsid w:val="00D96F84"/>
    <w:rsid w:val="00DD3E02"/>
    <w:rsid w:val="00DE4AA9"/>
    <w:rsid w:val="00DF63E7"/>
    <w:rsid w:val="00E26FD2"/>
    <w:rsid w:val="00E3088D"/>
    <w:rsid w:val="00E34195"/>
    <w:rsid w:val="00E47613"/>
    <w:rsid w:val="00E569FD"/>
    <w:rsid w:val="00EE1316"/>
    <w:rsid w:val="00EE5BDF"/>
    <w:rsid w:val="00F14DA4"/>
    <w:rsid w:val="00F47C3B"/>
    <w:rsid w:val="00F71D7D"/>
    <w:rsid w:val="00F7263F"/>
    <w:rsid w:val="00F87AD3"/>
    <w:rsid w:val="00FD5B21"/>
    <w:rsid w:val="00FE0FC5"/>
    <w:rsid w:val="00FE1888"/>
    <w:rsid w:val="00F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paragraph" w:styleId="Epgrafe">
    <w:name w:val="caption"/>
    <w:basedOn w:val="Normal"/>
    <w:next w:val="Normal"/>
    <w:uiPriority w:val="35"/>
    <w:unhideWhenUsed/>
    <w:qFormat/>
    <w:rsid w:val="00AB701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704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paragraph" w:styleId="Epgrafe">
    <w:name w:val="caption"/>
    <w:basedOn w:val="Normal"/>
    <w:next w:val="Normal"/>
    <w:uiPriority w:val="35"/>
    <w:unhideWhenUsed/>
    <w:qFormat/>
    <w:rsid w:val="00AB701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704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C7AFA"/>
    <w:rsid w:val="0034409F"/>
    <w:rsid w:val="00350353"/>
    <w:rsid w:val="003D088C"/>
    <w:rsid w:val="004368EF"/>
    <w:rsid w:val="00781D6A"/>
    <w:rsid w:val="00C26568"/>
    <w:rsid w:val="00D35513"/>
    <w:rsid w:val="00E147F2"/>
    <w:rsid w:val="00E16D50"/>
    <w:rsid w:val="00E5085E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085E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085E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BF805B-A0B2-4228-B47B-93B6DE77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1524</TotalTime>
  <Pages>6</Pages>
  <Words>1778</Words>
  <Characters>9784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24</cp:revision>
  <cp:lastPrinted>2007-10-26T10:03:00Z</cp:lastPrinted>
  <dcterms:created xsi:type="dcterms:W3CDTF">2021-02-11T12:29:00Z</dcterms:created>
  <dcterms:modified xsi:type="dcterms:W3CDTF">2021-05-06T12:50:00Z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