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7E" w:rsidRPr="009E422A" w:rsidRDefault="009E422A">
      <w:pPr>
        <w:rPr>
          <w:rFonts w:ascii="Century Gothic" w:hAnsi="Century Gothic"/>
        </w:rPr>
      </w:pPr>
      <w:r w:rsidRPr="009E422A">
        <w:rPr>
          <w:rFonts w:ascii="Century Gothic" w:hAnsi="Century Gothic"/>
        </w:rPr>
        <w:t>NOTA:</w:t>
      </w:r>
    </w:p>
    <w:p w:rsidR="009E422A" w:rsidRDefault="00426CBE" w:rsidP="009E422A">
      <w:pPr>
        <w:jc w:val="both"/>
        <w:rPr>
          <w:rFonts w:ascii="Century Gothic" w:hAnsi="Century Gothic"/>
        </w:rPr>
      </w:pPr>
      <w:r>
        <w:rPr>
          <w:rFonts w:ascii="Century Gothic" w:hAnsi="Century Gothic"/>
        </w:rPr>
        <w:t>La FGE</w:t>
      </w:r>
      <w:r w:rsidR="009E422A" w:rsidRPr="009E422A">
        <w:rPr>
          <w:rFonts w:ascii="Century Gothic" w:hAnsi="Century Gothic"/>
        </w:rPr>
        <w:t xml:space="preserve"> no ha presentado observaciones al informe inicial de evaluación. De oficio par parte de este Consejo se ha revisado el cumplimiento del criterio de publicación en formatos reutilizables al haberse constatado que el formato utilizado por la web </w:t>
      </w:r>
      <w:r>
        <w:rPr>
          <w:rFonts w:ascii="Century Gothic" w:hAnsi="Century Gothic"/>
        </w:rPr>
        <w:t>de la FGE</w:t>
      </w:r>
      <w:r w:rsidR="009E422A" w:rsidRPr="009E422A">
        <w:rPr>
          <w:rFonts w:ascii="Century Gothic" w:hAnsi="Century Gothic"/>
        </w:rPr>
        <w:t xml:space="preserve"> es HTML y que permite tratamiento. </w:t>
      </w:r>
    </w:p>
    <w:p w:rsidR="009E422A" w:rsidRPr="009E422A" w:rsidRDefault="009E422A" w:rsidP="009E422A">
      <w:pPr>
        <w:jc w:val="both"/>
        <w:rPr>
          <w:rFonts w:ascii="Century Gothic" w:hAnsi="Century Gothic"/>
        </w:rPr>
      </w:pPr>
      <w:r>
        <w:rPr>
          <w:rFonts w:ascii="Century Gothic" w:hAnsi="Century Gothic"/>
        </w:rPr>
        <w:t>Por otra parte se ha considerado la no aplicación de la obligación de publicar las autorizaciones para actividad privada al ces</w:t>
      </w:r>
      <w:bookmarkStart w:id="0" w:name="_GoBack"/>
      <w:bookmarkEnd w:id="0"/>
      <w:r>
        <w:rPr>
          <w:rFonts w:ascii="Century Gothic" w:hAnsi="Century Gothic"/>
        </w:rPr>
        <w:t xml:space="preserve">e de Altos Cargos dado que el artículo 15 de la </w:t>
      </w:r>
      <w:r w:rsidRPr="009E422A">
        <w:rPr>
          <w:rFonts w:ascii="Century Gothic" w:hAnsi="Century Gothic"/>
        </w:rPr>
        <w:t>Ley 3/2015, reguladora del Alto Cargo en la Administración General del Estado</w:t>
      </w:r>
      <w:r>
        <w:rPr>
          <w:rFonts w:ascii="Century Gothic" w:hAnsi="Century Gothic"/>
        </w:rPr>
        <w:t xml:space="preserve"> no es aplicable a los Órganos Constitucionales.</w:t>
      </w:r>
    </w:p>
    <w:sectPr w:rsidR="009E422A" w:rsidRPr="009E42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22A"/>
    <w:rsid w:val="0034747E"/>
    <w:rsid w:val="00426CBE"/>
    <w:rsid w:val="009E422A"/>
    <w:rsid w:val="00B71300"/>
    <w:rsid w:val="00E648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Words>
  <Characters>512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2</cp:revision>
  <dcterms:created xsi:type="dcterms:W3CDTF">2021-03-29T14:32:00Z</dcterms:created>
  <dcterms:modified xsi:type="dcterms:W3CDTF">2021-04-05T14:15:00Z</dcterms:modified>
</cp:coreProperties>
</file>