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243205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10F10" w:rsidRPr="00006957" w:rsidRDefault="00010F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9.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10F10" w:rsidRPr="00006957" w:rsidRDefault="00010F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10F10" w:rsidRDefault="00010F1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10F10" w:rsidRDefault="00010F1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013F1" w:rsidP="005D39EE">
            <w:pPr>
              <w:rPr>
                <w:sz w:val="24"/>
                <w:szCs w:val="24"/>
              </w:rPr>
            </w:pPr>
            <w:r>
              <w:rPr>
                <w:sz w:val="24"/>
                <w:szCs w:val="24"/>
              </w:rPr>
              <w:t>Fiscalía General del Estado</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194FA9" w:rsidP="001E0C30">
            <w:pPr>
              <w:rPr>
                <w:sz w:val="24"/>
                <w:szCs w:val="24"/>
              </w:rPr>
            </w:pPr>
            <w:r>
              <w:rPr>
                <w:sz w:val="24"/>
                <w:szCs w:val="24"/>
              </w:rPr>
              <w:t>2</w:t>
            </w:r>
            <w:r w:rsidR="001E0C30">
              <w:rPr>
                <w:sz w:val="24"/>
                <w:szCs w:val="24"/>
              </w:rPr>
              <w:t>9</w:t>
            </w:r>
            <w:r w:rsidR="00224928">
              <w:rPr>
                <w:sz w:val="24"/>
                <w:szCs w:val="24"/>
              </w:rPr>
              <w:t>/01/2021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6013F1">
            <w:pPr>
              <w:rPr>
                <w:sz w:val="24"/>
                <w:szCs w:val="24"/>
              </w:rPr>
            </w:pPr>
            <w:r w:rsidRPr="006013F1">
              <w:rPr>
                <w:sz w:val="24"/>
                <w:szCs w:val="24"/>
              </w:rPr>
              <w:t>https://www.fiscal.es/</w:t>
            </w:r>
          </w:p>
        </w:tc>
      </w:tr>
    </w:tbl>
    <w:p w:rsidR="000C6CFF" w:rsidRDefault="000C6CFF"/>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010F10" w:rsidTr="00010F10">
        <w:tc>
          <w:tcPr>
            <w:tcW w:w="1760" w:type="dxa"/>
            <w:shd w:val="clear" w:color="auto" w:fill="4D7F52"/>
            <w:vAlign w:val="center"/>
          </w:tcPr>
          <w:p w:rsidR="00975C8E" w:rsidRPr="00010F10" w:rsidRDefault="00975C8E" w:rsidP="00010F10">
            <w:pPr>
              <w:jc w:val="center"/>
              <w:rPr>
                <w:b/>
                <w:color w:val="FFFFFF" w:themeColor="background1"/>
                <w:sz w:val="20"/>
                <w:szCs w:val="20"/>
              </w:rPr>
            </w:pPr>
            <w:r w:rsidRPr="00010F10">
              <w:rPr>
                <w:b/>
                <w:color w:val="FFFFFF" w:themeColor="background1"/>
                <w:sz w:val="20"/>
                <w:szCs w:val="20"/>
              </w:rPr>
              <w:t>Código de Sujeto</w:t>
            </w:r>
          </w:p>
        </w:tc>
        <w:tc>
          <w:tcPr>
            <w:tcW w:w="8129" w:type="dxa"/>
            <w:shd w:val="clear" w:color="auto" w:fill="4D7F52"/>
            <w:vAlign w:val="center"/>
          </w:tcPr>
          <w:p w:rsidR="00975C8E" w:rsidRPr="00010F10" w:rsidRDefault="00975C8E" w:rsidP="00010F10">
            <w:pPr>
              <w:jc w:val="center"/>
              <w:rPr>
                <w:b/>
                <w:color w:val="FFFFFF" w:themeColor="background1"/>
                <w:sz w:val="20"/>
                <w:szCs w:val="20"/>
              </w:rPr>
            </w:pPr>
            <w:r w:rsidRPr="00010F10">
              <w:rPr>
                <w:b/>
                <w:color w:val="FFFFFF" w:themeColor="background1"/>
                <w:sz w:val="20"/>
                <w:szCs w:val="20"/>
              </w:rPr>
              <w:t>Sujetos incluidos</w:t>
            </w:r>
          </w:p>
        </w:tc>
        <w:tc>
          <w:tcPr>
            <w:tcW w:w="709" w:type="dxa"/>
            <w:shd w:val="clear" w:color="auto" w:fill="4D7F52"/>
            <w:vAlign w:val="center"/>
          </w:tcPr>
          <w:p w:rsidR="00975C8E" w:rsidRPr="00010F10" w:rsidRDefault="00975C8E" w:rsidP="00010F10">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F14DA4" w:rsidRDefault="00F14DA4"/>
    <w:p w:rsidR="00010F10" w:rsidRDefault="00010F10">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010F10">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010F10">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010F10">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010F10">
            <w:pPr>
              <w:jc w:val="center"/>
              <w:rPr>
                <w:b/>
                <w:color w:val="FFFFFF" w:themeColor="background1"/>
                <w:sz w:val="20"/>
                <w:szCs w:val="20"/>
              </w:rPr>
            </w:pPr>
          </w:p>
        </w:tc>
      </w:tr>
      <w:tr w:rsidR="00BB6799" w:rsidRPr="00BB6799" w:rsidTr="00010F10">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010F10">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010F10">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010F10">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010F10">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010F10">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042DA5">
              <w:rPr>
                <w:sz w:val="20"/>
                <w:szCs w:val="20"/>
              </w:rPr>
              <w:t xml:space="preserve"> </w:t>
            </w:r>
            <w:r w:rsidRPr="0057532F">
              <w:rPr>
                <w:sz w:val="20"/>
                <w:szCs w:val="20"/>
              </w:rPr>
              <w:t xml:space="preserve">de contratos </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C35170" w:rsidP="005B6CF5">
            <w:pPr>
              <w:jc w:val="center"/>
              <w:rPr>
                <w:b/>
              </w:rPr>
            </w:pPr>
            <w:r>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Pr="00C35170" w:rsidRDefault="00C35170" w:rsidP="005B6CF5">
            <w:pPr>
              <w:jc w:val="center"/>
              <w:rPr>
                <w:b/>
              </w:rPr>
            </w:pPr>
            <w:r w:rsidRPr="00C35170">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Pr="00C35170" w:rsidRDefault="00C35170" w:rsidP="005B6CF5">
            <w:pPr>
              <w:jc w:val="center"/>
              <w:rPr>
                <w:b/>
              </w:rPr>
            </w:pPr>
            <w:r w:rsidRPr="00C35170">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Pr="00C35170" w:rsidRDefault="00C35170" w:rsidP="005B6CF5">
            <w:pPr>
              <w:jc w:val="center"/>
              <w:rPr>
                <w:b/>
              </w:rPr>
            </w:pPr>
            <w:r w:rsidRPr="00C35170">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Pr="00C35170" w:rsidRDefault="00C35170" w:rsidP="005B6CF5">
            <w:pPr>
              <w:jc w:val="center"/>
              <w:rPr>
                <w:b/>
              </w:rPr>
            </w:pPr>
            <w:r w:rsidRPr="00C35170">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010F10">
        <w:tc>
          <w:tcPr>
            <w:tcW w:w="1633" w:type="dxa"/>
            <w:vMerge/>
            <w:tcBorders>
              <w:bottom w:val="single" w:sz="4" w:space="0" w:color="FFFFFF" w:themeColor="background1"/>
            </w:tcBorders>
            <w:shd w:val="clear" w:color="auto" w:fill="4D7F52"/>
            <w:vAlign w:val="center"/>
          </w:tcPr>
          <w:p w:rsidR="00544E0C" w:rsidRPr="0057532F" w:rsidRDefault="00544E0C" w:rsidP="00010F10">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010F10">
        <w:tc>
          <w:tcPr>
            <w:tcW w:w="1633" w:type="dxa"/>
            <w:vMerge/>
            <w:tcBorders>
              <w:bottom w:val="single" w:sz="4" w:space="0" w:color="FFFFFF" w:themeColor="background1"/>
            </w:tcBorders>
            <w:shd w:val="clear" w:color="auto" w:fill="4D7F52"/>
            <w:vAlign w:val="center"/>
          </w:tcPr>
          <w:p w:rsidR="00544E0C" w:rsidRPr="0057532F" w:rsidRDefault="00544E0C" w:rsidP="00010F10">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010F10">
        <w:tc>
          <w:tcPr>
            <w:tcW w:w="1633" w:type="dxa"/>
            <w:vMerge/>
            <w:tcBorders>
              <w:bottom w:val="single" w:sz="4" w:space="0" w:color="FFFFFF" w:themeColor="background1"/>
            </w:tcBorders>
            <w:shd w:val="clear" w:color="auto" w:fill="4D7F52"/>
            <w:vAlign w:val="center"/>
          </w:tcPr>
          <w:p w:rsidR="005F29B8" w:rsidRPr="0057532F" w:rsidRDefault="005F29B8" w:rsidP="00010F10">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010F10">
        <w:tc>
          <w:tcPr>
            <w:tcW w:w="1633" w:type="dxa"/>
            <w:vMerge/>
            <w:tcBorders>
              <w:bottom w:val="single" w:sz="4" w:space="0" w:color="FFFFFF" w:themeColor="background1"/>
            </w:tcBorders>
            <w:shd w:val="clear" w:color="auto" w:fill="4D7F52"/>
            <w:vAlign w:val="center"/>
          </w:tcPr>
          <w:p w:rsidR="005F29B8" w:rsidRPr="0057532F" w:rsidRDefault="005F29B8" w:rsidP="00010F10">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010F10">
        <w:tc>
          <w:tcPr>
            <w:tcW w:w="1633" w:type="dxa"/>
            <w:tcBorders>
              <w:top w:val="single" w:sz="4" w:space="0" w:color="FFFFFF" w:themeColor="background1"/>
              <w:bottom w:val="nil"/>
            </w:tcBorders>
            <w:shd w:val="clear" w:color="auto" w:fill="4D7F52"/>
            <w:vAlign w:val="center"/>
          </w:tcPr>
          <w:p w:rsidR="00AD2022" w:rsidRPr="0057532F" w:rsidRDefault="00AD2022" w:rsidP="00010F10">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10F10" w:rsidRDefault="00010F10">
      <w:pPr>
        <w:rPr>
          <w:b/>
          <w:color w:val="00642D"/>
          <w:sz w:val="30"/>
          <w:szCs w:val="30"/>
        </w:rPr>
      </w:pPr>
      <w:r>
        <w:rPr>
          <w:color w:val="00642D"/>
          <w:sz w:val="30"/>
          <w:szCs w:val="30"/>
        </w:rPr>
        <w:br w:type="page"/>
      </w:r>
    </w:p>
    <w:p w:rsidR="00B40246" w:rsidRPr="00E34195" w:rsidRDefault="00065D7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042DA5">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042DA5">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042DA5">
            <w:pPr>
              <w:jc w:val="both"/>
              <w:rPr>
                <w:b/>
                <w:sz w:val="20"/>
                <w:szCs w:val="20"/>
              </w:rPr>
            </w:pPr>
          </w:p>
        </w:tc>
        <w:tc>
          <w:tcPr>
            <w:tcW w:w="3969" w:type="dxa"/>
            <w:vMerge w:val="restart"/>
          </w:tcPr>
          <w:p w:rsidR="00CB5511" w:rsidRDefault="006013F1" w:rsidP="00042DA5">
            <w:pPr>
              <w:jc w:val="both"/>
              <w:rPr>
                <w:sz w:val="20"/>
                <w:szCs w:val="20"/>
              </w:rPr>
            </w:pPr>
            <w:r>
              <w:rPr>
                <w:sz w:val="20"/>
                <w:szCs w:val="20"/>
              </w:rPr>
              <w:t>El enlace “Portal de Transparencia” depende del acceso “Atención ciudadana” ubicado en la parte superior denla página home</w:t>
            </w:r>
            <w:r w:rsidR="00E44FAF">
              <w:rPr>
                <w:sz w:val="20"/>
                <w:szCs w:val="20"/>
              </w:rPr>
              <w:t>.</w:t>
            </w:r>
          </w:p>
          <w:p w:rsidR="00E44FAF" w:rsidRDefault="00E44FAF" w:rsidP="00042DA5">
            <w:pPr>
              <w:jc w:val="both"/>
              <w:rPr>
                <w:sz w:val="20"/>
                <w:szCs w:val="20"/>
              </w:rPr>
            </w:pPr>
          </w:p>
          <w:p w:rsidR="00E44FAF" w:rsidRPr="000C6CFF" w:rsidRDefault="00E44FAF" w:rsidP="00042DA5">
            <w:pPr>
              <w:jc w:val="both"/>
              <w:rPr>
                <w:sz w:val="20"/>
                <w:szCs w:val="20"/>
              </w:rPr>
            </w:pPr>
            <w:r>
              <w:rPr>
                <w:sz w:val="20"/>
                <w:szCs w:val="20"/>
              </w:rPr>
              <w:t xml:space="preserve">Algunas informaciones se publican en accesos diferentes del Portal de Transparencia. </w:t>
            </w:r>
          </w:p>
        </w:tc>
      </w:tr>
      <w:tr w:rsidR="00CB5511" w:rsidRPr="000C6CFF" w:rsidTr="00E34195">
        <w:tc>
          <w:tcPr>
            <w:tcW w:w="2235" w:type="dxa"/>
            <w:vMerge/>
            <w:shd w:val="clear" w:color="auto" w:fill="00642D"/>
          </w:tcPr>
          <w:p w:rsidR="00CB5511" w:rsidRPr="000C6CFF" w:rsidRDefault="00CB5511" w:rsidP="00042DA5">
            <w:pPr>
              <w:jc w:val="both"/>
              <w:rPr>
                <w:b/>
                <w:color w:val="50866C"/>
                <w:sz w:val="20"/>
                <w:szCs w:val="20"/>
              </w:rPr>
            </w:pPr>
          </w:p>
        </w:tc>
        <w:tc>
          <w:tcPr>
            <w:tcW w:w="3969" w:type="dxa"/>
            <w:shd w:val="clear" w:color="auto" w:fill="auto"/>
          </w:tcPr>
          <w:p w:rsidR="00CB5511" w:rsidRPr="000C6CFF" w:rsidRDefault="00CB5511" w:rsidP="00042DA5">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6013F1" w:rsidP="00042DA5">
            <w:pPr>
              <w:jc w:val="both"/>
              <w:rPr>
                <w:b/>
                <w:sz w:val="20"/>
                <w:szCs w:val="20"/>
              </w:rPr>
            </w:pPr>
            <w:r>
              <w:rPr>
                <w:b/>
                <w:sz w:val="20"/>
                <w:szCs w:val="20"/>
              </w:rPr>
              <w:t>X</w:t>
            </w:r>
          </w:p>
        </w:tc>
        <w:tc>
          <w:tcPr>
            <w:tcW w:w="3969" w:type="dxa"/>
            <w:vMerge/>
          </w:tcPr>
          <w:p w:rsidR="00CB5511" w:rsidRPr="000C6CFF" w:rsidRDefault="00CB5511" w:rsidP="00042DA5">
            <w:pPr>
              <w:jc w:val="both"/>
              <w:rPr>
                <w:sz w:val="20"/>
                <w:szCs w:val="20"/>
              </w:rPr>
            </w:pPr>
          </w:p>
        </w:tc>
      </w:tr>
      <w:tr w:rsidR="00CB5511" w:rsidRPr="000C6CFF" w:rsidTr="00010F10">
        <w:tc>
          <w:tcPr>
            <w:tcW w:w="2235" w:type="dxa"/>
            <w:vMerge/>
            <w:shd w:val="clear" w:color="auto" w:fill="00642D"/>
          </w:tcPr>
          <w:p w:rsidR="00CB5511" w:rsidRPr="000C6CFF" w:rsidRDefault="00CB5511" w:rsidP="00042DA5">
            <w:pPr>
              <w:jc w:val="both"/>
              <w:rPr>
                <w:b/>
                <w:color w:val="50866C"/>
                <w:sz w:val="20"/>
                <w:szCs w:val="20"/>
              </w:rPr>
            </w:pPr>
          </w:p>
        </w:tc>
        <w:tc>
          <w:tcPr>
            <w:tcW w:w="3969" w:type="dxa"/>
            <w:shd w:val="clear" w:color="auto" w:fill="auto"/>
            <w:vAlign w:val="center"/>
          </w:tcPr>
          <w:p w:rsidR="00CB5511" w:rsidRPr="000C6CFF" w:rsidRDefault="00CB5511" w:rsidP="00042DA5">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042DA5">
            <w:pPr>
              <w:jc w:val="both"/>
              <w:rPr>
                <w:b/>
                <w:sz w:val="20"/>
                <w:szCs w:val="20"/>
              </w:rPr>
            </w:pPr>
          </w:p>
        </w:tc>
        <w:tc>
          <w:tcPr>
            <w:tcW w:w="3969" w:type="dxa"/>
            <w:vMerge/>
          </w:tcPr>
          <w:p w:rsidR="00CB5511" w:rsidRPr="000C6CFF" w:rsidRDefault="00CB5511" w:rsidP="00042DA5">
            <w:pPr>
              <w:jc w:val="both"/>
              <w:rPr>
                <w:sz w:val="20"/>
                <w:szCs w:val="20"/>
              </w:rPr>
            </w:pPr>
          </w:p>
        </w:tc>
      </w:tr>
    </w:tbl>
    <w:p w:rsidR="00CB5511" w:rsidRDefault="00CB5511" w:rsidP="00042DA5">
      <w:pPr>
        <w:jc w:val="both"/>
      </w:pPr>
    </w:p>
    <w:p w:rsidR="00CB5511" w:rsidRDefault="00CB5511" w:rsidP="00042DA5">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042DA5">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042DA5">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6013F1" w:rsidP="00042DA5">
            <w:pPr>
              <w:jc w:val="both"/>
              <w:rPr>
                <w:b/>
                <w:sz w:val="20"/>
                <w:szCs w:val="20"/>
              </w:rPr>
            </w:pPr>
            <w:r>
              <w:rPr>
                <w:b/>
                <w:sz w:val="20"/>
                <w:szCs w:val="20"/>
              </w:rPr>
              <w:t>X</w:t>
            </w:r>
          </w:p>
        </w:tc>
        <w:tc>
          <w:tcPr>
            <w:tcW w:w="3977" w:type="dxa"/>
            <w:vMerge w:val="restart"/>
          </w:tcPr>
          <w:p w:rsidR="00932008" w:rsidRDefault="006013F1" w:rsidP="00042DA5">
            <w:pPr>
              <w:jc w:val="both"/>
              <w:rPr>
                <w:sz w:val="20"/>
                <w:szCs w:val="20"/>
              </w:rPr>
            </w:pPr>
            <w:r>
              <w:rPr>
                <w:sz w:val="20"/>
                <w:szCs w:val="20"/>
              </w:rPr>
              <w:t>Aunque la información sobre altos cargos dispone de un acceso diferenciado.</w:t>
            </w:r>
          </w:p>
          <w:p w:rsidR="009B3122" w:rsidRDefault="009B3122" w:rsidP="00042DA5">
            <w:pPr>
              <w:jc w:val="both"/>
              <w:rPr>
                <w:sz w:val="20"/>
                <w:szCs w:val="20"/>
              </w:rPr>
            </w:pPr>
          </w:p>
          <w:p w:rsidR="009B3122" w:rsidRPr="00932008" w:rsidRDefault="009B3122" w:rsidP="00042DA5">
            <w:pPr>
              <w:jc w:val="both"/>
              <w:rPr>
                <w:sz w:val="20"/>
                <w:szCs w:val="20"/>
              </w:rPr>
            </w:pPr>
            <w:r>
              <w:rPr>
                <w:sz w:val="20"/>
                <w:szCs w:val="20"/>
              </w:rPr>
              <w:t>La organización interna de los apartados del Portal no se ajusta a la estructura de la LTAIBG</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CC7E03" w:rsidRDefault="00CC7E03" w:rsidP="00CC7E03">
      <w:pPr>
        <w:jc w:val="center"/>
      </w:pPr>
      <w:r>
        <w:rPr>
          <w:noProof/>
        </w:rPr>
        <w:drawing>
          <wp:inline distT="0" distB="0" distL="0" distR="0" wp14:anchorId="10E0F4A3" wp14:editId="2115B9E7">
            <wp:extent cx="5698032" cy="406800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8649" t="8459" r="23185" b="4835"/>
                    <a:stretch/>
                  </pic:blipFill>
                  <pic:spPr bwMode="auto">
                    <a:xfrm>
                      <a:off x="0" y="0"/>
                      <a:ext cx="5698032" cy="4068000"/>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CC7E03">
      <w:r>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010F10">
        <w:trPr>
          <w:cantSplit/>
          <w:trHeight w:val="1350"/>
        </w:trPr>
        <w:tc>
          <w:tcPr>
            <w:tcW w:w="1591" w:type="dxa"/>
            <w:shd w:val="clear" w:color="auto" w:fill="00642D"/>
            <w:vAlign w:val="center"/>
          </w:tcPr>
          <w:p w:rsidR="00E34195" w:rsidRPr="00E34195" w:rsidRDefault="00E34195" w:rsidP="00010F10">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010F10">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010F1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010F10">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5170" w:rsidRPr="00CB5511" w:rsidTr="00010F10">
        <w:tc>
          <w:tcPr>
            <w:tcW w:w="1591" w:type="dxa"/>
            <w:vMerge w:val="restart"/>
            <w:tcBorders>
              <w:right w:val="single" w:sz="4" w:space="0" w:color="00642D"/>
            </w:tcBorders>
            <w:shd w:val="clear" w:color="auto" w:fill="00642D"/>
            <w:textDirection w:val="btLr"/>
            <w:vAlign w:val="center"/>
          </w:tcPr>
          <w:p w:rsidR="00C35170" w:rsidRPr="00E34195" w:rsidRDefault="00C35170" w:rsidP="00010F1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C35170" w:rsidRPr="00CB5511" w:rsidRDefault="00C35170" w:rsidP="00010F10">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C35170" w:rsidRPr="00042DA5" w:rsidRDefault="00C35170" w:rsidP="00842CF2">
            <w:pPr>
              <w:pStyle w:val="Cuerpodelboletn"/>
              <w:spacing w:before="120" w:after="120" w:line="312" w:lineRule="auto"/>
              <w:jc w:val="center"/>
              <w:rPr>
                <w:rStyle w:val="Ttulo2Car"/>
                <w:b w:val="0"/>
                <w:color w:val="auto"/>
                <w:sz w:val="24"/>
                <w:szCs w:val="24"/>
                <w:lang w:bidi="es-ES"/>
              </w:rPr>
            </w:pPr>
            <w:r w:rsidRPr="00042D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C35170" w:rsidRDefault="00C35170"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el Estatuto Orgánico del Ministerio Fiscal. </w:t>
            </w:r>
            <w:r w:rsidRPr="002D14F8">
              <w:rPr>
                <w:rStyle w:val="Ttulo2Car"/>
                <w:b w:val="0"/>
                <w:color w:val="auto"/>
                <w:sz w:val="20"/>
                <w:szCs w:val="20"/>
                <w:lang w:bidi="es-ES"/>
              </w:rPr>
              <w:t>La información se publica fuera del Portal de Transparencia, concretamente en la página que abre el enlace “”Órgano Constitucional” del acceso Ministerio Fiscal.</w:t>
            </w:r>
          </w:p>
          <w:p w:rsidR="00C35170" w:rsidRPr="00224928" w:rsidRDefault="00C35170"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w:t>
            </w:r>
            <w:r w:rsidRPr="00E44FAF">
              <w:rPr>
                <w:rStyle w:val="Ttulo2Car"/>
                <w:b w:val="0"/>
                <w:color w:val="auto"/>
                <w:sz w:val="20"/>
                <w:szCs w:val="20"/>
                <w:lang w:bidi="es-ES"/>
              </w:rPr>
              <w:t>existen referencias a la última vez que se revisó o actualizó la información</w:t>
            </w:r>
          </w:p>
        </w:tc>
      </w:tr>
      <w:tr w:rsidR="00C35170" w:rsidRPr="00CB5511" w:rsidTr="00010F10">
        <w:trPr>
          <w:trHeight w:val="886"/>
        </w:trPr>
        <w:tc>
          <w:tcPr>
            <w:tcW w:w="1591" w:type="dxa"/>
            <w:vMerge/>
            <w:tcBorders>
              <w:right w:val="single" w:sz="4" w:space="0" w:color="00642D"/>
            </w:tcBorders>
            <w:shd w:val="clear" w:color="auto" w:fill="00642D"/>
            <w:vAlign w:val="center"/>
          </w:tcPr>
          <w:p w:rsidR="00C35170" w:rsidRPr="00E34195" w:rsidRDefault="00C35170" w:rsidP="00010F10">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C35170" w:rsidRPr="00CB5511" w:rsidRDefault="00C35170" w:rsidP="00010F10">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C35170" w:rsidRPr="00042DA5" w:rsidRDefault="00C35170" w:rsidP="00842CF2">
            <w:pPr>
              <w:jc w:val="center"/>
              <w:rPr>
                <w:b/>
                <w:sz w:val="24"/>
                <w:szCs w:val="24"/>
              </w:rPr>
            </w:pPr>
            <w:r w:rsidRPr="00042D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C35170" w:rsidRDefault="00C35170"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fuera del Portal de Transparencia, concretamente en la página que abre el enlace “”Órgano Constitucional” del acceso Ministerio Fiscal.</w:t>
            </w:r>
          </w:p>
          <w:p w:rsidR="00C35170" w:rsidRPr="00224928" w:rsidRDefault="004B13CD"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w:t>
            </w:r>
            <w:r w:rsidR="00C35170">
              <w:rPr>
                <w:rStyle w:val="Ttulo2Car"/>
                <w:b w:val="0"/>
                <w:color w:val="auto"/>
                <w:sz w:val="20"/>
                <w:szCs w:val="20"/>
                <w:lang w:bidi="es-ES"/>
              </w:rPr>
              <w:t xml:space="preserve">o </w:t>
            </w:r>
            <w:r w:rsidR="00C35170" w:rsidRPr="00E44FAF">
              <w:rPr>
                <w:rStyle w:val="Ttulo2Car"/>
                <w:b w:val="0"/>
                <w:color w:val="auto"/>
                <w:sz w:val="20"/>
                <w:szCs w:val="20"/>
                <w:lang w:bidi="es-ES"/>
              </w:rPr>
              <w:t>existen referencias a la última vez que se revisó o actualizó la información.</w:t>
            </w:r>
          </w:p>
        </w:tc>
      </w:tr>
      <w:tr w:rsidR="00C35170" w:rsidRPr="00CB5511" w:rsidTr="00010F10">
        <w:trPr>
          <w:trHeight w:val="886"/>
        </w:trPr>
        <w:tc>
          <w:tcPr>
            <w:tcW w:w="1591" w:type="dxa"/>
            <w:vMerge/>
            <w:tcBorders>
              <w:right w:val="single" w:sz="4" w:space="0" w:color="00642D"/>
            </w:tcBorders>
            <w:shd w:val="clear" w:color="auto" w:fill="00642D"/>
            <w:vAlign w:val="center"/>
          </w:tcPr>
          <w:p w:rsidR="00C35170" w:rsidRPr="00E34195" w:rsidRDefault="00C35170" w:rsidP="00010F10">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C35170" w:rsidRPr="00CB5511" w:rsidRDefault="00C35170" w:rsidP="00010F10">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C35170" w:rsidRPr="00042DA5" w:rsidRDefault="00C35170" w:rsidP="00842CF2">
            <w:pPr>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C35170" w:rsidRDefault="00C35170"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842CF2" w:rsidRPr="00CB5511" w:rsidTr="00010F10">
        <w:tc>
          <w:tcPr>
            <w:tcW w:w="1591" w:type="dxa"/>
            <w:vMerge w:val="restart"/>
            <w:tcBorders>
              <w:right w:val="single" w:sz="4" w:space="0" w:color="00642D"/>
            </w:tcBorders>
            <w:shd w:val="clear" w:color="auto" w:fill="00642D"/>
            <w:textDirection w:val="btLr"/>
            <w:vAlign w:val="center"/>
          </w:tcPr>
          <w:p w:rsidR="00842CF2" w:rsidRPr="00E34195" w:rsidRDefault="00842CF2" w:rsidP="00010F1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010F10">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042DA5" w:rsidRDefault="00842CF2" w:rsidP="00842CF2">
            <w:pPr>
              <w:jc w:val="center"/>
              <w:rPr>
                <w:b/>
                <w:sz w:val="24"/>
                <w:szCs w:val="24"/>
              </w:rPr>
            </w:pPr>
            <w:r w:rsidRPr="00042D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7F49A2" w:rsidRPr="00224928" w:rsidRDefault="00E44FAF"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Incluye una descripción de las funciones de las distintas unidades de la estructura organizativa. </w:t>
            </w:r>
            <w:r w:rsidRPr="00E44FAF">
              <w:rPr>
                <w:rStyle w:val="Ttulo2Car"/>
                <w:b w:val="0"/>
                <w:color w:val="auto"/>
                <w:sz w:val="20"/>
                <w:szCs w:val="20"/>
                <w:lang w:bidi="es-ES"/>
              </w:rPr>
              <w:t>La información no está datada ni existen referencias a la última vez que se revisó o actualizó la información.</w:t>
            </w:r>
          </w:p>
        </w:tc>
      </w:tr>
      <w:tr w:rsidR="00842CF2" w:rsidRPr="00CB5511" w:rsidTr="00010F10">
        <w:tc>
          <w:tcPr>
            <w:tcW w:w="1591" w:type="dxa"/>
            <w:vMerge/>
            <w:tcBorders>
              <w:right w:val="single" w:sz="4" w:space="0" w:color="00642D"/>
            </w:tcBorders>
            <w:shd w:val="clear" w:color="auto" w:fill="00642D"/>
            <w:vAlign w:val="center"/>
          </w:tcPr>
          <w:p w:rsidR="00842CF2" w:rsidRPr="00CB5511" w:rsidRDefault="00842CF2" w:rsidP="00010F10">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010F10">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042DA5" w:rsidRDefault="00842CF2" w:rsidP="00842CF2">
            <w:pPr>
              <w:jc w:val="center"/>
              <w:rPr>
                <w:b/>
                <w:sz w:val="24"/>
                <w:szCs w:val="24"/>
              </w:rPr>
            </w:pPr>
            <w:r w:rsidRPr="00042D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6013F1"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datada ni existen referencias a la últimas vez que se revisó o actualizó la información.</w:t>
            </w:r>
          </w:p>
        </w:tc>
      </w:tr>
      <w:tr w:rsidR="00842CF2" w:rsidRPr="00CB5511" w:rsidTr="00010F10">
        <w:tc>
          <w:tcPr>
            <w:tcW w:w="1591" w:type="dxa"/>
            <w:vMerge/>
            <w:tcBorders>
              <w:right w:val="single" w:sz="4" w:space="0" w:color="00642D"/>
            </w:tcBorders>
            <w:shd w:val="clear" w:color="auto" w:fill="00642D"/>
            <w:vAlign w:val="center"/>
          </w:tcPr>
          <w:p w:rsidR="00842CF2" w:rsidRPr="00CB5511" w:rsidRDefault="00842CF2" w:rsidP="00010F10">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010F10">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042DA5" w:rsidRDefault="00842CF2" w:rsidP="00842CF2">
            <w:pPr>
              <w:jc w:val="center"/>
              <w:rPr>
                <w:b/>
                <w:sz w:val="24"/>
                <w:szCs w:val="24"/>
              </w:rPr>
            </w:pPr>
            <w:r w:rsidRPr="00042D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04FCD" w:rsidRPr="00224928" w:rsidRDefault="004B13CD"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w:t>
            </w:r>
            <w:r w:rsidR="00E44FAF">
              <w:rPr>
                <w:rStyle w:val="Ttulo2Car"/>
                <w:b w:val="0"/>
                <w:color w:val="auto"/>
                <w:sz w:val="20"/>
                <w:szCs w:val="20"/>
                <w:lang w:bidi="es-ES"/>
              </w:rPr>
              <w:t>o</w:t>
            </w:r>
            <w:r w:rsidR="00E44FAF">
              <w:t xml:space="preserve"> </w:t>
            </w:r>
            <w:r w:rsidR="00E44FAF" w:rsidRPr="00E44FAF">
              <w:rPr>
                <w:rStyle w:val="Ttulo2Car"/>
                <w:b w:val="0"/>
                <w:color w:val="auto"/>
                <w:sz w:val="20"/>
                <w:szCs w:val="20"/>
                <w:lang w:bidi="es-ES"/>
              </w:rPr>
              <w:t>existen referencias a la última vez que se revisó o actualizó la información</w:t>
            </w:r>
            <w:r w:rsidR="00E44FAF">
              <w:rPr>
                <w:rStyle w:val="Ttulo2Car"/>
                <w:b w:val="0"/>
                <w:color w:val="auto"/>
                <w:sz w:val="20"/>
                <w:szCs w:val="20"/>
                <w:lang w:bidi="es-ES"/>
              </w:rPr>
              <w:t>.</w:t>
            </w:r>
          </w:p>
        </w:tc>
      </w:tr>
      <w:tr w:rsidR="00842CF2" w:rsidRPr="00CB5511" w:rsidTr="00010F10">
        <w:tc>
          <w:tcPr>
            <w:tcW w:w="1591" w:type="dxa"/>
            <w:vMerge/>
            <w:tcBorders>
              <w:right w:val="single" w:sz="4" w:space="0" w:color="00642D"/>
            </w:tcBorders>
            <w:shd w:val="clear" w:color="auto" w:fill="00642D"/>
            <w:vAlign w:val="center"/>
          </w:tcPr>
          <w:p w:rsidR="00842CF2" w:rsidRPr="00CB5511" w:rsidRDefault="00842CF2" w:rsidP="00010F10">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010F10">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042DA5" w:rsidRDefault="00842CF2" w:rsidP="00842CF2">
            <w:pPr>
              <w:jc w:val="center"/>
              <w:rPr>
                <w:b/>
                <w:sz w:val="24"/>
                <w:szCs w:val="24"/>
              </w:rPr>
            </w:pPr>
            <w:r w:rsidRPr="00042D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E44FAF" w:rsidP="00042DA5">
            <w:pPr>
              <w:pStyle w:val="Cuerpodelboletn"/>
              <w:spacing w:before="120" w:after="120" w:line="312" w:lineRule="auto"/>
              <w:rPr>
                <w:rStyle w:val="Ttulo2Car"/>
                <w:b w:val="0"/>
                <w:color w:val="auto"/>
                <w:sz w:val="20"/>
                <w:szCs w:val="20"/>
                <w:lang w:bidi="es-ES"/>
              </w:rPr>
            </w:pPr>
            <w:r w:rsidRPr="00E44FAF">
              <w:rPr>
                <w:rStyle w:val="Ttulo2Car"/>
                <w:b w:val="0"/>
                <w:color w:val="auto"/>
                <w:sz w:val="20"/>
                <w:szCs w:val="20"/>
                <w:lang w:bidi="es-ES"/>
              </w:rPr>
              <w:t>La información no está datada ni existen referencias a la última vez que se revisó o actualizó la información.</w:t>
            </w:r>
          </w:p>
        </w:tc>
      </w:tr>
    </w:tbl>
    <w:p w:rsidR="00010F10" w:rsidRDefault="00010F10" w:rsidP="001561A4">
      <w:pPr>
        <w:pStyle w:val="Cuerpodelboletn"/>
        <w:spacing w:before="120" w:after="120" w:line="312" w:lineRule="auto"/>
        <w:ind w:left="360"/>
        <w:rPr>
          <w:rStyle w:val="Ttulo2Car"/>
          <w:color w:val="00642D"/>
          <w:lang w:bidi="es-ES"/>
        </w:rPr>
      </w:pPr>
    </w:p>
    <w:p w:rsidR="00010F10" w:rsidRDefault="00010F10">
      <w:pPr>
        <w:rPr>
          <w:rStyle w:val="Ttulo2Car"/>
          <w:color w:val="00642D"/>
          <w:lang w:bidi="es-ES"/>
        </w:rPr>
      </w:pPr>
      <w:r>
        <w:rPr>
          <w:rStyle w:val="Ttulo2Car"/>
          <w:color w:val="00642D"/>
          <w:lang w:bidi="es-ES"/>
        </w:rPr>
        <w:br w:type="page"/>
      </w: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9899E98" wp14:editId="0F961898">
                <wp:simplePos x="0" y="0"/>
                <wp:positionH relativeFrom="column">
                  <wp:posOffset>249382</wp:posOffset>
                </wp:positionH>
                <wp:positionV relativeFrom="paragraph">
                  <wp:posOffset>99753</wp:posOffset>
                </wp:positionV>
                <wp:extent cx="6229350" cy="2867891"/>
                <wp:effectExtent l="0" t="0" r="19050" b="279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867891"/>
                        </a:xfrm>
                        <a:prstGeom prst="rect">
                          <a:avLst/>
                        </a:prstGeom>
                        <a:solidFill>
                          <a:srgbClr val="FFFFFF"/>
                        </a:solidFill>
                        <a:ln w="9525">
                          <a:solidFill>
                            <a:srgbClr val="000000"/>
                          </a:solidFill>
                          <a:miter lim="800000"/>
                          <a:headEnd/>
                          <a:tailEnd/>
                        </a:ln>
                      </wps:spPr>
                      <wps:txbx>
                        <w:txbxContent>
                          <w:p w:rsidR="00010F10" w:rsidRDefault="00010F10">
                            <w:pPr>
                              <w:rPr>
                                <w:b/>
                                <w:color w:val="00642D"/>
                              </w:rPr>
                            </w:pPr>
                            <w:r w:rsidRPr="00BD4582">
                              <w:rPr>
                                <w:b/>
                                <w:color w:val="00642D"/>
                              </w:rPr>
                              <w:t>Contenidos</w:t>
                            </w:r>
                          </w:p>
                          <w:p w:rsidR="00010F10" w:rsidRDefault="00010F10" w:rsidP="00042DA5">
                            <w:pPr>
                              <w:jc w:val="both"/>
                            </w:pPr>
                            <w:r w:rsidRPr="00A65985">
                              <w:t>La información publicada</w:t>
                            </w:r>
                            <w:r>
                              <w:t xml:space="preserve"> no</w:t>
                            </w:r>
                            <w:r w:rsidRPr="00A65985">
                              <w:t xml:space="preserve">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p>
                          <w:p w:rsidR="00010F10" w:rsidRDefault="00010F10" w:rsidP="00042DA5">
                            <w:pPr>
                              <w:pStyle w:val="Prrafodelista"/>
                              <w:numPr>
                                <w:ilvl w:val="0"/>
                                <w:numId w:val="20"/>
                              </w:numPr>
                              <w:jc w:val="both"/>
                            </w:pPr>
                            <w:r>
                              <w:t>No se publica el Registro de Actividades de Tratamiento</w:t>
                            </w:r>
                          </w:p>
                          <w:p w:rsidR="00010F10" w:rsidRDefault="00010F10" w:rsidP="00042DA5">
                            <w:pPr>
                              <w:jc w:val="both"/>
                              <w:rPr>
                                <w:b/>
                                <w:color w:val="00642D"/>
                              </w:rPr>
                            </w:pPr>
                            <w:r>
                              <w:rPr>
                                <w:b/>
                                <w:color w:val="00642D"/>
                              </w:rPr>
                              <w:t>Calidad de la Información</w:t>
                            </w:r>
                          </w:p>
                          <w:p w:rsidR="00010F10" w:rsidRDefault="00010F10" w:rsidP="00042DA5">
                            <w:pPr>
                              <w:pStyle w:val="Prrafodelista"/>
                              <w:numPr>
                                <w:ilvl w:val="0"/>
                                <w:numId w:val="8"/>
                              </w:numPr>
                              <w:jc w:val="both"/>
                            </w:pPr>
                            <w:r w:rsidRPr="001D4CA3">
                              <w:t xml:space="preserve">No existe ninguna referencia que permita conocer la vigencia de la información publicada, por lo que tampoco se puede comprobar si cumple con el requisito de que esta información esté actualizada. </w:t>
                            </w:r>
                          </w:p>
                          <w:p w:rsidR="00010F10" w:rsidRDefault="00010F10" w:rsidP="00042DA5">
                            <w:pPr>
                              <w:pStyle w:val="Prrafodelista"/>
                              <w:numPr>
                                <w:ilvl w:val="0"/>
                                <w:numId w:val="8"/>
                              </w:numPr>
                              <w:jc w:val="both"/>
                            </w:pPr>
                            <w:r>
                              <w:t>Por otra parte, algunas de las informaciones de este bloque se publican fuera del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19.65pt;margin-top:7.85pt;width:490.5pt;height:2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">
                <v:textbox>
                  <w:txbxContent>
                    <w:p w:rsidR="00010F10" w:rsidRDefault="00010F10">
                      <w:pPr>
                        <w:rPr>
                          <w:b/>
                          <w:color w:val="00642D"/>
                        </w:rPr>
                      </w:pPr>
                      <w:r w:rsidRPr="00BD4582">
                        <w:rPr>
                          <w:b/>
                          <w:color w:val="00642D"/>
                        </w:rPr>
                        <w:t>Contenidos</w:t>
                      </w:r>
                    </w:p>
                    <w:p w:rsidR="00010F10" w:rsidRDefault="00010F10" w:rsidP="00042DA5">
                      <w:pPr>
                        <w:jc w:val="both"/>
                      </w:pPr>
                      <w:r w:rsidRPr="00A65985">
                        <w:t>La información publicada</w:t>
                      </w:r>
                      <w:r>
                        <w:t xml:space="preserve"> no</w:t>
                      </w:r>
                      <w:r w:rsidRPr="00A65985">
                        <w:t xml:space="preserve">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p>
                    <w:p w:rsidR="00010F10" w:rsidRDefault="00010F10" w:rsidP="00042DA5">
                      <w:pPr>
                        <w:pStyle w:val="Prrafodelista"/>
                        <w:numPr>
                          <w:ilvl w:val="0"/>
                          <w:numId w:val="20"/>
                        </w:numPr>
                        <w:jc w:val="both"/>
                      </w:pPr>
                      <w:r>
                        <w:t>No se publica el Registro de Actividades de Tratamiento</w:t>
                      </w:r>
                    </w:p>
                    <w:p w:rsidR="00010F10" w:rsidRDefault="00010F10" w:rsidP="00042DA5">
                      <w:pPr>
                        <w:jc w:val="both"/>
                        <w:rPr>
                          <w:b/>
                          <w:color w:val="00642D"/>
                        </w:rPr>
                      </w:pPr>
                      <w:r>
                        <w:rPr>
                          <w:b/>
                          <w:color w:val="00642D"/>
                        </w:rPr>
                        <w:t>Calidad de la Información</w:t>
                      </w:r>
                    </w:p>
                    <w:p w:rsidR="00010F10" w:rsidRDefault="00010F10" w:rsidP="00042DA5">
                      <w:pPr>
                        <w:pStyle w:val="Prrafodelista"/>
                        <w:numPr>
                          <w:ilvl w:val="0"/>
                          <w:numId w:val="8"/>
                        </w:numPr>
                        <w:jc w:val="both"/>
                      </w:pPr>
                      <w:r w:rsidRPr="001D4CA3">
                        <w:t xml:space="preserve">No existe ninguna referencia que permita conocer la vigencia de la información publicada, por lo que tampoco se puede comprobar si cumple con el requisito de que esta información esté actualizada. </w:t>
                      </w:r>
                    </w:p>
                    <w:p w:rsidR="00010F10" w:rsidRDefault="00010F10" w:rsidP="00042DA5">
                      <w:pPr>
                        <w:pStyle w:val="Prrafodelista"/>
                        <w:numPr>
                          <w:ilvl w:val="0"/>
                          <w:numId w:val="8"/>
                        </w:numPr>
                        <w:jc w:val="both"/>
                      </w:pPr>
                      <w:r>
                        <w:t>Por otra parte, algunas de las informaciones de este bloque se publican fuera del Portal de Transparencia.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065D78" w:rsidRDefault="00065D78">
      <w:pPr>
        <w:rPr>
          <w:rStyle w:val="Ttulo2Car"/>
          <w:lang w:bidi="es-ES"/>
        </w:rPr>
      </w:pPr>
    </w:p>
    <w:p w:rsidR="00065D78" w:rsidRDefault="00065D78">
      <w:pPr>
        <w:rPr>
          <w:rStyle w:val="Ttulo2Car"/>
          <w:lang w:bidi="es-ES"/>
        </w:rPr>
      </w:pPr>
    </w:p>
    <w:p w:rsidR="00065D78" w:rsidRDefault="00065D78">
      <w:pPr>
        <w:rPr>
          <w:rStyle w:val="Ttulo2Car"/>
          <w:lang w:bidi="es-ES"/>
        </w:rPr>
      </w:pPr>
    </w:p>
    <w:p w:rsidR="00065D78" w:rsidRDefault="00065D78">
      <w:pPr>
        <w:rPr>
          <w:rStyle w:val="Ttulo2Car"/>
          <w:lang w:bidi="es-ES"/>
        </w:rPr>
      </w:pPr>
    </w:p>
    <w:p w:rsidR="00065D78" w:rsidRDefault="00065D78">
      <w:pPr>
        <w:rPr>
          <w:rStyle w:val="Ttulo2Car"/>
          <w:lang w:bidi="es-ES"/>
        </w:rPr>
      </w:pPr>
    </w:p>
    <w:p w:rsidR="00065D78" w:rsidRDefault="00065D78">
      <w:pPr>
        <w:rPr>
          <w:rStyle w:val="Ttulo2Car"/>
          <w:lang w:bidi="es-ES"/>
        </w:rPr>
      </w:pPr>
    </w:p>
    <w:p w:rsidR="00065D78" w:rsidRDefault="00065D78">
      <w:pPr>
        <w:rPr>
          <w:rStyle w:val="Ttulo2Car"/>
          <w:lang w:bidi="es-ES"/>
        </w:rPr>
      </w:pPr>
    </w:p>
    <w:p w:rsidR="00065D78" w:rsidRDefault="00065D78">
      <w:pPr>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AB3285">
        <w:trPr>
          <w:cantSplit/>
          <w:trHeight w:val="1612"/>
        </w:trPr>
        <w:tc>
          <w:tcPr>
            <w:tcW w:w="1024" w:type="dxa"/>
            <w:shd w:val="clear" w:color="auto" w:fill="00642D"/>
            <w:textDirection w:val="btLr"/>
            <w:vAlign w:val="center"/>
          </w:tcPr>
          <w:p w:rsidR="00C33A23" w:rsidRPr="00E34195" w:rsidRDefault="00C33A23" w:rsidP="00AB3285">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AB3285">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AB3285">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AB328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AB3285">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AB3285">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042DA5">
            <w:pPr>
              <w:pStyle w:val="Cuerpodelboletn"/>
              <w:spacing w:before="120" w:after="120" w:line="312" w:lineRule="auto"/>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042DA5" w:rsidRDefault="0066381F" w:rsidP="00042DA5">
            <w:pPr>
              <w:pStyle w:val="Cuerpodelboletn"/>
              <w:spacing w:before="120" w:after="120" w:line="312" w:lineRule="auto"/>
              <w:rPr>
                <w:rStyle w:val="Ttulo2Car"/>
                <w:b w:val="0"/>
                <w:color w:val="auto"/>
                <w:sz w:val="24"/>
                <w:szCs w:val="24"/>
                <w:lang w:bidi="es-ES"/>
              </w:rPr>
            </w:pPr>
            <w:r w:rsidRPr="00042DA5">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91EC5" w:rsidRPr="00842CF2" w:rsidRDefault="00B12913"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el acceso “Información Institucional y Organizativa” del Portal de Transparencia</w:t>
            </w:r>
          </w:p>
        </w:tc>
      </w:tr>
      <w:tr w:rsidR="00BD4582" w:rsidRPr="00CB5511" w:rsidTr="00AB3285">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AB3285">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042DA5" w:rsidRDefault="0066381F" w:rsidP="00042DA5">
            <w:pPr>
              <w:pStyle w:val="Cuerpodelboletn"/>
              <w:spacing w:before="120" w:after="120" w:line="312" w:lineRule="auto"/>
              <w:rPr>
                <w:rStyle w:val="Ttulo2Car"/>
                <w:b w:val="0"/>
                <w:color w:val="auto"/>
                <w:sz w:val="24"/>
                <w:szCs w:val="24"/>
                <w:lang w:bidi="es-ES"/>
              </w:rPr>
            </w:pPr>
            <w:r w:rsidRPr="00042DA5">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12913"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en el documento que abre el enlace “Ministerio Fiscal Gastos Personal 2020”</w:t>
            </w:r>
          </w:p>
        </w:tc>
      </w:tr>
      <w:tr w:rsidR="00BD4582" w:rsidRPr="00CB5511" w:rsidTr="00AB3285">
        <w:trPr>
          <w:trHeight w:val="940"/>
        </w:trPr>
        <w:tc>
          <w:tcPr>
            <w:tcW w:w="1024" w:type="dxa"/>
            <w:vMerge/>
            <w:tcBorders>
              <w:right w:val="single" w:sz="4" w:space="0" w:color="00642D"/>
            </w:tcBorders>
            <w:shd w:val="clear" w:color="auto" w:fill="00642D"/>
            <w:textDirection w:val="btLr"/>
            <w:vAlign w:val="center"/>
          </w:tcPr>
          <w:p w:rsidR="00BD4582" w:rsidRDefault="00BD4582" w:rsidP="00AB3285">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042DA5">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4B3730" w:rsidP="00042DA5">
            <w:pPr>
              <w:pStyle w:val="Cuerpodelboletn"/>
              <w:spacing w:before="120" w:after="120" w:line="312" w:lineRule="auto"/>
              <w:rPr>
                <w:rStyle w:val="Ttulo2Car"/>
                <w:b w:val="0"/>
                <w:color w:val="auto"/>
                <w:sz w:val="20"/>
                <w:szCs w:val="20"/>
                <w:lang w:bidi="es-ES"/>
              </w:rPr>
            </w:pPr>
            <w:r w:rsidRPr="004B3730">
              <w:rPr>
                <w:rStyle w:val="Ttulo2Car"/>
                <w:b w:val="0"/>
                <w:color w:val="auto"/>
                <w:sz w:val="20"/>
                <w:szCs w:val="20"/>
                <w:lang w:bidi="es-ES"/>
              </w:rPr>
              <w:t>No se ha localizado información</w:t>
            </w:r>
          </w:p>
        </w:tc>
      </w:tr>
      <w:tr w:rsidR="00BD4582" w:rsidRPr="00CB5511" w:rsidTr="00AB3285">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AB3285">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042DA5">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042DA5">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12913" w:rsidP="00042D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“Incompatibilidades” abre una página que no contiene</w:t>
            </w:r>
            <w:r w:rsidR="00C62E97">
              <w:rPr>
                <w:rStyle w:val="Ttulo2Car"/>
                <w:b w:val="0"/>
                <w:color w:val="auto"/>
                <w:sz w:val="20"/>
                <w:szCs w:val="20"/>
                <w:lang w:bidi="es-ES"/>
              </w:rPr>
              <w:t xml:space="preserve"> ningún tipo de</w:t>
            </w:r>
            <w:r>
              <w:rPr>
                <w:rStyle w:val="Ttulo2Car"/>
                <w:b w:val="0"/>
                <w:color w:val="auto"/>
                <w:sz w:val="20"/>
                <w:szCs w:val="20"/>
                <w:lang w:bidi="es-ES"/>
              </w:rPr>
              <w:t xml:space="preserve"> información</w:t>
            </w:r>
            <w:r w:rsidR="00C62E97">
              <w:rPr>
                <w:rStyle w:val="Ttulo2Car"/>
                <w:b w:val="0"/>
                <w:color w:val="auto"/>
                <w:sz w:val="20"/>
                <w:szCs w:val="20"/>
                <w:lang w:bidi="es-ES"/>
              </w:rPr>
              <w:t>.</w:t>
            </w:r>
          </w:p>
        </w:tc>
      </w:tr>
      <w:tr w:rsidR="00BD4582" w:rsidRPr="00CB5511" w:rsidTr="00AB3285">
        <w:trPr>
          <w:trHeight w:val="940"/>
        </w:trPr>
        <w:tc>
          <w:tcPr>
            <w:tcW w:w="1024" w:type="dxa"/>
            <w:vMerge/>
            <w:tcBorders>
              <w:right w:val="single" w:sz="4" w:space="0" w:color="00642D"/>
            </w:tcBorders>
            <w:shd w:val="clear" w:color="auto" w:fill="00642D"/>
            <w:textDirection w:val="btLr"/>
            <w:vAlign w:val="center"/>
          </w:tcPr>
          <w:p w:rsidR="00BD4582" w:rsidRDefault="00BD4582" w:rsidP="00AB3285">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042DA5">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042DA5">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E57186" w:rsidP="00042DA5">
            <w:pPr>
              <w:pStyle w:val="Cuerpodelboletn"/>
              <w:spacing w:before="120" w:after="120" w:line="312" w:lineRule="auto"/>
              <w:rPr>
                <w:rStyle w:val="Ttulo2Car"/>
                <w:b w:val="0"/>
                <w:color w:val="auto"/>
                <w:sz w:val="20"/>
                <w:szCs w:val="20"/>
                <w:lang w:bidi="es-ES"/>
              </w:rPr>
            </w:pPr>
            <w:r w:rsidRPr="00E57186">
              <w:rPr>
                <w:rStyle w:val="Ttulo2Car"/>
                <w:b w:val="0"/>
                <w:color w:val="auto"/>
                <w:sz w:val="20"/>
                <w:szCs w:val="20"/>
                <w:lang w:bidi="es-ES"/>
              </w:rPr>
              <w:t>El enlace “Incompatibilidades” abre una página que no conti</w:t>
            </w:r>
            <w:bookmarkStart w:id="0" w:name="_GoBack"/>
            <w:bookmarkEnd w:id="0"/>
            <w:r w:rsidRPr="00E57186">
              <w:rPr>
                <w:rStyle w:val="Ttulo2Car"/>
                <w:b w:val="0"/>
                <w:color w:val="auto"/>
                <w:sz w:val="20"/>
                <w:szCs w:val="20"/>
                <w:lang w:bidi="es-ES"/>
              </w:rPr>
              <w:t xml:space="preserve">ene </w:t>
            </w:r>
            <w:r w:rsidR="00C62E97" w:rsidRPr="00C62E97">
              <w:rPr>
                <w:rStyle w:val="Ttulo2Car"/>
                <w:b w:val="0"/>
                <w:color w:val="auto"/>
                <w:sz w:val="20"/>
                <w:szCs w:val="20"/>
                <w:lang w:bidi="es-ES"/>
              </w:rPr>
              <w:t xml:space="preserve">ningún tipo de </w:t>
            </w:r>
            <w:r w:rsidRPr="00E57186">
              <w:rPr>
                <w:rStyle w:val="Ttulo2Car"/>
                <w:b w:val="0"/>
                <w:color w:val="auto"/>
                <w:sz w:val="20"/>
                <w:szCs w:val="20"/>
                <w:lang w:bidi="es-ES"/>
              </w:rPr>
              <w:t>información</w:t>
            </w:r>
            <w:r w:rsidR="00C62E97">
              <w:rPr>
                <w:rStyle w:val="Ttulo2Car"/>
                <w:b w:val="0"/>
                <w:color w:val="auto"/>
                <w:sz w:val="20"/>
                <w:szCs w:val="20"/>
                <w:lang w:bidi="es-ES"/>
              </w:rPr>
              <w:t>.</w:t>
            </w:r>
          </w:p>
        </w:tc>
      </w:tr>
    </w:tbl>
    <w:p w:rsidR="006B0BEA" w:rsidRDefault="006B0BEA" w:rsidP="00C33A23">
      <w:pPr>
        <w:pStyle w:val="Cuerpodelboletn"/>
        <w:spacing w:before="120" w:after="120" w:line="312" w:lineRule="auto"/>
        <w:ind w:left="360"/>
        <w:rPr>
          <w:rStyle w:val="Ttulo2Car"/>
          <w:color w:val="00642D"/>
          <w:lang w:bidi="es-ES"/>
        </w:rPr>
      </w:pPr>
    </w:p>
    <w:p w:rsidR="006B0BEA" w:rsidRDefault="006B0BEA">
      <w:pPr>
        <w:rPr>
          <w:rStyle w:val="Ttulo2Car"/>
          <w:color w:val="00642D"/>
          <w:lang w:bidi="es-ES"/>
        </w:rPr>
      </w:pPr>
      <w:r>
        <w:rPr>
          <w:rStyle w:val="Ttulo2Car"/>
          <w:color w:val="00642D"/>
          <w:lang w:bidi="es-ES"/>
        </w:rPr>
        <w:br w:type="page"/>
      </w:r>
    </w:p>
    <w:p w:rsidR="0080459A" w:rsidRDefault="0080459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C3A3DDD" wp14:editId="3163F511">
                <wp:simplePos x="0" y="0"/>
                <wp:positionH relativeFrom="column">
                  <wp:posOffset>257175</wp:posOffset>
                </wp:positionH>
                <wp:positionV relativeFrom="paragraph">
                  <wp:posOffset>71755</wp:posOffset>
                </wp:positionV>
                <wp:extent cx="6153150" cy="43434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343400"/>
                        </a:xfrm>
                        <a:prstGeom prst="rect">
                          <a:avLst/>
                        </a:prstGeom>
                        <a:solidFill>
                          <a:srgbClr val="FFFFFF"/>
                        </a:solidFill>
                        <a:ln w="9525">
                          <a:solidFill>
                            <a:srgbClr val="000000"/>
                          </a:solidFill>
                          <a:miter lim="800000"/>
                          <a:headEnd/>
                          <a:tailEnd/>
                        </a:ln>
                      </wps:spPr>
                      <wps:txbx>
                        <w:txbxContent>
                          <w:p w:rsidR="00010F10" w:rsidRDefault="00010F10" w:rsidP="00BD4582">
                            <w:pPr>
                              <w:rPr>
                                <w:b/>
                                <w:color w:val="00642D"/>
                              </w:rPr>
                            </w:pPr>
                            <w:r w:rsidRPr="00BD4582">
                              <w:rPr>
                                <w:b/>
                                <w:color w:val="00642D"/>
                              </w:rPr>
                              <w:t>Contenidos</w:t>
                            </w:r>
                          </w:p>
                          <w:p w:rsidR="00010F10" w:rsidRDefault="00010F10" w:rsidP="00042DA5">
                            <w:pPr>
                              <w:jc w:val="both"/>
                            </w:pPr>
                            <w:r w:rsidRPr="00A65985">
                              <w:t>La información publicada no contempla la totalidad de los contenidos obligatorios establecidos en el artículo 8 de la LTAIBG.</w:t>
                            </w:r>
                          </w:p>
                          <w:p w:rsidR="00010F10" w:rsidRDefault="00010F10" w:rsidP="00042DA5">
                            <w:pPr>
                              <w:pStyle w:val="Prrafodelista"/>
                              <w:numPr>
                                <w:ilvl w:val="0"/>
                                <w:numId w:val="9"/>
                              </w:numPr>
                              <w:jc w:val="both"/>
                            </w:pPr>
                            <w:r>
                              <w:t>No se ha localizado información sobre las indemnizaciones percibidas por los máximos responsables con ocasión del abandono del cargo.</w:t>
                            </w:r>
                          </w:p>
                          <w:p w:rsidR="00010F10" w:rsidRDefault="00010F10" w:rsidP="00042DA5">
                            <w:pPr>
                              <w:pStyle w:val="Prrafodelista"/>
                              <w:numPr>
                                <w:ilvl w:val="0"/>
                                <w:numId w:val="9"/>
                              </w:numPr>
                              <w:jc w:val="both"/>
                            </w:pPr>
                            <w:r>
                              <w:t>No se ha localizado información sobre las autorizaciones de compatibilidad concedidas al personal al servicio de la FGE.</w:t>
                            </w:r>
                          </w:p>
                          <w:p w:rsidR="00010F10" w:rsidRPr="00A65985" w:rsidRDefault="00010F10" w:rsidP="00042DA5">
                            <w:pPr>
                              <w:pStyle w:val="Prrafodelista"/>
                              <w:numPr>
                                <w:ilvl w:val="0"/>
                                <w:numId w:val="9"/>
                              </w:numPr>
                              <w:jc w:val="both"/>
                            </w:pPr>
                            <w:r>
                              <w:t>No se han localizado información sobre las autorizaciones para el ejercicio de actividades privadas al cese de altos cargos.</w:t>
                            </w:r>
                          </w:p>
                          <w:p w:rsidR="00010F10" w:rsidRPr="00BD4582" w:rsidRDefault="00010F10" w:rsidP="00042DA5">
                            <w:pPr>
                              <w:jc w:val="both"/>
                              <w:rPr>
                                <w:b/>
                                <w:color w:val="00642D"/>
                              </w:rPr>
                            </w:pPr>
                            <w:r>
                              <w:rPr>
                                <w:b/>
                                <w:color w:val="00642D"/>
                              </w:rPr>
                              <w:t>Calidad de la Información</w:t>
                            </w:r>
                          </w:p>
                          <w:p w:rsidR="00010F10" w:rsidRDefault="00010F10" w:rsidP="00042DA5">
                            <w:pPr>
                              <w:pStyle w:val="Prrafodelista"/>
                              <w:numPr>
                                <w:ilvl w:val="0"/>
                                <w:numId w:val="10"/>
                              </w:numPr>
                              <w:jc w:val="both"/>
                            </w:pPr>
                            <w:r>
                              <w:t>E</w:t>
                            </w:r>
                            <w:r w:rsidRPr="00C24CDB">
                              <w:t xml:space="preserve">n el momento de realizar la evaluación </w:t>
                            </w:r>
                            <w:r>
                              <w:t>algunos de los enlaces no redirigían a la información esperable en función de su denominación.</w:t>
                            </w:r>
                          </w:p>
                          <w:p w:rsidR="00010F10" w:rsidRDefault="00010F10" w:rsidP="00042DA5">
                            <w:pPr>
                              <w:pStyle w:val="Prrafodelista"/>
                              <w:numPr>
                                <w:ilvl w:val="0"/>
                                <w:numId w:val="10"/>
                              </w:numPr>
                              <w:jc w:val="both"/>
                            </w:pPr>
                            <w:r>
                              <w:t xml:space="preserve">La información sobre retribuciones de los máximos responsables  no se publica de manera independiente. </w:t>
                            </w:r>
                          </w:p>
                          <w:p w:rsidR="00010F10" w:rsidRDefault="00010F10" w:rsidP="00042DA5">
                            <w:pPr>
                              <w:pStyle w:val="Prrafodelista"/>
                              <w:numPr>
                                <w:ilvl w:val="0"/>
                                <w:numId w:val="10"/>
                              </w:numPr>
                              <w:jc w:val="both"/>
                            </w:pPr>
                            <w:r>
                              <w:t>Gran parte de las informaciones de este grupo no son aplicables a la FGE porque las actividades a las que se refieren no se realizan por la Fiscalía, por ejemplo la contratación. Esta circunstancia debería reflejarse expresamente en 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0.25pt;margin-top:5.65pt;width:484.5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">
                <v:textbox>
                  <w:txbxContent>
                    <w:p w:rsidR="00010F10" w:rsidRDefault="00010F10" w:rsidP="00BD4582">
                      <w:pPr>
                        <w:rPr>
                          <w:b/>
                          <w:color w:val="00642D"/>
                        </w:rPr>
                      </w:pPr>
                      <w:r w:rsidRPr="00BD4582">
                        <w:rPr>
                          <w:b/>
                          <w:color w:val="00642D"/>
                        </w:rPr>
                        <w:t>Contenidos</w:t>
                      </w:r>
                    </w:p>
                    <w:p w:rsidR="00010F10" w:rsidRDefault="00010F10" w:rsidP="00042DA5">
                      <w:pPr>
                        <w:jc w:val="both"/>
                      </w:pPr>
                      <w:r w:rsidRPr="00A65985">
                        <w:t>La información publicada no contempla la totalidad de los contenidos obligatorios establecidos en el artículo 8 de la LTAIBG.</w:t>
                      </w:r>
                    </w:p>
                    <w:p w:rsidR="00010F10" w:rsidRDefault="00010F10" w:rsidP="00042DA5">
                      <w:pPr>
                        <w:pStyle w:val="Prrafodelista"/>
                        <w:numPr>
                          <w:ilvl w:val="0"/>
                          <w:numId w:val="9"/>
                        </w:numPr>
                        <w:jc w:val="both"/>
                      </w:pPr>
                      <w:r>
                        <w:t>No se ha localizado información sobre las indemnizaciones percibidas por los máximos responsables con ocasión del abandono del cargo.</w:t>
                      </w:r>
                    </w:p>
                    <w:p w:rsidR="00010F10" w:rsidRDefault="00010F10" w:rsidP="00042DA5">
                      <w:pPr>
                        <w:pStyle w:val="Prrafodelista"/>
                        <w:numPr>
                          <w:ilvl w:val="0"/>
                          <w:numId w:val="9"/>
                        </w:numPr>
                        <w:jc w:val="both"/>
                      </w:pPr>
                      <w:r>
                        <w:t>No se ha localizado información sobre las autorizaciones de compatibilidad concedidas al personal al servicio de la FGE.</w:t>
                      </w:r>
                    </w:p>
                    <w:p w:rsidR="00010F10" w:rsidRPr="00A65985" w:rsidRDefault="00010F10" w:rsidP="00042DA5">
                      <w:pPr>
                        <w:pStyle w:val="Prrafodelista"/>
                        <w:numPr>
                          <w:ilvl w:val="0"/>
                          <w:numId w:val="9"/>
                        </w:numPr>
                        <w:jc w:val="both"/>
                      </w:pPr>
                      <w:r>
                        <w:t>No se han localizado información sobre las autorizaciones para el ejercicio de actividades privadas al cese de altos cargos.</w:t>
                      </w:r>
                    </w:p>
                    <w:p w:rsidR="00010F10" w:rsidRPr="00BD4582" w:rsidRDefault="00010F10" w:rsidP="00042DA5">
                      <w:pPr>
                        <w:jc w:val="both"/>
                        <w:rPr>
                          <w:b/>
                          <w:color w:val="00642D"/>
                        </w:rPr>
                      </w:pPr>
                      <w:r>
                        <w:rPr>
                          <w:b/>
                          <w:color w:val="00642D"/>
                        </w:rPr>
                        <w:t>Calidad de la Información</w:t>
                      </w:r>
                    </w:p>
                    <w:p w:rsidR="00010F10" w:rsidRDefault="00010F10" w:rsidP="00042DA5">
                      <w:pPr>
                        <w:pStyle w:val="Prrafodelista"/>
                        <w:numPr>
                          <w:ilvl w:val="0"/>
                          <w:numId w:val="10"/>
                        </w:numPr>
                        <w:jc w:val="both"/>
                      </w:pPr>
                      <w:r>
                        <w:t>E</w:t>
                      </w:r>
                      <w:r w:rsidRPr="00C24CDB">
                        <w:t xml:space="preserve">n el momento de realizar la evaluación </w:t>
                      </w:r>
                      <w:r>
                        <w:t>algunos de los enlaces no redirigían a la información esperable en función de su denominación.</w:t>
                      </w:r>
                    </w:p>
                    <w:p w:rsidR="00010F10" w:rsidRDefault="00010F10" w:rsidP="00042DA5">
                      <w:pPr>
                        <w:pStyle w:val="Prrafodelista"/>
                        <w:numPr>
                          <w:ilvl w:val="0"/>
                          <w:numId w:val="10"/>
                        </w:numPr>
                        <w:jc w:val="both"/>
                      </w:pPr>
                      <w:r>
                        <w:t xml:space="preserve">La información sobre retribuciones de los máximos responsables  no se publica de manera independiente. </w:t>
                      </w:r>
                    </w:p>
                    <w:p w:rsidR="00010F10" w:rsidRDefault="00010F10" w:rsidP="00042DA5">
                      <w:pPr>
                        <w:pStyle w:val="Prrafodelista"/>
                        <w:numPr>
                          <w:ilvl w:val="0"/>
                          <w:numId w:val="10"/>
                        </w:numPr>
                        <w:jc w:val="both"/>
                      </w:pPr>
                      <w:r>
                        <w:t>Gran parte de las informaciones de este grupo no son aplicables a la FGE porque las actividades a las que se refieren no se realizan por la Fiscalía, por ejemplo la contratación. Esta circunstancia debería reflejarse expresamente en el Portal de Transparencia.</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33"/>
        <w:gridCol w:w="757"/>
        <w:gridCol w:w="756"/>
        <w:gridCol w:w="756"/>
        <w:gridCol w:w="756"/>
        <w:gridCol w:w="756"/>
        <w:gridCol w:w="756"/>
        <w:gridCol w:w="756"/>
        <w:gridCol w:w="756"/>
      </w:tblGrid>
      <w:tr w:rsidR="002A154B" w:rsidRPr="00F70640" w:rsidTr="004B13C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68"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rPr>
                <w:rFonts w:cs="Calibri"/>
                <w:sz w:val="16"/>
                <w:szCs w:val="16"/>
              </w:rPr>
            </w:pP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Contenido</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Forma</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Estructuración</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Accesibilidad</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Claridad</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Reutilización</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Actualización</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Total</w:t>
            </w:r>
          </w:p>
        </w:tc>
      </w:tr>
      <w:tr w:rsidR="004B13CD" w:rsidRPr="00C35170" w:rsidTr="004B13C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B13CD" w:rsidRPr="00C35170" w:rsidRDefault="004B13CD" w:rsidP="00A12B23">
            <w:pPr>
              <w:spacing w:before="120" w:after="120" w:line="312" w:lineRule="auto"/>
              <w:rPr>
                <w:rFonts w:cs="Calibri"/>
                <w:sz w:val="16"/>
                <w:szCs w:val="16"/>
              </w:rPr>
            </w:pPr>
            <w:r w:rsidRPr="00C35170">
              <w:rPr>
                <w:rFonts w:cs="Calibri"/>
                <w:sz w:val="16"/>
                <w:szCs w:val="16"/>
              </w:rPr>
              <w:t xml:space="preserve">Institucional y Organizativa </w:t>
            </w:r>
          </w:p>
        </w:tc>
        <w:tc>
          <w:tcPr>
            <w:tcW w:w="354" w:type="pct"/>
            <w:tcBorders>
              <w:left w:val="single" w:sz="18" w:space="0" w:color="FFFFFF" w:themeColor="background1"/>
            </w:tcBorders>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B13CD">
              <w:rPr>
                <w:sz w:val="16"/>
                <w:szCs w:val="16"/>
              </w:rPr>
              <w:t>85,7%</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B13CD">
              <w:rPr>
                <w:sz w:val="16"/>
                <w:szCs w:val="16"/>
              </w:rPr>
              <w:t>85,7%</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B13CD">
              <w:rPr>
                <w:sz w:val="16"/>
                <w:szCs w:val="16"/>
              </w:rPr>
              <w:t>78,6%</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B13CD">
              <w:rPr>
                <w:sz w:val="16"/>
                <w:szCs w:val="16"/>
              </w:rPr>
              <w:t>85,7%</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B13CD">
              <w:rPr>
                <w:sz w:val="16"/>
                <w:szCs w:val="16"/>
              </w:rPr>
              <w:t>85,7%</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B13CD">
              <w:rPr>
                <w:sz w:val="16"/>
                <w:szCs w:val="16"/>
              </w:rPr>
              <w:t>57,1%</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B13CD">
              <w:rPr>
                <w:sz w:val="16"/>
                <w:szCs w:val="16"/>
              </w:rPr>
              <w:t>7,1%</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B13CD">
              <w:rPr>
                <w:sz w:val="16"/>
                <w:szCs w:val="16"/>
              </w:rPr>
              <w:t>69,4%</w:t>
            </w:r>
          </w:p>
        </w:tc>
      </w:tr>
      <w:tr w:rsidR="004B13CD" w:rsidRPr="00C35170" w:rsidTr="004B13CD">
        <w:trPr>
          <w:trHeight w:val="555"/>
        </w:trPr>
        <w:tc>
          <w:tcPr>
            <w:cnfStyle w:val="001000000000" w:firstRow="0" w:lastRow="0" w:firstColumn="1" w:lastColumn="0" w:oddVBand="0" w:evenVBand="0" w:oddHBand="0" w:evenHBand="0" w:firstRowFirstColumn="0" w:firstRowLastColumn="0" w:lastRowFirstColumn="0" w:lastRowLastColumn="0"/>
            <w:tcW w:w="216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B13CD" w:rsidRPr="00C35170" w:rsidRDefault="004B13CD" w:rsidP="00BB6799">
            <w:pPr>
              <w:spacing w:before="120" w:after="120" w:line="312" w:lineRule="auto"/>
              <w:jc w:val="both"/>
              <w:rPr>
                <w:rFonts w:cs="Calibri"/>
                <w:sz w:val="16"/>
                <w:szCs w:val="16"/>
              </w:rPr>
            </w:pPr>
            <w:r w:rsidRPr="00C35170">
              <w:rPr>
                <w:rFonts w:cs="Calibri"/>
                <w:sz w:val="16"/>
                <w:szCs w:val="16"/>
              </w:rPr>
              <w:t>Económica , Presupuestaria y Estadística</w:t>
            </w:r>
          </w:p>
        </w:tc>
        <w:tc>
          <w:tcPr>
            <w:tcW w:w="354" w:type="pct"/>
            <w:tcBorders>
              <w:left w:val="single" w:sz="18" w:space="0" w:color="FFFFFF" w:themeColor="background1"/>
            </w:tcBorders>
            <w:noWrap/>
            <w:vAlign w:val="center"/>
          </w:tcPr>
          <w:p w:rsidR="004B13CD" w:rsidRPr="004B13CD" w:rsidRDefault="004B13CD" w:rsidP="004B13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B13CD">
              <w:rPr>
                <w:sz w:val="16"/>
                <w:szCs w:val="16"/>
              </w:rPr>
              <w:t>40,0%</w:t>
            </w:r>
          </w:p>
        </w:tc>
        <w:tc>
          <w:tcPr>
            <w:tcW w:w="354" w:type="pct"/>
            <w:noWrap/>
            <w:vAlign w:val="center"/>
          </w:tcPr>
          <w:p w:rsidR="004B13CD" w:rsidRPr="004B13CD" w:rsidRDefault="004B13CD" w:rsidP="004B13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B13CD">
              <w:rPr>
                <w:sz w:val="16"/>
                <w:szCs w:val="16"/>
              </w:rPr>
              <w:t>20,0%</w:t>
            </w:r>
          </w:p>
        </w:tc>
        <w:tc>
          <w:tcPr>
            <w:tcW w:w="354" w:type="pct"/>
            <w:noWrap/>
            <w:vAlign w:val="center"/>
          </w:tcPr>
          <w:p w:rsidR="004B13CD" w:rsidRPr="004B13CD" w:rsidRDefault="004B13CD" w:rsidP="004B13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B13CD">
              <w:rPr>
                <w:sz w:val="16"/>
                <w:szCs w:val="16"/>
              </w:rPr>
              <w:t>40,0%</w:t>
            </w:r>
          </w:p>
        </w:tc>
        <w:tc>
          <w:tcPr>
            <w:tcW w:w="354" w:type="pct"/>
            <w:noWrap/>
            <w:vAlign w:val="center"/>
          </w:tcPr>
          <w:p w:rsidR="004B13CD" w:rsidRPr="004B13CD" w:rsidRDefault="004B13CD" w:rsidP="004B13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B13CD">
              <w:rPr>
                <w:sz w:val="16"/>
                <w:szCs w:val="16"/>
              </w:rPr>
              <w:t>20,0%</w:t>
            </w:r>
          </w:p>
        </w:tc>
        <w:tc>
          <w:tcPr>
            <w:tcW w:w="354" w:type="pct"/>
            <w:noWrap/>
            <w:vAlign w:val="center"/>
          </w:tcPr>
          <w:p w:rsidR="004B13CD" w:rsidRPr="004B13CD" w:rsidRDefault="004B13CD" w:rsidP="004B13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B13CD">
              <w:rPr>
                <w:sz w:val="16"/>
                <w:szCs w:val="16"/>
              </w:rPr>
              <w:t>40,0%</w:t>
            </w:r>
          </w:p>
        </w:tc>
        <w:tc>
          <w:tcPr>
            <w:tcW w:w="354" w:type="pct"/>
            <w:noWrap/>
            <w:vAlign w:val="center"/>
          </w:tcPr>
          <w:p w:rsidR="004B13CD" w:rsidRPr="004B13CD" w:rsidRDefault="004B13CD" w:rsidP="004B13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B13CD">
              <w:rPr>
                <w:sz w:val="16"/>
                <w:szCs w:val="16"/>
              </w:rPr>
              <w:t>40,0%</w:t>
            </w:r>
          </w:p>
        </w:tc>
        <w:tc>
          <w:tcPr>
            <w:tcW w:w="354" w:type="pct"/>
            <w:noWrap/>
            <w:vAlign w:val="center"/>
          </w:tcPr>
          <w:p w:rsidR="004B13CD" w:rsidRPr="004B13CD" w:rsidRDefault="004B13CD" w:rsidP="004B13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B13CD">
              <w:rPr>
                <w:sz w:val="16"/>
                <w:szCs w:val="16"/>
              </w:rPr>
              <w:t>40,0%</w:t>
            </w:r>
          </w:p>
        </w:tc>
        <w:tc>
          <w:tcPr>
            <w:tcW w:w="354" w:type="pct"/>
            <w:noWrap/>
            <w:vAlign w:val="center"/>
          </w:tcPr>
          <w:p w:rsidR="004B13CD" w:rsidRPr="004B13CD" w:rsidRDefault="004B13CD" w:rsidP="004B13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B13CD">
              <w:rPr>
                <w:sz w:val="16"/>
                <w:szCs w:val="16"/>
              </w:rPr>
              <w:t>34,3%</w:t>
            </w:r>
          </w:p>
        </w:tc>
      </w:tr>
      <w:tr w:rsidR="004B13CD" w:rsidRPr="00C35170" w:rsidTr="004B13C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B13CD" w:rsidRPr="00C35170" w:rsidRDefault="004B13CD" w:rsidP="00BB6799">
            <w:pPr>
              <w:spacing w:before="120" w:after="120" w:line="312" w:lineRule="auto"/>
              <w:jc w:val="both"/>
              <w:rPr>
                <w:rFonts w:cs="Calibri"/>
                <w:i/>
                <w:sz w:val="16"/>
                <w:szCs w:val="16"/>
              </w:rPr>
            </w:pPr>
            <w:r w:rsidRPr="00C35170">
              <w:rPr>
                <w:rFonts w:cs="Calibri"/>
                <w:i/>
                <w:sz w:val="16"/>
                <w:szCs w:val="16"/>
              </w:rPr>
              <w:t>Índice de Cumplimiento de la Información Obligatoria</w:t>
            </w:r>
          </w:p>
        </w:tc>
        <w:tc>
          <w:tcPr>
            <w:tcW w:w="354" w:type="pct"/>
            <w:tcBorders>
              <w:left w:val="single" w:sz="18" w:space="0" w:color="FFFFFF" w:themeColor="background1"/>
            </w:tcBorders>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B13CD">
              <w:rPr>
                <w:b/>
                <w:i/>
                <w:sz w:val="16"/>
                <w:szCs w:val="16"/>
              </w:rPr>
              <w:t>66,7%</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B13CD">
              <w:rPr>
                <w:b/>
                <w:i/>
                <w:sz w:val="16"/>
                <w:szCs w:val="16"/>
              </w:rPr>
              <w:t>58,3%</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B13CD">
              <w:rPr>
                <w:b/>
                <w:i/>
                <w:sz w:val="16"/>
                <w:szCs w:val="16"/>
              </w:rPr>
              <w:t>62,5%</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B13CD">
              <w:rPr>
                <w:b/>
                <w:i/>
                <w:sz w:val="16"/>
                <w:szCs w:val="16"/>
              </w:rPr>
              <w:t>58,3%</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B13CD">
              <w:rPr>
                <w:b/>
                <w:i/>
                <w:sz w:val="16"/>
                <w:szCs w:val="16"/>
              </w:rPr>
              <w:t>66,7%</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B13CD">
              <w:rPr>
                <w:b/>
                <w:i/>
                <w:sz w:val="16"/>
                <w:szCs w:val="16"/>
              </w:rPr>
              <w:t>50,0%</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B13CD">
              <w:rPr>
                <w:b/>
                <w:i/>
                <w:sz w:val="16"/>
                <w:szCs w:val="16"/>
              </w:rPr>
              <w:t>20,8%</w:t>
            </w:r>
          </w:p>
        </w:tc>
        <w:tc>
          <w:tcPr>
            <w:tcW w:w="354" w:type="pct"/>
            <w:noWrap/>
            <w:vAlign w:val="center"/>
          </w:tcPr>
          <w:p w:rsidR="004B13CD" w:rsidRPr="004B13CD" w:rsidRDefault="004B13CD" w:rsidP="004B13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B13CD">
              <w:rPr>
                <w:b/>
                <w:i/>
                <w:sz w:val="16"/>
                <w:szCs w:val="16"/>
              </w:rPr>
              <w:t>54,8%</w:t>
            </w:r>
          </w:p>
        </w:tc>
      </w:tr>
    </w:tbl>
    <w:p w:rsidR="00BD4582" w:rsidRPr="00C35170" w:rsidRDefault="00BD4582" w:rsidP="00266A68">
      <w:pPr>
        <w:pStyle w:val="Cuerpodelboletn"/>
        <w:spacing w:before="120" w:after="120" w:line="312" w:lineRule="auto"/>
        <w:rPr>
          <w:b/>
          <w:color w:val="50866C"/>
          <w:sz w:val="16"/>
          <w:szCs w:val="16"/>
        </w:rPr>
      </w:pPr>
    </w:p>
    <w:p w:rsidR="00266A68" w:rsidRDefault="00266A68" w:rsidP="000D129D">
      <w:pPr>
        <w:jc w:val="both"/>
      </w:pPr>
      <w:r w:rsidRPr="000D129D">
        <w:t>El Índice de Cumplimiento de la Información Obligatoria (ICIO) por parte de</w:t>
      </w:r>
      <w:r w:rsidR="008775C5">
        <w:t xml:space="preserve"> </w:t>
      </w:r>
      <w:r w:rsidRPr="000D129D">
        <w:t>l</w:t>
      </w:r>
      <w:r w:rsidR="008775C5">
        <w:t>a</w:t>
      </w:r>
      <w:r w:rsidRPr="000D129D">
        <w:t xml:space="preserve"> </w:t>
      </w:r>
      <w:r w:rsidR="008775C5">
        <w:t>FGE</w:t>
      </w:r>
      <w:r w:rsidRPr="000D129D">
        <w:t xml:space="preserve"> </w:t>
      </w:r>
      <w:r w:rsidR="00CC7E03">
        <w:t xml:space="preserve">alcanza un </w:t>
      </w:r>
      <w:r w:rsidR="004B13CD">
        <w:t>54,8</w:t>
      </w:r>
      <w:r w:rsidR="000D129D">
        <w:t>%</w:t>
      </w:r>
      <w:r w:rsidRPr="000D129D">
        <w:t xml:space="preserve">. </w:t>
      </w:r>
      <w:r w:rsidR="000D129D">
        <w:t>Los</w:t>
      </w:r>
      <w:r w:rsidRPr="000D129D">
        <w:t xml:space="preserve"> principal</w:t>
      </w:r>
      <w:r w:rsidR="000D129D">
        <w:t>es</w:t>
      </w:r>
      <w:r w:rsidRPr="000D129D">
        <w:t xml:space="preserve"> </w:t>
      </w:r>
      <w:r>
        <w:t>factor</w:t>
      </w:r>
      <w:r w:rsidR="000D129D">
        <w:t>es</w:t>
      </w:r>
      <w:r>
        <w:t xml:space="preserve"> que explica</w:t>
      </w:r>
      <w:r w:rsidR="000D129D">
        <w:t>n</w:t>
      </w:r>
      <w:r w:rsidR="00042DA5">
        <w:t xml:space="preserve"> </w:t>
      </w:r>
      <w:r>
        <w:t>el nivel alcanzado es la falta de</w:t>
      </w:r>
      <w:r w:rsidR="000D129D">
        <w:t xml:space="preserve"> publicación de algunos contenidos obligatorios del bloque de información económic</w:t>
      </w:r>
      <w:r w:rsidR="004B13CD">
        <w:t>a, presupuestaria y estadística y</w:t>
      </w:r>
      <w:r w:rsidR="000D129D">
        <w:t xml:space="preserve"> la falta de</w:t>
      </w:r>
      <w:r>
        <w:t xml:space="preserve"> referencias a la fecha en que se revisó o actualizó la información publicada.</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B0BEA">
        <w:rPr>
          <w:b/>
          <w:color w:val="00642D"/>
          <w:sz w:val="32"/>
        </w:rPr>
        <w:t>V</w:t>
      </w:r>
      <w:r w:rsidR="00CC7E03">
        <w:rPr>
          <w:b/>
          <w:color w:val="00642D"/>
          <w:sz w:val="32"/>
        </w:rPr>
        <w:t xml:space="preserve">oluntaria </w:t>
      </w:r>
      <w:r w:rsidRPr="002A154B">
        <w:rPr>
          <w:b/>
          <w:color w:val="00642D"/>
          <w:sz w:val="32"/>
        </w:rPr>
        <w:t>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90B3589" wp14:editId="0E118E62">
                <wp:simplePos x="0" y="0"/>
                <wp:positionH relativeFrom="column">
                  <wp:posOffset>27305</wp:posOffset>
                </wp:positionH>
                <wp:positionV relativeFrom="paragraph">
                  <wp:posOffset>19050</wp:posOffset>
                </wp:positionV>
                <wp:extent cx="6264910" cy="1403985"/>
                <wp:effectExtent l="0" t="0" r="21590" b="2476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10F10" w:rsidRDefault="00010F10">
                            <w:pPr>
                              <w:rPr>
                                <w:b/>
                                <w:color w:val="00642D"/>
                              </w:rPr>
                            </w:pPr>
                            <w:r w:rsidRPr="002A154B">
                              <w:rPr>
                                <w:b/>
                                <w:color w:val="00642D"/>
                              </w:rPr>
                              <w:t xml:space="preserve">Transparencia </w:t>
                            </w:r>
                            <w:r>
                              <w:rPr>
                                <w:b/>
                                <w:color w:val="00642D"/>
                              </w:rPr>
                              <w:t>Voluntaria</w:t>
                            </w:r>
                          </w:p>
                          <w:p w:rsidR="00010F10" w:rsidRDefault="00010F10" w:rsidP="00224928">
                            <w:pPr>
                              <w:jc w:val="both"/>
                            </w:pPr>
                            <w:r>
                              <w:t>Además de las informaciones sujetas a obligaciones de publicidad activa, la Fiscalía General del Estado publica otras informaciones que pueden considerarse relevantes desde el punto de vista de la Transparencia y</w:t>
                            </w:r>
                            <w:r w:rsidR="00042DA5">
                              <w:t xml:space="preserve">  </w:t>
                            </w:r>
                            <w:r>
                              <w:t>que ponen de manifiesto la voluntad de la institución por hacer más transparente su gestión:</w:t>
                            </w:r>
                          </w:p>
                          <w:p w:rsidR="00010F10" w:rsidRDefault="00010F10" w:rsidP="00266A68">
                            <w:pPr>
                              <w:pStyle w:val="Prrafodelista"/>
                              <w:numPr>
                                <w:ilvl w:val="0"/>
                                <w:numId w:val="13"/>
                              </w:numPr>
                              <w:jc w:val="both"/>
                            </w:pPr>
                            <w:r w:rsidRPr="00194FA9">
                              <w:t xml:space="preserve">La publicación de la Agenda de la </w:t>
                            </w:r>
                            <w:r>
                              <w:t>Fiscal General</w:t>
                            </w:r>
                            <w:r w:rsidRPr="00194FA9">
                              <w:t>.</w:t>
                            </w:r>
                          </w:p>
                          <w:p w:rsidR="00010F10" w:rsidRDefault="00010F10" w:rsidP="00266A68">
                            <w:pPr>
                              <w:pStyle w:val="Prrafodelista"/>
                              <w:numPr>
                                <w:ilvl w:val="0"/>
                                <w:numId w:val="13"/>
                              </w:numPr>
                              <w:jc w:val="both"/>
                            </w:pPr>
                            <w:r>
                              <w:t>La publicación del Convenio entre la Fiscalía y Transparencia Internacional.</w:t>
                            </w:r>
                          </w:p>
                          <w:p w:rsidR="00010F10" w:rsidRDefault="00010F10" w:rsidP="00266A68">
                            <w:pPr>
                              <w:pStyle w:val="Prrafodelista"/>
                              <w:numPr>
                                <w:ilvl w:val="0"/>
                                <w:numId w:val="13"/>
                              </w:numPr>
                              <w:jc w:val="both"/>
                            </w:pPr>
                            <w:r>
                              <w:t>La publicación de las actas de la Junta de Fiscales de Sala y de las Juntas de Fiscales Superiores</w:t>
                            </w:r>
                            <w:r w:rsidR="00042DA5">
                              <w:t>.</w:t>
                            </w:r>
                          </w:p>
                          <w:p w:rsidR="00010F10" w:rsidRDefault="00010F10" w:rsidP="00266A68">
                            <w:pPr>
                              <w:pStyle w:val="Prrafodelista"/>
                              <w:numPr>
                                <w:ilvl w:val="0"/>
                                <w:numId w:val="13"/>
                              </w:numPr>
                              <w:jc w:val="both"/>
                            </w:pPr>
                            <w:r>
                              <w:t>La publicación de los datos de actividad de la Fiscalía.</w:t>
                            </w:r>
                          </w:p>
                          <w:p w:rsidR="00010F10" w:rsidRDefault="00010F10" w:rsidP="00B13035">
                            <w:pPr>
                              <w:pStyle w:val="Prrafodelista"/>
                              <w:numPr>
                                <w:ilvl w:val="0"/>
                                <w:numId w:val="13"/>
                              </w:numPr>
                              <w:jc w:val="both"/>
                            </w:pPr>
                            <w:r w:rsidRPr="00B12913">
                              <w:t>La publicación de las circulares, instrucciones y consultas.</w:t>
                            </w:r>
                          </w:p>
                          <w:p w:rsidR="00010F10" w:rsidRDefault="00010F10" w:rsidP="00B13035">
                            <w:pPr>
                              <w:pStyle w:val="Prrafodelista"/>
                              <w:numPr>
                                <w:ilvl w:val="0"/>
                                <w:numId w:val="13"/>
                              </w:numPr>
                              <w:jc w:val="both"/>
                            </w:pPr>
                            <w:r>
                              <w:t>La publicación de información sobre los anticipos de caja fija.</w:t>
                            </w:r>
                          </w:p>
                          <w:p w:rsidR="00010F10" w:rsidRPr="00B12913" w:rsidRDefault="00010F10" w:rsidP="00B13035">
                            <w:pPr>
                              <w:pStyle w:val="Prrafodelista"/>
                              <w:numPr>
                                <w:ilvl w:val="0"/>
                                <w:numId w:val="13"/>
                              </w:numPr>
                              <w:jc w:val="both"/>
                            </w:pPr>
                            <w:r>
                              <w:t>La publicación del Código Ético del Ministerio Fiscal.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5pt;margin-top:1.5pt;width:493.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">
                <v:textbox style="mso-fit-shape-to-text:t">
                  <w:txbxContent>
                    <w:p w:rsidR="00010F10" w:rsidRDefault="00010F10">
                      <w:pPr>
                        <w:rPr>
                          <w:b/>
                          <w:color w:val="00642D"/>
                        </w:rPr>
                      </w:pPr>
                      <w:r w:rsidRPr="002A154B">
                        <w:rPr>
                          <w:b/>
                          <w:color w:val="00642D"/>
                        </w:rPr>
                        <w:t xml:space="preserve">Transparencia </w:t>
                      </w:r>
                      <w:r>
                        <w:rPr>
                          <w:b/>
                          <w:color w:val="00642D"/>
                        </w:rPr>
                        <w:t>Voluntaria</w:t>
                      </w:r>
                    </w:p>
                    <w:p w:rsidR="00010F10" w:rsidRDefault="00010F10" w:rsidP="00224928">
                      <w:pPr>
                        <w:jc w:val="both"/>
                      </w:pPr>
                      <w:r>
                        <w:t>Además de las informaciones sujetas a obligaciones de publicidad activa, la Fiscalía General del Estado publica otras informaciones que pueden considerarse relevantes desde el punto de vista de la Transparencia y</w:t>
                      </w:r>
                      <w:r w:rsidR="00042DA5">
                        <w:t xml:space="preserve">  </w:t>
                      </w:r>
                      <w:r>
                        <w:t>que ponen de manifiesto la voluntad de la institución por hacer más transparente su gestión:</w:t>
                      </w:r>
                    </w:p>
                    <w:p w:rsidR="00010F10" w:rsidRDefault="00010F10" w:rsidP="00266A68">
                      <w:pPr>
                        <w:pStyle w:val="Prrafodelista"/>
                        <w:numPr>
                          <w:ilvl w:val="0"/>
                          <w:numId w:val="13"/>
                        </w:numPr>
                        <w:jc w:val="both"/>
                      </w:pPr>
                      <w:r w:rsidRPr="00194FA9">
                        <w:t xml:space="preserve">La publicación de la Agenda de la </w:t>
                      </w:r>
                      <w:r>
                        <w:t>Fiscal General</w:t>
                      </w:r>
                      <w:r w:rsidRPr="00194FA9">
                        <w:t>.</w:t>
                      </w:r>
                    </w:p>
                    <w:p w:rsidR="00010F10" w:rsidRDefault="00010F10" w:rsidP="00266A68">
                      <w:pPr>
                        <w:pStyle w:val="Prrafodelista"/>
                        <w:numPr>
                          <w:ilvl w:val="0"/>
                          <w:numId w:val="13"/>
                        </w:numPr>
                        <w:jc w:val="both"/>
                      </w:pPr>
                      <w:r>
                        <w:t>La publicación del Convenio entre la Fiscalía y Transparencia Internacional.</w:t>
                      </w:r>
                    </w:p>
                    <w:p w:rsidR="00010F10" w:rsidRDefault="00010F10" w:rsidP="00266A68">
                      <w:pPr>
                        <w:pStyle w:val="Prrafodelista"/>
                        <w:numPr>
                          <w:ilvl w:val="0"/>
                          <w:numId w:val="13"/>
                        </w:numPr>
                        <w:jc w:val="both"/>
                      </w:pPr>
                      <w:r>
                        <w:t>La publicación de las actas de la Junta de Fiscales de Sala y de las Juntas de Fiscales Superiores</w:t>
                      </w:r>
                      <w:r w:rsidR="00042DA5">
                        <w:t>.</w:t>
                      </w:r>
                    </w:p>
                    <w:p w:rsidR="00010F10" w:rsidRDefault="00010F10" w:rsidP="00266A68">
                      <w:pPr>
                        <w:pStyle w:val="Prrafodelista"/>
                        <w:numPr>
                          <w:ilvl w:val="0"/>
                          <w:numId w:val="13"/>
                        </w:numPr>
                        <w:jc w:val="both"/>
                      </w:pPr>
                      <w:r>
                        <w:t>La publicación de los datos de actividad de la Fiscalía.</w:t>
                      </w:r>
                    </w:p>
                    <w:p w:rsidR="00010F10" w:rsidRDefault="00010F10" w:rsidP="00B13035">
                      <w:pPr>
                        <w:pStyle w:val="Prrafodelista"/>
                        <w:numPr>
                          <w:ilvl w:val="0"/>
                          <w:numId w:val="13"/>
                        </w:numPr>
                        <w:jc w:val="both"/>
                      </w:pPr>
                      <w:r w:rsidRPr="00B12913">
                        <w:t>La publicación de las circulares, instrucciones y consultas.</w:t>
                      </w:r>
                    </w:p>
                    <w:p w:rsidR="00010F10" w:rsidRDefault="00010F10" w:rsidP="00B13035">
                      <w:pPr>
                        <w:pStyle w:val="Prrafodelista"/>
                        <w:numPr>
                          <w:ilvl w:val="0"/>
                          <w:numId w:val="13"/>
                        </w:numPr>
                        <w:jc w:val="both"/>
                      </w:pPr>
                      <w:r>
                        <w:t>La publicación de información sobre los anticipos de caja fija.</w:t>
                      </w:r>
                    </w:p>
                    <w:p w:rsidR="00010F10" w:rsidRPr="00B12913" w:rsidRDefault="00010F10" w:rsidP="00B13035">
                      <w:pPr>
                        <w:pStyle w:val="Prrafodelista"/>
                        <w:numPr>
                          <w:ilvl w:val="0"/>
                          <w:numId w:val="13"/>
                        </w:numPr>
                        <w:jc w:val="both"/>
                      </w:pPr>
                      <w:r>
                        <w:t>La publicación del Código Ético del Ministerio Fiscal.</w:t>
                      </w:r>
                    </w:p>
                  </w:txbxContent>
                </v:textbox>
              </v:shape>
            </w:pict>
          </mc:Fallback>
        </mc:AlternateContent>
      </w: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B40246" w:rsidRDefault="00A01C7F">
      <w:r w:rsidRPr="002A154B">
        <w:rPr>
          <w:noProof/>
          <w:u w:val="single"/>
        </w:rPr>
        <mc:AlternateContent>
          <mc:Choice Requires="wps">
            <w:drawing>
              <wp:anchor distT="0" distB="0" distL="114300" distR="114300" simplePos="0" relativeHeight="251673600" behindDoc="0" locked="0" layoutInCell="1" allowOverlap="1" wp14:anchorId="528FEF43" wp14:editId="76DAB6E0">
                <wp:simplePos x="0" y="0"/>
                <wp:positionH relativeFrom="column">
                  <wp:posOffset>28575</wp:posOffset>
                </wp:positionH>
                <wp:positionV relativeFrom="paragraph">
                  <wp:posOffset>39370</wp:posOffset>
                </wp:positionV>
                <wp:extent cx="6334125" cy="18859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885950"/>
                        </a:xfrm>
                        <a:prstGeom prst="rect">
                          <a:avLst/>
                        </a:prstGeom>
                        <a:solidFill>
                          <a:srgbClr val="FFFFFF"/>
                        </a:solidFill>
                        <a:ln w="9525">
                          <a:solidFill>
                            <a:srgbClr val="000000"/>
                          </a:solidFill>
                          <a:miter lim="800000"/>
                          <a:headEnd/>
                          <a:tailEnd/>
                        </a:ln>
                      </wps:spPr>
                      <wps:txbx>
                        <w:txbxContent>
                          <w:p w:rsidR="00010F10" w:rsidRDefault="00010F10" w:rsidP="00A01C7F">
                            <w:pPr>
                              <w:rPr>
                                <w:b/>
                                <w:color w:val="00642D"/>
                              </w:rPr>
                            </w:pPr>
                            <w:r>
                              <w:rPr>
                                <w:b/>
                                <w:color w:val="00642D"/>
                              </w:rPr>
                              <w:t>Buenas Prácticas</w:t>
                            </w:r>
                          </w:p>
                          <w:p w:rsidR="00010F10" w:rsidRPr="00224928" w:rsidRDefault="00010F10" w:rsidP="00042DA5">
                            <w:pPr>
                              <w:jc w:val="both"/>
                            </w:pPr>
                            <w:r w:rsidRPr="00224928">
                              <w:t xml:space="preserve">Como buenas prácticas </w:t>
                            </w:r>
                            <w:r>
                              <w:t>de la Fiscalía General</w:t>
                            </w:r>
                            <w:r w:rsidRPr="00224928">
                              <w:t xml:space="preserve"> </w:t>
                            </w:r>
                            <w:r w:rsidR="00042DA5">
                              <w:t xml:space="preserve">del </w:t>
                            </w:r>
                            <w:proofErr w:type="spellStart"/>
                            <w:r w:rsidR="00042DA5">
                              <w:t>Eestado</w:t>
                            </w:r>
                            <w:proofErr w:type="spellEnd"/>
                            <w:r w:rsidR="00042DA5">
                              <w:t xml:space="preserve"> </w:t>
                            </w:r>
                            <w:r w:rsidRPr="00224928">
                              <w:t>que podrían ser aplicables a otras organizaciones sujetas a obligaciones de publicidad activa, cabe destacar:</w:t>
                            </w:r>
                          </w:p>
                          <w:p w:rsidR="00010F10" w:rsidRDefault="00010F10" w:rsidP="00042DA5">
                            <w:pPr>
                              <w:pStyle w:val="Prrafodelista"/>
                              <w:numPr>
                                <w:ilvl w:val="0"/>
                                <w:numId w:val="5"/>
                              </w:numPr>
                              <w:jc w:val="both"/>
                            </w:pPr>
                            <w:r>
                              <w:t>La inclusión de textos introductorios a los distintos apartados del Portal de Transparencia.</w:t>
                            </w:r>
                          </w:p>
                          <w:p w:rsidR="00010F10" w:rsidRPr="00B12913" w:rsidRDefault="00010F10" w:rsidP="00042DA5">
                            <w:pPr>
                              <w:pStyle w:val="Prrafodelista"/>
                              <w:numPr>
                                <w:ilvl w:val="0"/>
                                <w:numId w:val="5"/>
                              </w:numPr>
                              <w:jc w:val="both"/>
                            </w:pPr>
                            <w:r w:rsidRPr="00B12913">
                              <w:t xml:space="preserve">La descripción de las funciones de los órganos que componen </w:t>
                            </w:r>
                            <w:r>
                              <w:t>la FGE</w:t>
                            </w:r>
                            <w:r w:rsidRPr="00B12913">
                              <w:t>.</w:t>
                            </w:r>
                          </w:p>
                          <w:p w:rsidR="00010F10" w:rsidRPr="00E44FAF" w:rsidRDefault="00010F10" w:rsidP="00042DA5">
                            <w:pPr>
                              <w:pStyle w:val="Prrafodelista"/>
                              <w:numPr>
                                <w:ilvl w:val="0"/>
                                <w:numId w:val="5"/>
                              </w:numPr>
                              <w:jc w:val="both"/>
                            </w:pPr>
                            <w:r w:rsidRPr="00E44FAF">
                              <w:t>La publicación de los datos de contacto de diferentes unidades de la Fiscalía</w:t>
                            </w:r>
                            <w:r w:rsidR="00042DA5">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5pt;margin-top:3.1pt;width:498.7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">
                <v:textbox>
                  <w:txbxContent>
                    <w:p w:rsidR="00010F10" w:rsidRDefault="00010F10" w:rsidP="00A01C7F">
                      <w:pPr>
                        <w:rPr>
                          <w:b/>
                          <w:color w:val="00642D"/>
                        </w:rPr>
                      </w:pPr>
                      <w:r>
                        <w:rPr>
                          <w:b/>
                          <w:color w:val="00642D"/>
                        </w:rPr>
                        <w:t>Buenas Prácticas</w:t>
                      </w:r>
                    </w:p>
                    <w:p w:rsidR="00010F10" w:rsidRPr="00224928" w:rsidRDefault="00010F10" w:rsidP="00042DA5">
                      <w:pPr>
                        <w:jc w:val="both"/>
                      </w:pPr>
                      <w:r w:rsidRPr="00224928">
                        <w:t xml:space="preserve">Como buenas prácticas </w:t>
                      </w:r>
                      <w:r>
                        <w:t>de la Fiscalía General</w:t>
                      </w:r>
                      <w:r w:rsidRPr="00224928">
                        <w:t xml:space="preserve"> </w:t>
                      </w:r>
                      <w:r w:rsidR="00042DA5">
                        <w:t xml:space="preserve">del </w:t>
                      </w:r>
                      <w:proofErr w:type="spellStart"/>
                      <w:r w:rsidR="00042DA5">
                        <w:t>Eestado</w:t>
                      </w:r>
                      <w:proofErr w:type="spellEnd"/>
                      <w:r w:rsidR="00042DA5">
                        <w:t xml:space="preserve"> </w:t>
                      </w:r>
                      <w:r w:rsidRPr="00224928">
                        <w:t>que podrían ser aplicables a otras organizaciones sujetas a obligaciones de publicidad activa, cabe destacar:</w:t>
                      </w:r>
                    </w:p>
                    <w:p w:rsidR="00010F10" w:rsidRDefault="00010F10" w:rsidP="00042DA5">
                      <w:pPr>
                        <w:pStyle w:val="Prrafodelista"/>
                        <w:numPr>
                          <w:ilvl w:val="0"/>
                          <w:numId w:val="5"/>
                        </w:numPr>
                        <w:jc w:val="both"/>
                      </w:pPr>
                      <w:r>
                        <w:t>La inclusión de textos introductorios a los distintos apartados del Portal de Transparencia.</w:t>
                      </w:r>
                    </w:p>
                    <w:p w:rsidR="00010F10" w:rsidRPr="00B12913" w:rsidRDefault="00010F10" w:rsidP="00042DA5">
                      <w:pPr>
                        <w:pStyle w:val="Prrafodelista"/>
                        <w:numPr>
                          <w:ilvl w:val="0"/>
                          <w:numId w:val="5"/>
                        </w:numPr>
                        <w:jc w:val="both"/>
                      </w:pPr>
                      <w:r w:rsidRPr="00B12913">
                        <w:t xml:space="preserve">La descripción de las funciones de los órganos que componen </w:t>
                      </w:r>
                      <w:r>
                        <w:t>la FGE</w:t>
                      </w:r>
                      <w:r w:rsidRPr="00B12913">
                        <w:t>.</w:t>
                      </w:r>
                    </w:p>
                    <w:p w:rsidR="00010F10" w:rsidRPr="00E44FAF" w:rsidRDefault="00010F10" w:rsidP="00042DA5">
                      <w:pPr>
                        <w:pStyle w:val="Prrafodelista"/>
                        <w:numPr>
                          <w:ilvl w:val="0"/>
                          <w:numId w:val="5"/>
                        </w:numPr>
                        <w:jc w:val="both"/>
                      </w:pPr>
                      <w:r w:rsidRPr="00E44FAF">
                        <w:t>La publicación de los datos de contacto de diferentes unidades de la Fiscalía</w:t>
                      </w:r>
                      <w:r w:rsidR="00042DA5">
                        <w:t>.</w:t>
                      </w:r>
                    </w:p>
                  </w:txbxContent>
                </v:textbox>
              </v:shape>
            </w:pict>
          </mc:Fallback>
        </mc:AlternateContent>
      </w:r>
    </w:p>
    <w:p w:rsidR="00561402" w:rsidRDefault="00561402"/>
    <w:p w:rsidR="00B40246" w:rsidRDefault="00B40246"/>
    <w:p w:rsidR="00745EFC" w:rsidRDefault="00745EFC"/>
    <w:p w:rsidR="00745EFC" w:rsidRDefault="00745EFC"/>
    <w:p w:rsidR="00745EFC" w:rsidRDefault="00745EFC"/>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DD51B0" w:rsidRDefault="00DD51B0" w:rsidP="00042DA5">
      <w:pPr>
        <w:spacing w:before="120" w:after="120" w:line="312" w:lineRule="auto"/>
        <w:jc w:val="both"/>
      </w:pPr>
      <w:r w:rsidRPr="00FD0689">
        <w:t>Como se ha indicado el cumplimiento de las obligaciones de transparencia de la LTAIBG por parte de</w:t>
      </w:r>
      <w:r w:rsidR="0040160C">
        <w:t xml:space="preserve"> </w:t>
      </w:r>
      <w:r>
        <w:t>l</w:t>
      </w:r>
      <w:r w:rsidR="0040160C">
        <w:t>a</w:t>
      </w:r>
      <w:r>
        <w:t xml:space="preserve"> </w:t>
      </w:r>
      <w:r w:rsidR="0040160C">
        <w:t>FGE</w:t>
      </w:r>
      <w:r w:rsidRPr="00FD0689">
        <w:t xml:space="preserve">, en función de la información disponible en </w:t>
      </w:r>
      <w:r>
        <w:t xml:space="preserve">su Portal de Transparencia </w:t>
      </w:r>
      <w:r w:rsidR="00CC7E03">
        <w:t xml:space="preserve">alcanza un </w:t>
      </w:r>
      <w:r w:rsidR="004B13CD">
        <w:t>54,8</w:t>
      </w:r>
      <w:r w:rsidR="00CC7E03">
        <w:t>%</w:t>
      </w:r>
      <w:r w:rsidRPr="0042288C">
        <w:t xml:space="preserve">. </w:t>
      </w:r>
    </w:p>
    <w:p w:rsidR="00DD51B0" w:rsidRDefault="00DD51B0" w:rsidP="00042DA5">
      <w:pPr>
        <w:spacing w:before="120" w:after="120" w:line="312" w:lineRule="auto"/>
        <w:jc w:val="both"/>
      </w:pPr>
      <w:r>
        <w:t xml:space="preserve">Este Consejo de Transparencia y Buen Gobierno no puede menos que valorar positivamente el esfuerzo realizado por </w:t>
      </w:r>
      <w:r w:rsidR="0040160C">
        <w:t>la FGE</w:t>
      </w:r>
      <w:r>
        <w:t xml:space="preserve">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Default="00DD51B0" w:rsidP="00042DA5">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00781B9E">
        <w:t>e</w:t>
      </w:r>
      <w:r w:rsidRPr="008E224F">
        <w:t xml:space="preserve"> </w:t>
      </w:r>
      <w:r w:rsidRPr="00FD0689">
        <w:t>cumplimiento de la LTAIBG por parte de</w:t>
      </w:r>
      <w:r w:rsidR="00042DA5">
        <w:t xml:space="preserve"> la Fiscalía General del Estado</w:t>
      </w:r>
      <w:r w:rsidRPr="00FD0689">
        <w:t xml:space="preserve">, este CTBG </w:t>
      </w:r>
      <w:r w:rsidRPr="00FD0689">
        <w:rPr>
          <w:rFonts w:eastAsiaTheme="majorEastAsia" w:cstheme="majorBidi"/>
          <w:b/>
          <w:bCs/>
          <w:color w:val="50866C"/>
        </w:rPr>
        <w:t>recomienda:</w:t>
      </w:r>
    </w:p>
    <w:p w:rsidR="00AB3285" w:rsidRPr="00FD0689" w:rsidRDefault="00AB3285" w:rsidP="00042DA5">
      <w:pPr>
        <w:spacing w:before="120" w:after="120" w:line="312" w:lineRule="auto"/>
        <w:jc w:val="both"/>
        <w:rPr>
          <w:rFonts w:eastAsiaTheme="majorEastAsia" w:cstheme="majorBidi"/>
          <w:b/>
          <w:bCs/>
          <w:color w:val="50866C"/>
        </w:rPr>
      </w:pPr>
    </w:p>
    <w:p w:rsidR="00DD51B0" w:rsidRDefault="00781B9E" w:rsidP="00042DA5">
      <w:pPr>
        <w:spacing w:before="120" w:after="120" w:line="312" w:lineRule="auto"/>
        <w:jc w:val="both"/>
        <w:rPr>
          <w:b/>
          <w:color w:val="00642D"/>
        </w:rPr>
      </w:pPr>
      <w:r w:rsidRPr="00781B9E">
        <w:rPr>
          <w:b/>
          <w:color w:val="00642D"/>
        </w:rPr>
        <w:t>Estructuración de la información</w:t>
      </w:r>
    </w:p>
    <w:p w:rsidR="00C35170" w:rsidRDefault="0040160C" w:rsidP="00042DA5">
      <w:pPr>
        <w:spacing w:before="120" w:after="120" w:line="312" w:lineRule="auto"/>
        <w:ind w:left="142"/>
        <w:jc w:val="both"/>
      </w:pPr>
      <w:r>
        <w:t>La FGE</w:t>
      </w:r>
      <w:r w:rsidR="00781B9E">
        <w:t xml:space="preserve"> podría valorar</w:t>
      </w:r>
      <w:r>
        <w:t xml:space="preserve"> la inclusión en el Portal de Transparencia de enlaces a la</w:t>
      </w:r>
      <w:r w:rsidR="00042DA5">
        <w:t xml:space="preserve"> </w:t>
      </w:r>
      <w:r>
        <w:t>información del bloque Institucional y Organizativa que actualmente se ubica en otros accesos de su web institucional</w:t>
      </w:r>
      <w:r w:rsidR="00781B9E">
        <w:t>.</w:t>
      </w:r>
      <w:r w:rsidR="00042DA5">
        <w:t xml:space="preserve"> </w:t>
      </w:r>
      <w:r w:rsidR="00C35170">
        <w:t>Deberían incluirse enlaces a todas las informaciones que integran los dos bloques de información obligatoria. En el supuesto de que para algunas de estas informaciones no exista información publicable bien porque la Fiscalía no tenga capacidad para ello (por ejemplo, contratación) o bien porque</w:t>
      </w:r>
      <w:r w:rsidR="00042DA5">
        <w:t xml:space="preserve"> </w:t>
      </w:r>
      <w:r w:rsidR="00C35170" w:rsidRPr="0040160C">
        <w:t>no haya habido actividad</w:t>
      </w:r>
      <w:r w:rsidR="00C35170">
        <w:t xml:space="preserve"> (por ejemplo, que no se hubiese solicitado y autorizado ninguna compatibilidad para el ejercicio de actividades públicas o privadas por personal de la FGE) debería generarse el correspondiente enlace e indicar expresamente esta circunstancia.</w:t>
      </w:r>
    </w:p>
    <w:p w:rsidR="00781B9E" w:rsidRPr="00781B9E" w:rsidRDefault="00781B9E" w:rsidP="00DD51B0">
      <w:pPr>
        <w:spacing w:before="120" w:after="120" w:line="312" w:lineRule="auto"/>
        <w:jc w:val="both"/>
        <w:rPr>
          <w:b/>
          <w:color w:val="00642D"/>
        </w:rPr>
      </w:pPr>
    </w:p>
    <w:p w:rsidR="00DD51B0" w:rsidRDefault="00DD51B0" w:rsidP="00DD51B0">
      <w:pPr>
        <w:spacing w:before="120" w:after="120" w:line="312" w:lineRule="auto"/>
        <w:jc w:val="both"/>
        <w:rPr>
          <w:b/>
          <w:color w:val="00642D"/>
        </w:rPr>
      </w:pPr>
      <w:r w:rsidRPr="008E224F">
        <w:rPr>
          <w:b/>
          <w:color w:val="00642D"/>
        </w:rPr>
        <w:t>Incorporación de información</w:t>
      </w:r>
    </w:p>
    <w:p w:rsidR="00430745" w:rsidRDefault="00C35170" w:rsidP="00C35170">
      <w:pPr>
        <w:spacing w:line="360" w:lineRule="auto"/>
        <w:jc w:val="both"/>
        <w:rPr>
          <w:b/>
          <w:color w:val="00642D"/>
        </w:rPr>
      </w:pPr>
      <w:r w:rsidRPr="00C35170">
        <w:rPr>
          <w:b/>
          <w:color w:val="00642D"/>
        </w:rPr>
        <w:t>Información Institucional y Organizativa</w:t>
      </w:r>
    </w:p>
    <w:p w:rsidR="00C35170" w:rsidRPr="00C35170" w:rsidRDefault="00C35170" w:rsidP="00C35170">
      <w:pPr>
        <w:pStyle w:val="Prrafodelista"/>
        <w:numPr>
          <w:ilvl w:val="0"/>
          <w:numId w:val="21"/>
        </w:numPr>
        <w:spacing w:line="360" w:lineRule="auto"/>
        <w:jc w:val="both"/>
      </w:pPr>
      <w:r w:rsidRPr="00C35170">
        <w:t>Debe publicarse el Registro de Actividades de Tratamiento con todos los contenidos que establece el Reglamento Europeo de Protección de Datos.</w:t>
      </w: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802DA3" w:rsidRDefault="00802DA3" w:rsidP="00DD51B0">
      <w:pPr>
        <w:pStyle w:val="Prrafodelista"/>
        <w:numPr>
          <w:ilvl w:val="0"/>
          <w:numId w:val="15"/>
        </w:numPr>
        <w:spacing w:before="120" w:after="120" w:line="312" w:lineRule="auto"/>
        <w:jc w:val="both"/>
      </w:pPr>
      <w:r>
        <w:t>Debe publicarse información sobre las indemnizaciones percibidas con ocasión del abandono del cargo.</w:t>
      </w:r>
    </w:p>
    <w:p w:rsidR="00EA4ACD" w:rsidRDefault="00EA4ACD" w:rsidP="00DD51B0">
      <w:pPr>
        <w:pStyle w:val="Prrafodelista"/>
        <w:numPr>
          <w:ilvl w:val="0"/>
          <w:numId w:val="15"/>
        </w:numPr>
        <w:spacing w:before="120" w:after="120" w:line="312" w:lineRule="auto"/>
        <w:jc w:val="both"/>
      </w:pPr>
      <w:r>
        <w:t>Debe publicarse información sobre las autorizaciones de compatibilidad para actividades privadas al cese de altos cargos.</w:t>
      </w:r>
    </w:p>
    <w:p w:rsidR="00430745" w:rsidRDefault="00430745" w:rsidP="00430745">
      <w:pPr>
        <w:pStyle w:val="Prrafodelista"/>
        <w:numPr>
          <w:ilvl w:val="0"/>
          <w:numId w:val="15"/>
        </w:numPr>
        <w:spacing w:before="120" w:after="120" w:line="312" w:lineRule="auto"/>
        <w:jc w:val="both"/>
      </w:pPr>
      <w:r>
        <w:t xml:space="preserve">Debe publicarse información </w:t>
      </w:r>
      <w:r w:rsidRPr="00430745">
        <w:t>sobre las autorizaciones de compatibilidad concedidas al personal al servicio de la FGE</w:t>
      </w:r>
      <w:r>
        <w:t>.</w:t>
      </w:r>
    </w:p>
    <w:p w:rsidR="00DD51B0" w:rsidRDefault="00DD51B0" w:rsidP="00DD51B0">
      <w:pPr>
        <w:pStyle w:val="Prrafodelista"/>
        <w:spacing w:before="120" w:after="120" w:line="312" w:lineRule="auto"/>
        <w:ind w:left="426"/>
        <w:jc w:val="both"/>
        <w:rPr>
          <w:lang w:bidi="es-ES"/>
        </w:rPr>
      </w:pPr>
    </w:p>
    <w:p w:rsidR="00042DA5" w:rsidRDefault="00042DA5" w:rsidP="00DD51B0">
      <w:pPr>
        <w:pStyle w:val="Prrafodelista"/>
        <w:spacing w:before="120" w:after="120" w:line="312" w:lineRule="auto"/>
        <w:ind w:left="426"/>
        <w:jc w:val="both"/>
        <w:rPr>
          <w:lang w:bidi="es-ES"/>
        </w:rPr>
      </w:pPr>
    </w:p>
    <w:p w:rsidR="00042DA5" w:rsidRDefault="00042DA5" w:rsidP="00DD51B0">
      <w:pPr>
        <w:pStyle w:val="Prrafodelista"/>
        <w:spacing w:before="120" w:after="120" w:line="312" w:lineRule="auto"/>
        <w:ind w:left="426"/>
        <w:jc w:val="both"/>
        <w:rPr>
          <w:lang w:bidi="es-ES"/>
        </w:rPr>
      </w:pP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CC7E03" w:rsidRDefault="00DD51B0" w:rsidP="00042DA5">
      <w:pPr>
        <w:pStyle w:val="Prrafodelista"/>
        <w:numPr>
          <w:ilvl w:val="0"/>
          <w:numId w:val="16"/>
        </w:numPr>
        <w:spacing w:before="120" w:after="120" w:line="312" w:lineRule="auto"/>
        <w:ind w:left="714" w:hanging="357"/>
        <w:contextualSpacing w:val="0"/>
        <w:jc w:val="both"/>
      </w:pPr>
      <w:r w:rsidRPr="00C46140">
        <w:t>Debería publicarse en el Portal de Transparencia, una referencia a la última fecha en que se re</w:t>
      </w:r>
      <w:r w:rsidR="00802DA3">
        <w:t>visó o actualizó la información, como en la actualidad se realiza para el bloque de información Económica y presupuestaria. S</w:t>
      </w:r>
      <w:r w:rsidRPr="00C46140">
        <w:t>olo de esta m</w:t>
      </w:r>
      <w:r w:rsidRPr="00CC7E03">
        <w:t>anera sería posible para la ciudadanía saber si la información que está consultando está vigente.</w:t>
      </w:r>
    </w:p>
    <w:p w:rsidR="000C0F52" w:rsidRPr="00CC7E03" w:rsidRDefault="000C0F52" w:rsidP="00042DA5">
      <w:pPr>
        <w:pStyle w:val="Prrafodelista"/>
        <w:numPr>
          <w:ilvl w:val="0"/>
          <w:numId w:val="16"/>
        </w:numPr>
        <w:spacing w:before="120" w:after="120" w:line="312" w:lineRule="auto"/>
        <w:ind w:left="714" w:hanging="357"/>
        <w:contextualSpacing w:val="0"/>
        <w:jc w:val="both"/>
      </w:pPr>
      <w:r w:rsidRPr="00CC7E03">
        <w:t>Deberían revisarse los enlaces que contienen los apartados del Portal. Algunos de ellos redirigen a otra información no concordante con la denominación del enlace.</w:t>
      </w:r>
    </w:p>
    <w:p w:rsidR="00DD51B0" w:rsidRDefault="00DD51B0" w:rsidP="00042DA5">
      <w:pPr>
        <w:spacing w:before="120" w:after="120" w:line="240" w:lineRule="auto"/>
      </w:pPr>
    </w:p>
    <w:p w:rsidR="00DD51B0" w:rsidRDefault="00DD51B0" w:rsidP="00AB3285">
      <w:pPr>
        <w:jc w:val="right"/>
      </w:pPr>
      <w:r>
        <w:t>Madrid, enero de 2021</w:t>
      </w:r>
    </w:p>
    <w:p w:rsidR="00AA34E7" w:rsidRDefault="00AA34E7">
      <w:r>
        <w:br w:type="page"/>
      </w:r>
    </w:p>
    <w:p w:rsidR="00AA34E7" w:rsidRPr="00AA34E7" w:rsidRDefault="00065D78"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0" w:type="auto"/>
        <w:tblCellMar>
          <w:left w:w="70" w:type="dxa"/>
          <w:right w:w="70" w:type="dxa"/>
        </w:tblCellMar>
        <w:tblLook w:val="04A0" w:firstRow="1" w:lastRow="0" w:firstColumn="1" w:lastColumn="0" w:noHBand="0" w:noVBand="1"/>
      </w:tblPr>
      <w:tblGrid>
        <w:gridCol w:w="1919"/>
        <w:gridCol w:w="1572"/>
        <w:gridCol w:w="3298"/>
        <w:gridCol w:w="668"/>
        <w:gridCol w:w="3149"/>
      </w:tblGrid>
      <w:tr w:rsidR="00AA34E7" w:rsidRPr="00AA34E7" w:rsidTr="00AB328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AB3285">
        <w:trPr>
          <w:trHeight w:val="51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AB3285">
        <w:trPr>
          <w:trHeight w:val="323"/>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AB3285">
        <w:trPr>
          <w:trHeight w:val="427"/>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AB3285">
        <w:trPr>
          <w:trHeight w:val="419"/>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AB3285">
        <w:trPr>
          <w:trHeight w:val="411"/>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AB3285">
        <w:trPr>
          <w:trHeight w:val="416"/>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042DA5">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AB3285">
        <w:trPr>
          <w:trHeight w:val="422"/>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AB328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AB3285">
        <w:trPr>
          <w:trHeight w:val="17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AB3285">
        <w:trPr>
          <w:trHeight w:val="245"/>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AB3285">
        <w:trPr>
          <w:trHeight w:val="263"/>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AB3285">
        <w:trPr>
          <w:trHeight w:val="28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AB3285">
        <w:trPr>
          <w:trHeight w:val="27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AB3285">
        <w:trPr>
          <w:trHeight w:val="133"/>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AB3285">
        <w:trPr>
          <w:trHeight w:val="207"/>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AB3285">
        <w:trPr>
          <w:trHeight w:val="265"/>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AB3285">
        <w:trPr>
          <w:trHeight w:val="27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AB3285">
        <w:trPr>
          <w:trHeight w:val="25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AB3285">
        <w:trPr>
          <w:trHeight w:val="183"/>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AB3285">
        <w:trPr>
          <w:trHeight w:val="247"/>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123"/>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AB3285">
        <w:trPr>
          <w:trHeight w:val="57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sz w:val="16"/>
                <w:szCs w:val="16"/>
              </w:rPr>
            </w:pPr>
            <w:r w:rsidRPr="00AA34E7">
              <w:rPr>
                <w:rFonts w:eastAsia="Times New Roman" w:cs="Calibri"/>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AB3285">
        <w:trPr>
          <w:trHeight w:val="427"/>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sz w:val="16"/>
                <w:szCs w:val="16"/>
              </w:rPr>
            </w:pPr>
            <w:r w:rsidRPr="00AA34E7">
              <w:rPr>
                <w:rFonts w:eastAsia="Times New Roman" w:cs="Calibri"/>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AB3285">
        <w:trPr>
          <w:trHeight w:val="34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AB3285">
        <w:trPr>
          <w:trHeight w:val="362"/>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AB3285">
        <w:trPr>
          <w:trHeight w:val="6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10" w:rsidRDefault="00010F10" w:rsidP="00932008">
      <w:pPr>
        <w:spacing w:after="0" w:line="240" w:lineRule="auto"/>
      </w:pPr>
      <w:r>
        <w:separator/>
      </w:r>
    </w:p>
  </w:endnote>
  <w:endnote w:type="continuationSeparator" w:id="0">
    <w:p w:rsidR="00010F10" w:rsidRDefault="00010F1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10" w:rsidRDefault="00010F10" w:rsidP="00932008">
      <w:pPr>
        <w:spacing w:after="0" w:line="240" w:lineRule="auto"/>
      </w:pPr>
      <w:r>
        <w:separator/>
      </w:r>
    </w:p>
  </w:footnote>
  <w:footnote w:type="continuationSeparator" w:id="0">
    <w:p w:rsidR="00010F10" w:rsidRDefault="00010F1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10" w:rsidRDefault="00010F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7A490A"/>
    <w:multiLevelType w:val="hybridMultilevel"/>
    <w:tmpl w:val="A1A857D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CC34B3"/>
    <w:multiLevelType w:val="hybridMultilevel"/>
    <w:tmpl w:val="0636C1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9D18FA"/>
    <w:multiLevelType w:val="hybridMultilevel"/>
    <w:tmpl w:val="C6E4BB9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6D8340D"/>
    <w:multiLevelType w:val="hybridMultilevel"/>
    <w:tmpl w:val="194CE30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41A4F31"/>
    <w:multiLevelType w:val="hybridMultilevel"/>
    <w:tmpl w:val="B75614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
  </w:num>
  <w:num w:numId="4">
    <w:abstractNumId w:val="0"/>
  </w:num>
  <w:num w:numId="5">
    <w:abstractNumId w:val="1"/>
  </w:num>
  <w:num w:numId="6">
    <w:abstractNumId w:val="8"/>
  </w:num>
  <w:num w:numId="7">
    <w:abstractNumId w:val="17"/>
  </w:num>
  <w:num w:numId="8">
    <w:abstractNumId w:val="13"/>
  </w:num>
  <w:num w:numId="9">
    <w:abstractNumId w:val="4"/>
  </w:num>
  <w:num w:numId="10">
    <w:abstractNumId w:val="19"/>
  </w:num>
  <w:num w:numId="11">
    <w:abstractNumId w:val="9"/>
  </w:num>
  <w:num w:numId="12">
    <w:abstractNumId w:val="2"/>
  </w:num>
  <w:num w:numId="13">
    <w:abstractNumId w:val="10"/>
  </w:num>
  <w:num w:numId="14">
    <w:abstractNumId w:val="12"/>
  </w:num>
  <w:num w:numId="15">
    <w:abstractNumId w:val="7"/>
  </w:num>
  <w:num w:numId="16">
    <w:abstractNumId w:val="18"/>
  </w:num>
  <w:num w:numId="17">
    <w:abstractNumId w:val="11"/>
  </w:num>
  <w:num w:numId="18">
    <w:abstractNumId w:val="6"/>
  </w:num>
  <w:num w:numId="19">
    <w:abstractNumId w:val="20"/>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0F10"/>
    <w:rsid w:val="000262A3"/>
    <w:rsid w:val="00042DA5"/>
    <w:rsid w:val="00065D78"/>
    <w:rsid w:val="000965B3"/>
    <w:rsid w:val="000C0F52"/>
    <w:rsid w:val="000C6CFF"/>
    <w:rsid w:val="000C6F5C"/>
    <w:rsid w:val="000D129D"/>
    <w:rsid w:val="000D3F74"/>
    <w:rsid w:val="001020AA"/>
    <w:rsid w:val="00102733"/>
    <w:rsid w:val="001561A4"/>
    <w:rsid w:val="00194FA9"/>
    <w:rsid w:val="001D4CA3"/>
    <w:rsid w:val="001E0C30"/>
    <w:rsid w:val="00222829"/>
    <w:rsid w:val="00224928"/>
    <w:rsid w:val="00266A68"/>
    <w:rsid w:val="002A154B"/>
    <w:rsid w:val="002D08A3"/>
    <w:rsid w:val="002D14F8"/>
    <w:rsid w:val="003147F6"/>
    <w:rsid w:val="00343CAB"/>
    <w:rsid w:val="003828B2"/>
    <w:rsid w:val="003F271E"/>
    <w:rsid w:val="003F572A"/>
    <w:rsid w:val="0040160C"/>
    <w:rsid w:val="00430745"/>
    <w:rsid w:val="004B13CD"/>
    <w:rsid w:val="004B3730"/>
    <w:rsid w:val="004C3B00"/>
    <w:rsid w:val="004F1AFE"/>
    <w:rsid w:val="004F2655"/>
    <w:rsid w:val="00510C97"/>
    <w:rsid w:val="00521DA9"/>
    <w:rsid w:val="00541C23"/>
    <w:rsid w:val="00544E0C"/>
    <w:rsid w:val="00561402"/>
    <w:rsid w:val="0057532F"/>
    <w:rsid w:val="005B13BD"/>
    <w:rsid w:val="005B6CF5"/>
    <w:rsid w:val="005D39EE"/>
    <w:rsid w:val="005F29B8"/>
    <w:rsid w:val="006013F1"/>
    <w:rsid w:val="00612CCC"/>
    <w:rsid w:val="00653AAF"/>
    <w:rsid w:val="0066381F"/>
    <w:rsid w:val="00674222"/>
    <w:rsid w:val="006A2766"/>
    <w:rsid w:val="006B0BEA"/>
    <w:rsid w:val="00710031"/>
    <w:rsid w:val="00742C44"/>
    <w:rsid w:val="00743756"/>
    <w:rsid w:val="00745EFC"/>
    <w:rsid w:val="0076032E"/>
    <w:rsid w:val="00760CE6"/>
    <w:rsid w:val="00781B9E"/>
    <w:rsid w:val="007B0F99"/>
    <w:rsid w:val="007F49A2"/>
    <w:rsid w:val="00802DA3"/>
    <w:rsid w:val="0080459A"/>
    <w:rsid w:val="008150BE"/>
    <w:rsid w:val="00840420"/>
    <w:rsid w:val="00842CF2"/>
    <w:rsid w:val="00843911"/>
    <w:rsid w:val="00844FA9"/>
    <w:rsid w:val="00845CD3"/>
    <w:rsid w:val="00867348"/>
    <w:rsid w:val="008775C5"/>
    <w:rsid w:val="00887268"/>
    <w:rsid w:val="008C1E1E"/>
    <w:rsid w:val="00904FCD"/>
    <w:rsid w:val="00932008"/>
    <w:rsid w:val="009609E9"/>
    <w:rsid w:val="00975C8E"/>
    <w:rsid w:val="009A3BE3"/>
    <w:rsid w:val="009B3122"/>
    <w:rsid w:val="009C368F"/>
    <w:rsid w:val="00A01C7F"/>
    <w:rsid w:val="00A12B23"/>
    <w:rsid w:val="00A5025A"/>
    <w:rsid w:val="00A65985"/>
    <w:rsid w:val="00AA34E7"/>
    <w:rsid w:val="00AB3285"/>
    <w:rsid w:val="00AB3CC1"/>
    <w:rsid w:val="00AC2527"/>
    <w:rsid w:val="00AC4816"/>
    <w:rsid w:val="00AD2022"/>
    <w:rsid w:val="00AE0785"/>
    <w:rsid w:val="00B037A5"/>
    <w:rsid w:val="00B12913"/>
    <w:rsid w:val="00B13035"/>
    <w:rsid w:val="00B40157"/>
    <w:rsid w:val="00B40246"/>
    <w:rsid w:val="00B42E77"/>
    <w:rsid w:val="00B841AE"/>
    <w:rsid w:val="00B91EC5"/>
    <w:rsid w:val="00BB6799"/>
    <w:rsid w:val="00BC14FA"/>
    <w:rsid w:val="00BD4582"/>
    <w:rsid w:val="00BE17D5"/>
    <w:rsid w:val="00BE6A46"/>
    <w:rsid w:val="00C24CDB"/>
    <w:rsid w:val="00C33A23"/>
    <w:rsid w:val="00C35170"/>
    <w:rsid w:val="00C36120"/>
    <w:rsid w:val="00C4259D"/>
    <w:rsid w:val="00C42A8F"/>
    <w:rsid w:val="00C5744D"/>
    <w:rsid w:val="00C62E97"/>
    <w:rsid w:val="00C90D8B"/>
    <w:rsid w:val="00C976EB"/>
    <w:rsid w:val="00CB5511"/>
    <w:rsid w:val="00CC2049"/>
    <w:rsid w:val="00CC7E03"/>
    <w:rsid w:val="00CD1CD0"/>
    <w:rsid w:val="00D010BF"/>
    <w:rsid w:val="00D155E9"/>
    <w:rsid w:val="00D21274"/>
    <w:rsid w:val="00D96F84"/>
    <w:rsid w:val="00DB1139"/>
    <w:rsid w:val="00DB36CC"/>
    <w:rsid w:val="00DD362E"/>
    <w:rsid w:val="00DD51B0"/>
    <w:rsid w:val="00DF63E7"/>
    <w:rsid w:val="00E3088D"/>
    <w:rsid w:val="00E34195"/>
    <w:rsid w:val="00E40F60"/>
    <w:rsid w:val="00E44FAF"/>
    <w:rsid w:val="00E47613"/>
    <w:rsid w:val="00E57186"/>
    <w:rsid w:val="00E71E67"/>
    <w:rsid w:val="00EA4ACD"/>
    <w:rsid w:val="00EB3EA8"/>
    <w:rsid w:val="00F029D1"/>
    <w:rsid w:val="00F14DA4"/>
    <w:rsid w:val="00F47C3B"/>
    <w:rsid w:val="00F70640"/>
    <w:rsid w:val="00F71D7D"/>
    <w:rsid w:val="00F76266"/>
    <w:rsid w:val="00FC2EF8"/>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94D43"/>
    <w:rsid w:val="0013771E"/>
    <w:rsid w:val="00351CA0"/>
    <w:rsid w:val="003D088C"/>
    <w:rsid w:val="005612D2"/>
    <w:rsid w:val="00721C29"/>
    <w:rsid w:val="00A255A6"/>
    <w:rsid w:val="00A57508"/>
    <w:rsid w:val="00B85F19"/>
    <w:rsid w:val="00B87542"/>
    <w:rsid w:val="00BE0A08"/>
    <w:rsid w:val="00D35513"/>
    <w:rsid w:val="00DE38F4"/>
    <w:rsid w:val="00EF6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D752674-6714-419D-A2B4-F02776D1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1451</TotalTime>
  <Pages>11</Pages>
  <Words>1936</Words>
  <Characters>10652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71</cp:revision>
  <cp:lastPrinted>2007-10-26T10:03:00Z</cp:lastPrinted>
  <dcterms:created xsi:type="dcterms:W3CDTF">2020-11-17T11:27:00Z</dcterms:created>
  <dcterms:modified xsi:type="dcterms:W3CDTF">2021-04-05T11:49:00Z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