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8904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4F0BF4" w:rsidRPr="00006957" w:rsidRDefault="004F0BF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7D3341" w:rsidRPr="00006957" w:rsidRDefault="007D334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8904D2">
      <w:pPr>
        <w:spacing w:before="120" w:after="120" w:line="312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57EA6" wp14:editId="3CA897AC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BF4" w:rsidRDefault="004F0BF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E2132" wp14:editId="5D0C2845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left:0;text-align:left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D3341" w:rsidRDefault="007D334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BE2132" wp14:editId="5D0C2845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8904D2">
      <w:pPr>
        <w:spacing w:before="120" w:after="120" w:line="312" w:lineRule="auto"/>
        <w:jc w:val="both"/>
      </w:pPr>
    </w:p>
    <w:p w:rsidR="00B40246" w:rsidRPr="00B1184C" w:rsidRDefault="00B40246" w:rsidP="008904D2">
      <w:pPr>
        <w:spacing w:before="120" w:after="120" w:line="312" w:lineRule="auto"/>
        <w:jc w:val="both"/>
      </w:pPr>
    </w:p>
    <w:p w:rsidR="00B40246" w:rsidRPr="00B1184C" w:rsidRDefault="00B40246" w:rsidP="008904D2">
      <w:pPr>
        <w:spacing w:before="120" w:after="120" w:line="312" w:lineRule="auto"/>
        <w:jc w:val="both"/>
        <w:rPr>
          <w:rFonts w:ascii="Arial" w:hAnsi="Arial"/>
          <w:b/>
          <w:sz w:val="36"/>
        </w:rPr>
      </w:pPr>
    </w:p>
    <w:p w:rsidR="00B40246" w:rsidRPr="0063780B" w:rsidRDefault="00D96F84" w:rsidP="008904D2">
      <w:pPr>
        <w:spacing w:before="120" w:after="120" w:line="312" w:lineRule="auto"/>
        <w:jc w:val="both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F7495" wp14:editId="73B83C76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 w:rsidP="008904D2">
      <w:pPr>
        <w:jc w:val="both"/>
      </w:pPr>
    </w:p>
    <w:p w:rsidR="000C6CFF" w:rsidRDefault="000C6CFF" w:rsidP="008904D2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8904D2" w:rsidRPr="00CB5511" w:rsidTr="008904D2">
        <w:tc>
          <w:tcPr>
            <w:tcW w:w="3652" w:type="dxa"/>
          </w:tcPr>
          <w:p w:rsidR="008904D2" w:rsidRPr="00E34195" w:rsidRDefault="008904D2" w:rsidP="008904D2">
            <w:pPr>
              <w:jc w:val="both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8904D2" w:rsidRPr="00CB5511" w:rsidRDefault="008904D2" w:rsidP="00890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Consejo General del Poder Judicial</w:t>
            </w:r>
          </w:p>
        </w:tc>
      </w:tr>
      <w:tr w:rsidR="008904D2" w:rsidRPr="00CB5511" w:rsidTr="008904D2">
        <w:tc>
          <w:tcPr>
            <w:tcW w:w="3652" w:type="dxa"/>
          </w:tcPr>
          <w:p w:rsidR="008904D2" w:rsidRPr="00E34195" w:rsidRDefault="008904D2" w:rsidP="008904D2">
            <w:pPr>
              <w:jc w:val="both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8904D2" w:rsidRPr="00CB5511" w:rsidRDefault="008904D2" w:rsidP="00890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11/02/2021</w:t>
            </w:r>
          </w:p>
        </w:tc>
      </w:tr>
    </w:tbl>
    <w:p w:rsidR="008904D2" w:rsidRDefault="008904D2" w:rsidP="008904D2">
      <w:pPr>
        <w:jc w:val="both"/>
      </w:pPr>
    </w:p>
    <w:p w:rsidR="00561402" w:rsidRPr="0012783F" w:rsidRDefault="004B56AA" w:rsidP="008904D2">
      <w:pPr>
        <w:jc w:val="both"/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12783F" w:rsidRDefault="00B8055E" w:rsidP="008904D2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En el Portal de Transparencia del CGPJ se informa de que las solicitudes de información serán </w:t>
      </w:r>
      <w:r w:rsidRPr="00B8055E">
        <w:rPr>
          <w:rStyle w:val="Ttulo2Car"/>
          <w:b w:val="0"/>
          <w:color w:val="auto"/>
          <w:sz w:val="22"/>
          <w:szCs w:val="22"/>
          <w:lang w:bidi="es-ES"/>
        </w:rPr>
        <w:t>resuelta</w:t>
      </w:r>
      <w:r>
        <w:rPr>
          <w:rStyle w:val="Ttulo2Car"/>
          <w:b w:val="0"/>
          <w:color w:val="auto"/>
          <w:sz w:val="22"/>
          <w:szCs w:val="22"/>
          <w:lang w:bidi="es-ES"/>
        </w:rPr>
        <w:t>s</w:t>
      </w:r>
      <w:r w:rsidRPr="00B8055E">
        <w:rPr>
          <w:rStyle w:val="Ttulo2Car"/>
          <w:b w:val="0"/>
          <w:color w:val="auto"/>
          <w:sz w:val="22"/>
          <w:szCs w:val="22"/>
          <w:lang w:bidi="es-ES"/>
        </w:rPr>
        <w:t xml:space="preserve"> por la Unidad de Información como órgano inicial de decisión y por el Secretario General en el caso de denegación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044196">
        <w:rPr>
          <w:rStyle w:val="Ttulo2Car"/>
          <w:b w:val="0"/>
          <w:color w:val="auto"/>
          <w:sz w:val="22"/>
          <w:szCs w:val="22"/>
          <w:lang w:bidi="es-ES"/>
        </w:rPr>
        <w:t xml:space="preserve"> Para la gestión de las solicitudes de acceso a la información pública, el CGPJ cuenta con 4 personas que compatibilizan esta actividad con otras funciones</w:t>
      </w:r>
    </w:p>
    <w:p w:rsidR="00B8055E" w:rsidRDefault="00B8055E" w:rsidP="008904D2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8055E" w:rsidRPr="00B8055E" w:rsidRDefault="00B8055E" w:rsidP="008904D2">
      <w:pPr>
        <w:pStyle w:val="Cuerpodelboletn"/>
        <w:spacing w:before="120" w:after="120" w:line="312" w:lineRule="auto"/>
        <w:ind w:left="360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12783F" w:rsidRDefault="004B56AA" w:rsidP="008904D2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C353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044196" w:rsidRDefault="00044196" w:rsidP="00044196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Pr="00B812AB">
        <w:rPr>
          <w:rStyle w:val="Ttulo2Car"/>
          <w:color w:val="00642D"/>
          <w:lang w:bidi="es-ES"/>
        </w:rPr>
        <w:t>Solicitudes gestionadas en 2020</w:t>
      </w:r>
    </w:p>
    <w:p w:rsidR="00044196" w:rsidRDefault="00044196" w:rsidP="00044196">
      <w:pPr>
        <w:spacing w:before="120" w:after="120" w:line="312" w:lineRule="auto"/>
        <w:ind w:left="426"/>
        <w:jc w:val="both"/>
      </w:pPr>
      <w:r>
        <w:t>Según informa el CGPJ, en 2020 recibió 197 solicitudes de acceso a información pública, no había quedado pendiente de tramitación  ninguna solicitud a finales de 2019. Estas 197 solicitudes se tramitaron a lo largo de 2020, quedando según indica el CGPJ pendientes a 31de diciembre de ese año 5 solicitud.</w:t>
      </w:r>
    </w:p>
    <w:p w:rsidR="004B56AA" w:rsidRDefault="004B56AA" w:rsidP="00044196">
      <w:pPr>
        <w:spacing w:before="120" w:after="120" w:line="312" w:lineRule="auto"/>
        <w:ind w:left="426"/>
        <w:jc w:val="both"/>
      </w:pPr>
      <w:r>
        <w:t>De estas 197 solicitudes se admitieron 138, se inadmitieron 49 y se archivaron 8, por falta de objeto según indica el CGPJ.</w:t>
      </w:r>
    </w:p>
    <w:p w:rsidR="00044196" w:rsidRDefault="004B56AA" w:rsidP="00044196">
      <w:pPr>
        <w:spacing w:before="120" w:after="120" w:line="312" w:lineRule="auto"/>
        <w:ind w:left="426"/>
        <w:jc w:val="both"/>
      </w:pPr>
      <w:r>
        <w:lastRenderedPageBreak/>
        <w:t>El 85,7% de las solicitudes inadmitidas lo fueron porque el CGPJ no era el órgano competente para resolverlas desconociéndose en paralelo, el órgano competente para ello. A distancia se sitúa como causa de inadmisión la necesidad de una acción previa de reelaboración (un 8,2%), la naturaleza de información auxiliar o de apoyo de la información solicitada (4,1%) y que la solicitud era repetitiva o abusiva (2%).</w:t>
      </w:r>
    </w:p>
    <w:p w:rsidR="00044196" w:rsidRDefault="00044196" w:rsidP="00044196">
      <w:pPr>
        <w:spacing w:before="120" w:after="120" w:line="312" w:lineRule="auto"/>
        <w:ind w:left="426"/>
        <w:jc w:val="both"/>
      </w:pPr>
    </w:p>
    <w:p w:rsidR="00044196" w:rsidRDefault="00044196" w:rsidP="00044196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044196" w:rsidRDefault="00044196" w:rsidP="00044196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647481">
        <w:rPr>
          <w:rStyle w:val="Ttulo2Car"/>
          <w:b w:val="0"/>
          <w:color w:val="auto"/>
          <w:sz w:val="22"/>
          <w:szCs w:val="22"/>
          <w:lang w:bidi="es-ES"/>
        </w:rPr>
        <w:t>En 2020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, en promedio, cada una de las personas asignadas a la gestión de las solicitudes de acceso a información pública asumió y tramitó más de 49 solicitudes de acceso. </w:t>
      </w:r>
    </w:p>
    <w:p w:rsidR="00044196" w:rsidRDefault="00044196" w:rsidP="00044196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Aunque en 2020 y según la información aportada se tramitó el 100% de las solicitudes, ha aumentado el número de solicitudes pendientes de tramitación a final de año – han pasado de 0 a 5, situándose la tasa de pendencia en 2,54. </w:t>
      </w:r>
    </w:p>
    <w:p w:rsidR="00044196" w:rsidRDefault="00044196" w:rsidP="00044196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tiempo medio estimado para la tramitación de las solicitudes pendientes es de 9,26 días naturales.</w:t>
      </w:r>
    </w:p>
    <w:p w:rsidR="00044196" w:rsidRDefault="00044196" w:rsidP="00044196">
      <w:pPr>
        <w:spacing w:before="120" w:after="120" w:line="312" w:lineRule="auto"/>
        <w:ind w:left="426"/>
        <w:jc w:val="both"/>
      </w:pPr>
      <w:r>
        <w:t>El 70% de las solicitudes se admitió a trámite, se inadmitió una cuarta parte de las solicitudes de acceso y se archivó poco más de 4%.</w:t>
      </w:r>
    </w:p>
    <w:p w:rsidR="00044196" w:rsidRPr="00647481" w:rsidRDefault="00044196" w:rsidP="00044196">
      <w:pPr>
        <w:pStyle w:val="Epgrafe"/>
        <w:keepNext/>
        <w:spacing w:before="120" w:after="120" w:line="312" w:lineRule="auto"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044196" w:rsidRPr="00706E04" w:rsidTr="004B56AA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49,25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49,25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100,00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2,54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100,00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100,00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9,26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70,05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24,87</w:t>
            </w:r>
          </w:p>
        </w:tc>
      </w:tr>
      <w:tr w:rsidR="00044196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044196" w:rsidRPr="005B3C15" w:rsidRDefault="00044196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044196" w:rsidRPr="00C33949" w:rsidRDefault="00044196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044196" w:rsidRPr="00044196" w:rsidRDefault="00044196" w:rsidP="00044196">
            <w:pPr>
              <w:jc w:val="center"/>
              <w:rPr>
                <w:sz w:val="20"/>
                <w:szCs w:val="20"/>
              </w:rPr>
            </w:pPr>
            <w:r w:rsidRPr="00044196">
              <w:rPr>
                <w:sz w:val="20"/>
                <w:szCs w:val="20"/>
              </w:rPr>
              <w:t>4,06</w:t>
            </w:r>
          </w:p>
        </w:tc>
      </w:tr>
    </w:tbl>
    <w:p w:rsidR="00044196" w:rsidRDefault="00044196" w:rsidP="00044196">
      <w:pPr>
        <w:spacing w:before="120" w:after="120" w:line="312" w:lineRule="auto"/>
      </w:pPr>
    </w:p>
    <w:p w:rsidR="004B56AA" w:rsidRDefault="004B56AA" w:rsidP="00044196">
      <w:pPr>
        <w:spacing w:before="120" w:after="120" w:line="312" w:lineRule="auto"/>
      </w:pPr>
    </w:p>
    <w:p w:rsidR="004B56AA" w:rsidRDefault="004B56AA" w:rsidP="00044196">
      <w:pPr>
        <w:spacing w:before="120" w:after="120" w:line="312" w:lineRule="auto"/>
      </w:pPr>
    </w:p>
    <w:p w:rsidR="004B56AA" w:rsidRDefault="004B56AA" w:rsidP="00044196">
      <w:pPr>
        <w:spacing w:before="120" w:after="120" w:line="312" w:lineRule="auto"/>
      </w:pPr>
    </w:p>
    <w:p w:rsidR="00044196" w:rsidRDefault="00044196" w:rsidP="00044196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 xml:space="preserve">3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044196" w:rsidRDefault="00044196" w:rsidP="00044196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044196" w:rsidRPr="009079EA" w:rsidRDefault="00044196" w:rsidP="00044196">
      <w:pPr>
        <w:spacing w:before="120" w:after="120" w:line="312" w:lineRule="auto"/>
        <w:ind w:left="426"/>
        <w:jc w:val="both"/>
        <w:rPr>
          <w:rStyle w:val="Ttulo2Car"/>
          <w:color w:val="00642D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En cuanto a las resoluciones emitidas en 2020, </w:t>
      </w:r>
      <w:r w:rsidR="004B56AA">
        <w:rPr>
          <w:rStyle w:val="Ttulo2Car"/>
          <w:b w:val="0"/>
          <w:color w:val="auto"/>
          <w:sz w:val="22"/>
          <w:szCs w:val="22"/>
          <w:lang w:bidi="es-ES"/>
        </w:rPr>
        <w:t>138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concedieron la información, de las cuales </w:t>
      </w:r>
      <w:r w:rsidR="004B56AA">
        <w:rPr>
          <w:rStyle w:val="Ttulo2Car"/>
          <w:b w:val="0"/>
          <w:color w:val="auto"/>
          <w:sz w:val="22"/>
          <w:szCs w:val="22"/>
          <w:lang w:bidi="es-ES"/>
        </w:rPr>
        <w:t>13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5 dieron acceso total y </w:t>
      </w:r>
      <w:r w:rsidR="004B56AA">
        <w:rPr>
          <w:rStyle w:val="Ttulo2Car"/>
          <w:b w:val="0"/>
          <w:color w:val="auto"/>
          <w:sz w:val="22"/>
          <w:szCs w:val="22"/>
          <w:lang w:bidi="es-ES"/>
        </w:rPr>
        <w:t>2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parcial. Fueron denegadas </w:t>
      </w:r>
      <w:r w:rsidR="004B56AA">
        <w:rPr>
          <w:rStyle w:val="Ttulo2Car"/>
          <w:b w:val="0"/>
          <w:color w:val="auto"/>
          <w:sz w:val="22"/>
          <w:szCs w:val="22"/>
          <w:lang w:bidi="es-ES"/>
        </w:rPr>
        <w:t>2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solicitudes</w:t>
      </w:r>
      <w:r w:rsidR="004B56AA">
        <w:rPr>
          <w:rStyle w:val="Ttulo2Car"/>
          <w:b w:val="0"/>
          <w:color w:val="auto"/>
          <w:sz w:val="22"/>
          <w:szCs w:val="22"/>
          <w:lang w:bidi="es-ES"/>
        </w:rPr>
        <w:t xml:space="preserve">, una aplicando el límite </w:t>
      </w:r>
      <w:r w:rsidR="00725650">
        <w:rPr>
          <w:rStyle w:val="Ttulo2Car"/>
          <w:b w:val="0"/>
          <w:color w:val="auto"/>
          <w:sz w:val="22"/>
          <w:szCs w:val="22"/>
          <w:lang w:bidi="es-ES"/>
        </w:rPr>
        <w:t>relativo a la</w:t>
      </w:r>
      <w:r w:rsidR="004B56AA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B56AA" w:rsidRPr="004B56AA">
        <w:rPr>
          <w:rStyle w:val="Ttulo2Car"/>
          <w:b w:val="0"/>
          <w:color w:val="auto"/>
          <w:sz w:val="22"/>
          <w:szCs w:val="22"/>
          <w:lang w:bidi="es-ES"/>
        </w:rPr>
        <w:t>prevención, investigación y sanción de los ilícitos penales, administrativos o disciplinarios</w:t>
      </w:r>
      <w:r w:rsidR="00725650">
        <w:rPr>
          <w:rStyle w:val="Ttulo2Car"/>
          <w:b w:val="0"/>
          <w:color w:val="auto"/>
          <w:sz w:val="22"/>
          <w:szCs w:val="22"/>
          <w:lang w:bidi="es-ES"/>
        </w:rPr>
        <w:t xml:space="preserve"> y otra aplicando como causa de denegación la protección de datos de carácter personal.</w:t>
      </w:r>
    </w:p>
    <w:p w:rsidR="00044196" w:rsidRDefault="00044196" w:rsidP="00044196">
      <w:pPr>
        <w:pStyle w:val="Cuerpodelboletn"/>
        <w:spacing w:before="120" w:after="120" w:line="312" w:lineRule="auto"/>
        <w:ind w:left="426"/>
        <w:rPr>
          <w:rStyle w:val="Ttulo2Car"/>
          <w:color w:val="00642D"/>
          <w:lang w:bidi="es-ES"/>
        </w:rPr>
      </w:pPr>
      <w:r w:rsidRPr="00DD3F73">
        <w:rPr>
          <w:rStyle w:val="Ttulo2Car"/>
          <w:b w:val="0"/>
          <w:color w:val="auto"/>
          <w:sz w:val="22"/>
          <w:szCs w:val="22"/>
          <w:lang w:bidi="es-ES"/>
        </w:rPr>
        <w:t xml:space="preserve">   </w:t>
      </w:r>
    </w:p>
    <w:p w:rsidR="00044196" w:rsidRDefault="00044196" w:rsidP="00044196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4 Indicadores de resolución en 2020 </w:t>
      </w:r>
    </w:p>
    <w:p w:rsidR="00044196" w:rsidRDefault="00044196" w:rsidP="00044196">
      <w:pPr>
        <w:spacing w:before="120" w:after="120" w:line="312" w:lineRule="auto"/>
        <w:ind w:left="426"/>
        <w:jc w:val="both"/>
      </w:pPr>
    </w:p>
    <w:p w:rsidR="00044196" w:rsidRDefault="00044196" w:rsidP="00044196">
      <w:pPr>
        <w:spacing w:before="120" w:after="120" w:line="312" w:lineRule="auto"/>
        <w:ind w:left="426"/>
        <w:jc w:val="both"/>
      </w:pPr>
      <w:r>
        <w:t xml:space="preserve">El </w:t>
      </w:r>
      <w:r w:rsidR="00725650">
        <w:t>CGPJ</w:t>
      </w:r>
      <w:r>
        <w:t xml:space="preserve"> emite resoluciones expresas para la totalidad de las solicitudes admitidas. Ninguna solicitud ha sido desestimada por silencio administrativo.</w:t>
      </w:r>
    </w:p>
    <w:p w:rsidR="00044196" w:rsidRDefault="00044196" w:rsidP="00044196">
      <w:pPr>
        <w:spacing w:before="120" w:after="120" w:line="312" w:lineRule="auto"/>
        <w:ind w:left="426"/>
        <w:jc w:val="both"/>
      </w:pPr>
      <w:r>
        <w:t xml:space="preserve">Un </w:t>
      </w:r>
      <w:r w:rsidR="00725650">
        <w:t>100</w:t>
      </w:r>
      <w:r>
        <w:t xml:space="preserve">% de las resoluciones concede el acceso a la información. De ellas, el </w:t>
      </w:r>
      <w:r w:rsidR="004F0BF4">
        <w:t>97,83</w:t>
      </w:r>
      <w:r>
        <w:t xml:space="preserve">% concede acceso total y el </w:t>
      </w:r>
      <w:r w:rsidR="004F0BF4">
        <w:t>2,17</w:t>
      </w:r>
      <w:r>
        <w:t xml:space="preserve">% acceso parcial. Un </w:t>
      </w:r>
      <w:r w:rsidR="004F0BF4">
        <w:t>1,45</w:t>
      </w:r>
      <w:r>
        <w:t>% deniega la información.</w:t>
      </w:r>
    </w:p>
    <w:p w:rsidR="00044196" w:rsidRPr="009079EA" w:rsidRDefault="00044196" w:rsidP="00044196">
      <w:pPr>
        <w:pStyle w:val="Epgrafe"/>
        <w:keepNext/>
        <w:spacing w:before="120" w:after="120" w:line="312" w:lineRule="auto"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>
        <w:rPr>
          <w:rStyle w:val="Ttulo2Car"/>
          <w:b/>
          <w:color w:val="00642D"/>
          <w:sz w:val="22"/>
          <w:szCs w:val="22"/>
          <w:lang w:bidi="es-ES"/>
        </w:rPr>
        <w:t xml:space="preserve">    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725650" w:rsidRPr="00706E04" w:rsidTr="004B56AA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725650" w:rsidRPr="005B3C15" w:rsidRDefault="00725650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725650" w:rsidRPr="00C33949" w:rsidRDefault="00725650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</w:tcPr>
          <w:p w:rsidR="00725650" w:rsidRPr="00725650" w:rsidRDefault="00725650" w:rsidP="00725650">
            <w:pPr>
              <w:jc w:val="center"/>
              <w:rPr>
                <w:sz w:val="20"/>
                <w:szCs w:val="20"/>
              </w:rPr>
            </w:pPr>
            <w:r w:rsidRPr="00725650">
              <w:rPr>
                <w:sz w:val="20"/>
                <w:szCs w:val="20"/>
              </w:rPr>
              <w:t>101,45</w:t>
            </w:r>
            <w:r>
              <w:rPr>
                <w:rStyle w:val="Refdenotaalpie"/>
                <w:sz w:val="20"/>
                <w:szCs w:val="20"/>
              </w:rPr>
              <w:footnoteReference w:id="1"/>
            </w:r>
          </w:p>
        </w:tc>
      </w:tr>
      <w:tr w:rsidR="00725650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25650" w:rsidRPr="005B3C15" w:rsidRDefault="00725650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25650" w:rsidRPr="00C33949" w:rsidRDefault="00725650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</w:tcPr>
          <w:p w:rsidR="00725650" w:rsidRPr="00725650" w:rsidRDefault="00725650" w:rsidP="00725650">
            <w:pPr>
              <w:jc w:val="center"/>
              <w:rPr>
                <w:sz w:val="20"/>
                <w:szCs w:val="20"/>
              </w:rPr>
            </w:pPr>
            <w:r w:rsidRPr="00725650">
              <w:rPr>
                <w:sz w:val="20"/>
                <w:szCs w:val="20"/>
              </w:rPr>
              <w:t>100,00</w:t>
            </w:r>
            <w:r w:rsidRPr="0072565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725650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25650" w:rsidRPr="005B3C15" w:rsidRDefault="00725650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25650" w:rsidRPr="00C33949" w:rsidRDefault="00725650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</w:tcPr>
          <w:p w:rsidR="00725650" w:rsidRPr="00725650" w:rsidRDefault="00725650" w:rsidP="00725650">
            <w:pPr>
              <w:jc w:val="center"/>
              <w:rPr>
                <w:sz w:val="20"/>
                <w:szCs w:val="20"/>
              </w:rPr>
            </w:pPr>
            <w:r w:rsidRPr="00725650">
              <w:rPr>
                <w:sz w:val="20"/>
                <w:szCs w:val="20"/>
              </w:rPr>
              <w:t>2,17</w:t>
            </w:r>
          </w:p>
        </w:tc>
      </w:tr>
      <w:tr w:rsidR="00725650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25650" w:rsidRPr="005B3C15" w:rsidRDefault="00725650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25650" w:rsidRPr="00C33949" w:rsidRDefault="00725650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</w:tcPr>
          <w:p w:rsidR="00725650" w:rsidRPr="00725650" w:rsidRDefault="00725650" w:rsidP="00725650">
            <w:pPr>
              <w:jc w:val="center"/>
              <w:rPr>
                <w:sz w:val="20"/>
                <w:szCs w:val="20"/>
              </w:rPr>
            </w:pPr>
            <w:r w:rsidRPr="00725650">
              <w:rPr>
                <w:sz w:val="20"/>
                <w:szCs w:val="20"/>
              </w:rPr>
              <w:t>97,83</w:t>
            </w:r>
          </w:p>
        </w:tc>
      </w:tr>
      <w:tr w:rsidR="00725650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25650" w:rsidRPr="005B3C15" w:rsidRDefault="00725650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25650" w:rsidRPr="00C33949" w:rsidRDefault="00725650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</w:tcPr>
          <w:p w:rsidR="00725650" w:rsidRPr="00725650" w:rsidRDefault="00725650" w:rsidP="00725650">
            <w:pPr>
              <w:jc w:val="center"/>
              <w:rPr>
                <w:sz w:val="20"/>
                <w:szCs w:val="20"/>
              </w:rPr>
            </w:pPr>
            <w:r w:rsidRPr="00725650">
              <w:rPr>
                <w:sz w:val="20"/>
                <w:szCs w:val="20"/>
              </w:rPr>
              <w:t>1,45</w:t>
            </w:r>
            <w:r w:rsidRPr="0072565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725650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25650" w:rsidRPr="005B3C15" w:rsidRDefault="00725650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25650" w:rsidRPr="00C33949" w:rsidRDefault="00725650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</w:tcPr>
          <w:p w:rsidR="00725650" w:rsidRPr="00725650" w:rsidRDefault="00725650" w:rsidP="00725650">
            <w:pPr>
              <w:jc w:val="center"/>
              <w:rPr>
                <w:sz w:val="20"/>
                <w:szCs w:val="20"/>
              </w:rPr>
            </w:pPr>
            <w:r w:rsidRPr="00725650">
              <w:rPr>
                <w:sz w:val="20"/>
                <w:szCs w:val="20"/>
              </w:rPr>
              <w:t>,00</w:t>
            </w:r>
          </w:p>
        </w:tc>
      </w:tr>
      <w:tr w:rsidR="00725650" w:rsidRPr="00706E04" w:rsidTr="004B56AA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725650" w:rsidRPr="005B3C15" w:rsidRDefault="00725650" w:rsidP="004B56AA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725650" w:rsidRPr="00C33949" w:rsidRDefault="00725650" w:rsidP="004B56AA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</w:tcPr>
          <w:p w:rsidR="00725650" w:rsidRPr="00725650" w:rsidRDefault="00725650" w:rsidP="00725650">
            <w:pPr>
              <w:jc w:val="center"/>
              <w:rPr>
                <w:sz w:val="20"/>
                <w:szCs w:val="20"/>
              </w:rPr>
            </w:pPr>
            <w:r w:rsidRPr="00725650">
              <w:rPr>
                <w:sz w:val="20"/>
                <w:szCs w:val="20"/>
              </w:rPr>
              <w:t>,00</w:t>
            </w:r>
          </w:p>
        </w:tc>
      </w:tr>
    </w:tbl>
    <w:p w:rsidR="00044196" w:rsidRDefault="00044196" w:rsidP="00044196">
      <w:pPr>
        <w:spacing w:before="120" w:after="120" w:line="312" w:lineRule="auto"/>
      </w:pPr>
    </w:p>
    <w:p w:rsidR="00044196" w:rsidRDefault="00044196" w:rsidP="00044196">
      <w:pPr>
        <w:spacing w:before="120" w:after="120" w:line="312" w:lineRule="auto"/>
      </w:pPr>
    </w:p>
    <w:p w:rsidR="00DD1593" w:rsidRPr="009079EA" w:rsidRDefault="00DD1593" w:rsidP="00DD159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9079EA">
        <w:rPr>
          <w:rStyle w:val="Ttulo2Car"/>
          <w:b w:val="0"/>
          <w:color w:val="auto"/>
          <w:sz w:val="22"/>
          <w:szCs w:val="22"/>
          <w:lang w:bidi="es-ES"/>
        </w:rPr>
        <w:t>No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>se ha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>localizado en la web de</w:t>
      </w:r>
      <w:r>
        <w:rPr>
          <w:rStyle w:val="Ttulo2Car"/>
          <w:b w:val="0"/>
          <w:color w:val="auto"/>
          <w:sz w:val="22"/>
          <w:szCs w:val="22"/>
          <w:lang w:bidi="es-ES"/>
        </w:rPr>
        <w:t>l CGPJ</w:t>
      </w:r>
      <w:r w:rsidRPr="009079EA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información sobre las solicitudes denegadas por aplicación de los límites del artículo 14 de la LTAIBG, tal y como establece el artículo 14.3 de la norma, que obliga a la publicación de estas resoluciones previa disociación de los datos de carácter personal. </w:t>
      </w:r>
    </w:p>
    <w:p w:rsidR="00176A94" w:rsidRDefault="00176A94" w:rsidP="008904D2">
      <w:pPr>
        <w:jc w:val="both"/>
      </w:pPr>
    </w:p>
    <w:p w:rsidR="00B812AB" w:rsidRPr="00E34195" w:rsidRDefault="004B56AA" w:rsidP="008904D2">
      <w:pPr>
        <w:pStyle w:val="Titulardelboletn"/>
        <w:spacing w:before="120" w:after="120" w:line="312" w:lineRule="auto"/>
        <w:ind w:left="426" w:hanging="360"/>
        <w:jc w:val="both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C353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1B7C0A" w:rsidRDefault="001B7C0A" w:rsidP="008904D2">
      <w:pPr>
        <w:ind w:left="426"/>
        <w:jc w:val="both"/>
      </w:pPr>
      <w:r>
        <w:t>El CGPJ dispone en su Portal de Transparencia de un esp</w:t>
      </w:r>
      <w:r w:rsidR="005C3534">
        <w:t>a</w:t>
      </w:r>
      <w:r>
        <w:t>cio específico para el ejercicio del derecho de acceso a</w:t>
      </w:r>
      <w:r w:rsidR="005C3534">
        <w:t xml:space="preserve"> la</w:t>
      </w:r>
      <w:r>
        <w:t xml:space="preserve"> información pública de la institución. El CGPJ ha habilitado diversos medios para la presentación de solicitudes de acceso:</w:t>
      </w:r>
      <w:r w:rsidRPr="001B7C0A">
        <w:t xml:space="preserve"> </w:t>
      </w:r>
      <w:r>
        <w:t>w</w:t>
      </w:r>
      <w:r w:rsidRPr="001B7C0A">
        <w:t>eb, email, teléfono, presencial, correo postal, fax</w:t>
      </w:r>
      <w:r>
        <w:t xml:space="preserve"> y</w:t>
      </w:r>
      <w:r w:rsidRPr="001B7C0A">
        <w:t xml:space="preserve"> registros administrativos</w:t>
      </w:r>
      <w:r>
        <w:t>.</w:t>
      </w:r>
    </w:p>
    <w:p w:rsidR="001B7C0A" w:rsidRDefault="001B7C0A" w:rsidP="008904D2">
      <w:pPr>
        <w:ind w:left="426"/>
        <w:jc w:val="both"/>
      </w:pPr>
      <w:r>
        <w:t xml:space="preserve">Son requisitos obligatorios para la presentación de las solicitudes la indicación de una forma de contacto </w:t>
      </w:r>
      <w:r w:rsidRPr="001B7C0A">
        <w:t>(email o correo postal), la información que se solicita y el modo en el que desea recibir la información (email, correo postal, presencial y otros), además de la validación de un código (Captcha)</w:t>
      </w:r>
      <w:r>
        <w:t>.</w:t>
      </w:r>
    </w:p>
    <w:p w:rsidR="001B7C0A" w:rsidRDefault="001B7C0A" w:rsidP="008904D2">
      <w:pPr>
        <w:ind w:left="426"/>
        <w:jc w:val="both"/>
      </w:pPr>
      <w:r>
        <w:t>El CGPJ además de un formulario web para la presentación de las solicitudes de acceso, informa sobre el órgano competente para resolver</w:t>
      </w:r>
      <w:r w:rsidR="005C3534">
        <w:t xml:space="preserve"> </w:t>
      </w:r>
      <w:r>
        <w:t xml:space="preserve">y </w:t>
      </w:r>
      <w:r w:rsidR="005C3534">
        <w:t xml:space="preserve">remite al </w:t>
      </w:r>
      <w:r w:rsidRPr="001B7C0A">
        <w:t>protocolo de gestión de las solicitudes de acceso</w:t>
      </w:r>
      <w:r w:rsidR="005C3534">
        <w:t xml:space="preserve"> que aprobó ya en el año 2014</w:t>
      </w:r>
      <w:r w:rsidRPr="001B7C0A">
        <w:t>.</w:t>
      </w:r>
      <w:r>
        <w:t xml:space="preserve"> </w:t>
      </w:r>
    </w:p>
    <w:p w:rsidR="00561402" w:rsidRPr="00BB6799" w:rsidRDefault="00561402" w:rsidP="008904D2">
      <w:pPr>
        <w:jc w:val="both"/>
        <w:rPr>
          <w:b/>
          <w:color w:val="00642D"/>
          <w:sz w:val="30"/>
          <w:szCs w:val="30"/>
        </w:rPr>
      </w:pPr>
    </w:p>
    <w:p w:rsidR="00B40246" w:rsidRPr="00E34195" w:rsidRDefault="004B56AA" w:rsidP="008904D2">
      <w:pPr>
        <w:pStyle w:val="Titulardelboletn"/>
        <w:spacing w:before="120" w:after="120" w:line="312" w:lineRule="auto"/>
        <w:ind w:left="720" w:hanging="360"/>
        <w:jc w:val="both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A667C2" w:rsidRDefault="00A667C2" w:rsidP="008904D2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</w:p>
    <w:p w:rsidR="00B4610C" w:rsidRDefault="00B4610C" w:rsidP="008904D2">
      <w:pPr>
        <w:pStyle w:val="Cuerpodelboletn"/>
        <w:tabs>
          <w:tab w:val="left" w:pos="8640"/>
        </w:tabs>
        <w:spacing w:before="120" w:after="120" w:line="312" w:lineRule="auto"/>
        <w:ind w:left="426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  <w:r w:rsidR="008904D2">
        <w:rPr>
          <w:color w:val="auto"/>
          <w:lang w:bidi="es-ES"/>
        </w:rPr>
        <w:tab/>
      </w:r>
    </w:p>
    <w:p w:rsidR="00B4610C" w:rsidRDefault="00B4610C" w:rsidP="008904D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>11/02/2021 se presentó a través del Portal de Transparencia del CGPJ una solicitud de acceso a información pública. Dicha solicitud presentaba una incidencia al no especificarse el periodo de tiempo para e que se solicitaba a información.</w:t>
      </w:r>
    </w:p>
    <w:p w:rsidR="00B4610C" w:rsidRDefault="00B4610C" w:rsidP="008904D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B4610C" w:rsidRPr="00565C09" w:rsidRDefault="00B4610C" w:rsidP="008904D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65C09">
        <w:rPr>
          <w:color w:val="auto"/>
          <w:lang w:bidi="es-ES"/>
        </w:rPr>
        <w:t xml:space="preserve">No se ha recibido comunicación del inicio de </w:t>
      </w:r>
      <w:r w:rsidR="00565C09">
        <w:rPr>
          <w:color w:val="auto"/>
          <w:lang w:bidi="es-ES"/>
        </w:rPr>
        <w:t>la tramitación de la solicitud y no se solicita subsanación a pesar de que como se ha indicado la solicitud no indicaba el periodo de tiempo al que se refería la información solicitada.</w:t>
      </w:r>
    </w:p>
    <w:p w:rsidR="00A667C2" w:rsidRDefault="00A667C2" w:rsidP="008904D2">
      <w:pPr>
        <w:pStyle w:val="Cuerpodelboletn"/>
        <w:spacing w:before="120" w:after="120" w:line="312" w:lineRule="auto"/>
        <w:ind w:left="426"/>
        <w:rPr>
          <w:rStyle w:val="Ttulo2Car"/>
          <w:sz w:val="22"/>
          <w:szCs w:val="22"/>
        </w:rPr>
      </w:pPr>
    </w:p>
    <w:p w:rsidR="00B4610C" w:rsidRPr="00696607" w:rsidRDefault="00B4610C" w:rsidP="008904D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696607">
        <w:rPr>
          <w:rStyle w:val="Ttulo2Car"/>
          <w:sz w:val="22"/>
          <w:szCs w:val="22"/>
        </w:rPr>
        <w:t>Resolución</w:t>
      </w:r>
    </w:p>
    <w:p w:rsidR="00565C09" w:rsidRDefault="00B4610C" w:rsidP="008904D2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565C09">
        <w:rPr>
          <w:color w:val="auto"/>
          <w:lang w:bidi="es-ES"/>
        </w:rPr>
        <w:t xml:space="preserve">Se dicta resolución expresa con fecha </w:t>
      </w:r>
      <w:r w:rsidR="00565C09">
        <w:rPr>
          <w:color w:val="auto"/>
          <w:lang w:bidi="es-ES"/>
        </w:rPr>
        <w:t>12</w:t>
      </w:r>
      <w:r w:rsidRPr="00565C09">
        <w:rPr>
          <w:color w:val="auto"/>
          <w:lang w:bidi="es-ES"/>
        </w:rPr>
        <w:t>/0</w:t>
      </w:r>
      <w:r w:rsidR="00565C09">
        <w:rPr>
          <w:color w:val="auto"/>
          <w:lang w:bidi="es-ES"/>
        </w:rPr>
        <w:t>2</w:t>
      </w:r>
      <w:r w:rsidRPr="00565C09">
        <w:rPr>
          <w:color w:val="auto"/>
          <w:lang w:bidi="es-ES"/>
        </w:rPr>
        <w:t xml:space="preserve">/2021 </w:t>
      </w:r>
      <w:r w:rsidR="008904D2">
        <w:rPr>
          <w:color w:val="auto"/>
          <w:lang w:bidi="es-ES"/>
        </w:rPr>
        <w:t xml:space="preserve">(al día siguiente de su presentación) </w:t>
      </w:r>
      <w:r w:rsidRPr="00565C09">
        <w:rPr>
          <w:color w:val="auto"/>
          <w:lang w:bidi="es-ES"/>
        </w:rPr>
        <w:t xml:space="preserve">firmada por el </w:t>
      </w:r>
      <w:r w:rsidR="00565C09">
        <w:rPr>
          <w:color w:val="auto"/>
          <w:lang w:bidi="es-ES"/>
        </w:rPr>
        <w:t>Secretario G</w:t>
      </w:r>
      <w:r w:rsidRPr="00565C09">
        <w:rPr>
          <w:color w:val="auto"/>
          <w:lang w:bidi="es-ES"/>
        </w:rPr>
        <w:t xml:space="preserve">eneral del </w:t>
      </w:r>
      <w:r w:rsidR="00565C09">
        <w:rPr>
          <w:color w:val="auto"/>
          <w:lang w:bidi="es-ES"/>
        </w:rPr>
        <w:t xml:space="preserve">CGPJ </w:t>
      </w:r>
      <w:r w:rsidR="00F32C67">
        <w:rPr>
          <w:color w:val="auto"/>
          <w:lang w:bidi="es-ES"/>
        </w:rPr>
        <w:t xml:space="preserve">en la que se acuerda inadmitir la </w:t>
      </w:r>
      <w:r w:rsidR="00565C09">
        <w:rPr>
          <w:color w:val="auto"/>
          <w:lang w:bidi="es-ES"/>
        </w:rPr>
        <w:t xml:space="preserve">solicitud. La causa que se alega es la inexistencia de una base de datos que permita la entrega de la información sin necesidad de </w:t>
      </w:r>
      <w:r w:rsidR="004A5655">
        <w:rPr>
          <w:color w:val="auto"/>
          <w:lang w:bidi="es-ES"/>
        </w:rPr>
        <w:t>requerir</w:t>
      </w:r>
      <w:r w:rsidR="00565C09">
        <w:rPr>
          <w:color w:val="auto"/>
          <w:lang w:bidi="es-ES"/>
        </w:rPr>
        <w:t xml:space="preserve"> un trabajo de reelaboración previa</w:t>
      </w:r>
      <w:r w:rsidR="00F32C67">
        <w:rPr>
          <w:color w:val="auto"/>
          <w:lang w:bidi="es-ES"/>
        </w:rPr>
        <w:t>,</w:t>
      </w:r>
      <w:r w:rsidR="00565C09">
        <w:rPr>
          <w:color w:val="auto"/>
          <w:lang w:bidi="es-ES"/>
        </w:rPr>
        <w:t xml:space="preserve"> siendo preciso recurrir a fuentes externas</w:t>
      </w:r>
      <w:r w:rsidR="004A5655">
        <w:rPr>
          <w:color w:val="auto"/>
          <w:lang w:bidi="es-ES"/>
        </w:rPr>
        <w:t xml:space="preserve">, </w:t>
      </w:r>
      <w:r w:rsidR="00565C09">
        <w:rPr>
          <w:color w:val="auto"/>
          <w:lang w:bidi="es-ES"/>
        </w:rPr>
        <w:t xml:space="preserve">lo que excede la capacidad de los recursos disponibles en el CGPJ. </w:t>
      </w:r>
      <w:r w:rsidR="00F32C67">
        <w:rPr>
          <w:color w:val="auto"/>
          <w:lang w:bidi="es-ES"/>
        </w:rPr>
        <w:t>En</w:t>
      </w:r>
      <w:r w:rsidR="004B4919">
        <w:rPr>
          <w:color w:val="auto"/>
          <w:lang w:bidi="es-ES"/>
        </w:rPr>
        <w:t xml:space="preserve"> la misma resolución</w:t>
      </w:r>
      <w:r w:rsidR="00F32C67">
        <w:rPr>
          <w:color w:val="auto"/>
          <w:lang w:bidi="es-ES"/>
        </w:rPr>
        <w:t xml:space="preserve"> se remite</w:t>
      </w:r>
      <w:r w:rsidR="004B4919">
        <w:rPr>
          <w:color w:val="auto"/>
          <w:lang w:bidi="es-ES"/>
        </w:rPr>
        <w:t xml:space="preserve"> a la Memoria anual del Consejo </w:t>
      </w:r>
      <w:r w:rsidR="00F32C67">
        <w:rPr>
          <w:color w:val="auto"/>
          <w:lang w:bidi="es-ES"/>
        </w:rPr>
        <w:t xml:space="preserve">si se desea </w:t>
      </w:r>
      <w:r w:rsidR="004B4919">
        <w:rPr>
          <w:color w:val="auto"/>
          <w:lang w:bidi="es-ES"/>
        </w:rPr>
        <w:t>conocer la actividad de los órganos técnicos del Consejo, haciendo una referencia expresa al Registro General de la institución.</w:t>
      </w:r>
      <w:r w:rsidR="00F32C67">
        <w:rPr>
          <w:color w:val="auto"/>
          <w:lang w:bidi="es-ES"/>
        </w:rPr>
        <w:t xml:space="preserve"> </w:t>
      </w:r>
    </w:p>
    <w:p w:rsidR="00B4610C" w:rsidRDefault="00565C09" w:rsidP="008904D2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lastRenderedPageBreak/>
        <w:t xml:space="preserve">Frente a la resolución de inadmisión se interpone </w:t>
      </w:r>
      <w:r w:rsidR="004B4919">
        <w:rPr>
          <w:color w:val="auto"/>
          <w:lang w:bidi="es-ES"/>
        </w:rPr>
        <w:t>recurso potestativo de reposición el 22/02/2021 en el que se aclara que la solicitud se circunscribe a las solicitudes de información efectuadas al amparo de la Ley 19/2013 y no a la actividad del Registro General y se solicita la admisión parcial</w:t>
      </w:r>
      <w:r w:rsidR="00F32C67">
        <w:rPr>
          <w:color w:val="auto"/>
          <w:lang w:bidi="es-ES"/>
        </w:rPr>
        <w:t xml:space="preserve">, en el sentido de que, al menos, se facilite aquella </w:t>
      </w:r>
      <w:r w:rsidR="004B4919">
        <w:rPr>
          <w:color w:val="auto"/>
          <w:lang w:bidi="es-ES"/>
        </w:rPr>
        <w:t>información que esté disponible. Para ello se invoca el criterio interpretativo 7/2015 del CTBG.</w:t>
      </w:r>
    </w:p>
    <w:p w:rsidR="004A5655" w:rsidRDefault="00945438" w:rsidP="008904D2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1904AB">
        <w:rPr>
          <w:color w:val="auto"/>
          <w:lang w:bidi="es-ES"/>
        </w:rPr>
        <w:t xml:space="preserve">Con fecha 11/03/2021 se emite resolución desestimatoria al recurso potestativo de reposición interpuesto. </w:t>
      </w:r>
      <w:r w:rsidR="00F32C67">
        <w:rPr>
          <w:color w:val="auto"/>
          <w:lang w:bidi="es-ES"/>
        </w:rPr>
        <w:t xml:space="preserve">La desestimación incide nuevamente en la necesidad de reelaboración y se expresa en los siguiente términos: </w:t>
      </w:r>
      <w:r w:rsidR="001904AB" w:rsidRPr="001904AB">
        <w:rPr>
          <w:color w:val="auto"/>
          <w:lang w:bidi="es-ES"/>
        </w:rPr>
        <w:t>“</w:t>
      </w:r>
      <w:r w:rsidR="001904AB" w:rsidRPr="001904AB">
        <w:rPr>
          <w:i/>
          <w:color w:val="auto"/>
          <w:lang w:bidi="es-ES"/>
        </w:rPr>
        <w:t>La petición exige una labor de cuasi reelaboración, puesto que es preciso anonimizar o desagregar una ingente cantidad de datos, debiendo también protegerse los intereses de terceros (sentencia de la Audiencia Nacional de 21 de octubre de 2019, ECLI:ES:AN:2019:3874).</w:t>
      </w:r>
      <w:r w:rsidR="001904AB" w:rsidRPr="001904AB">
        <w:t xml:space="preserve"> </w:t>
      </w:r>
      <w:r w:rsidR="001904AB" w:rsidRPr="001904AB">
        <w:rPr>
          <w:i/>
          <w:color w:val="auto"/>
          <w:lang w:bidi="es-ES"/>
        </w:rPr>
        <w:t>Una solicitud indiscriminada y voluminosa de los datos solicitados no deja de ser una instrumentación de la normativa de transparencia con una finalidad que, entendemos, no se</w:t>
      </w:r>
      <w:r w:rsidR="001904AB" w:rsidRPr="001904AB">
        <w:t xml:space="preserve"> </w:t>
      </w:r>
      <w:r w:rsidR="001904AB" w:rsidRPr="001904AB">
        <w:rPr>
          <w:i/>
          <w:color w:val="auto"/>
          <w:lang w:bidi="es-ES"/>
        </w:rPr>
        <w:t>acomoda al espíritu y finalidad de la norma; más allá, desde luego, de</w:t>
      </w:r>
      <w:r w:rsidR="001904AB">
        <w:rPr>
          <w:i/>
          <w:color w:val="auto"/>
          <w:lang w:bidi="es-ES"/>
        </w:rPr>
        <w:t xml:space="preserve"> </w:t>
      </w:r>
      <w:r w:rsidR="001904AB" w:rsidRPr="001904AB">
        <w:rPr>
          <w:i/>
          <w:color w:val="auto"/>
          <w:lang w:bidi="es-ES"/>
        </w:rPr>
        <w:t>intereses puramente particulares.”</w:t>
      </w:r>
      <w:r w:rsidR="001904AB">
        <w:rPr>
          <w:color w:val="auto"/>
          <w:lang w:bidi="es-ES"/>
        </w:rPr>
        <w:t xml:space="preserve">. </w:t>
      </w:r>
    </w:p>
    <w:p w:rsidR="004B4919" w:rsidRPr="004A5655" w:rsidRDefault="008904D2" w:rsidP="004A5655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  <w:r w:rsidRPr="004A5655">
        <w:rPr>
          <w:color w:val="auto"/>
          <w:lang w:bidi="es-ES"/>
        </w:rPr>
        <w:t>En este sentido cabe destacar que la solicitud de información pública no tenía por objeto ningún dato de carácter personal susceptible de protección, ni requería aportar copia</w:t>
      </w:r>
      <w:r w:rsidR="009B722C">
        <w:rPr>
          <w:color w:val="auto"/>
          <w:lang w:bidi="es-ES"/>
        </w:rPr>
        <w:t xml:space="preserve"> de</w:t>
      </w:r>
      <w:r w:rsidRPr="004A5655">
        <w:rPr>
          <w:color w:val="auto"/>
          <w:lang w:bidi="es-ES"/>
        </w:rPr>
        <w:t xml:space="preserve"> las solicitudes, por lo que no resultaba necesario llevar a cabo una labor de anonimización de datos. Por otra parte, parece extraño que este órgano no disponga de información desagregada ya que cuenta con un canal de presentación y un protocolo específico para este tipo de solicitudes.  Tampoco parece que la solicitud pueda calificarse de indiscriminada y voluminos</w:t>
      </w:r>
      <w:r w:rsidR="004A5655">
        <w:rPr>
          <w:color w:val="auto"/>
          <w:lang w:bidi="es-ES"/>
        </w:rPr>
        <w:t>a</w:t>
      </w:r>
      <w:r w:rsidRPr="004A5655">
        <w:rPr>
          <w:color w:val="auto"/>
          <w:lang w:bidi="es-ES"/>
        </w:rPr>
        <w:t>, calificación que no ha merecido en los</w:t>
      </w:r>
      <w:r w:rsidR="00B34A88">
        <w:rPr>
          <w:color w:val="auto"/>
          <w:lang w:bidi="es-ES"/>
        </w:rPr>
        <w:t xml:space="preserve"> restantes</w:t>
      </w:r>
      <w:r w:rsidRPr="004A5655">
        <w:rPr>
          <w:color w:val="auto"/>
          <w:lang w:bidi="es-ES"/>
        </w:rPr>
        <w:t xml:space="preserve"> órganos y unidades ante la que se ha presentado en parecidos o idénticos términos; y en ningún momento se requirió de subsanación para conocer el período al que se refería la solicitud. Por último, la Ley 19/2013 no exige que la solicitud sea motivada; aun así, se indicaba la finalidad de solicitar información. En última instancia, toda solicitud de información pública responde a un interés particular.</w:t>
      </w:r>
      <w:r w:rsidR="00DB11AF" w:rsidRPr="004A5655">
        <w:rPr>
          <w:color w:val="auto"/>
          <w:lang w:bidi="es-ES"/>
        </w:rPr>
        <w:t xml:space="preserve"> </w:t>
      </w:r>
    </w:p>
    <w:p w:rsidR="00B4610C" w:rsidRPr="001904AB" w:rsidRDefault="001904AB" w:rsidP="008904D2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1904AB">
        <w:rPr>
          <w:color w:val="auto"/>
          <w:lang w:bidi="es-ES"/>
        </w:rPr>
        <w:t xml:space="preserve">Ambas </w:t>
      </w:r>
      <w:r w:rsidR="00B4610C" w:rsidRPr="001904AB">
        <w:rPr>
          <w:color w:val="auto"/>
          <w:lang w:bidi="es-ES"/>
        </w:rPr>
        <w:t>resoluci</w:t>
      </w:r>
      <w:r w:rsidRPr="001904AB">
        <w:rPr>
          <w:color w:val="auto"/>
          <w:lang w:bidi="es-ES"/>
        </w:rPr>
        <w:t>ones</w:t>
      </w:r>
      <w:r w:rsidR="00B4610C" w:rsidRPr="001904AB">
        <w:rPr>
          <w:color w:val="auto"/>
          <w:lang w:bidi="es-ES"/>
        </w:rPr>
        <w:t xml:space="preserve"> está</w:t>
      </w:r>
      <w:r w:rsidRPr="001904AB">
        <w:rPr>
          <w:color w:val="auto"/>
          <w:lang w:bidi="es-ES"/>
        </w:rPr>
        <w:t>n</w:t>
      </w:r>
      <w:r w:rsidR="00B4610C" w:rsidRPr="001904AB">
        <w:rPr>
          <w:color w:val="auto"/>
          <w:lang w:bidi="es-ES"/>
        </w:rPr>
        <w:t xml:space="preserve"> motivada</w:t>
      </w:r>
      <w:r w:rsidRPr="001904AB">
        <w:rPr>
          <w:color w:val="auto"/>
          <w:lang w:bidi="es-ES"/>
        </w:rPr>
        <w:t>s.</w:t>
      </w:r>
    </w:p>
    <w:p w:rsidR="00B4610C" w:rsidRPr="001904AB" w:rsidRDefault="001904AB" w:rsidP="008904D2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1904AB">
        <w:rPr>
          <w:color w:val="auto"/>
          <w:lang w:bidi="es-ES"/>
        </w:rPr>
        <w:t>Son</w:t>
      </w:r>
      <w:r w:rsidR="00B4610C" w:rsidRPr="001904AB">
        <w:rPr>
          <w:color w:val="auto"/>
          <w:lang w:bidi="es-ES"/>
        </w:rPr>
        <w:t xml:space="preserve"> clara</w:t>
      </w:r>
      <w:r w:rsidRPr="001904AB">
        <w:rPr>
          <w:color w:val="auto"/>
          <w:lang w:bidi="es-ES"/>
        </w:rPr>
        <w:t>s</w:t>
      </w:r>
      <w:r w:rsidR="00B4610C" w:rsidRPr="001904AB">
        <w:rPr>
          <w:color w:val="auto"/>
          <w:lang w:bidi="es-ES"/>
        </w:rPr>
        <w:t>, comprensible</w:t>
      </w:r>
      <w:r w:rsidRPr="001904AB">
        <w:rPr>
          <w:color w:val="auto"/>
          <w:lang w:bidi="es-ES"/>
        </w:rPr>
        <w:t>s</w:t>
      </w:r>
      <w:r w:rsidR="00B4610C" w:rsidRPr="001904AB">
        <w:rPr>
          <w:color w:val="auto"/>
          <w:lang w:bidi="es-ES"/>
        </w:rPr>
        <w:t xml:space="preserve"> y está</w:t>
      </w:r>
      <w:r w:rsidRPr="001904AB">
        <w:rPr>
          <w:color w:val="auto"/>
          <w:lang w:bidi="es-ES"/>
        </w:rPr>
        <w:t>n</w:t>
      </w:r>
      <w:r w:rsidR="00B4610C" w:rsidRPr="001904AB">
        <w:rPr>
          <w:color w:val="auto"/>
          <w:lang w:bidi="es-ES"/>
        </w:rPr>
        <w:t xml:space="preserve"> estructurada</w:t>
      </w:r>
      <w:r w:rsidRPr="001904AB">
        <w:rPr>
          <w:color w:val="auto"/>
          <w:lang w:bidi="es-ES"/>
        </w:rPr>
        <w:t>s</w:t>
      </w:r>
      <w:r w:rsidR="00B4610C" w:rsidRPr="001904AB">
        <w:rPr>
          <w:color w:val="auto"/>
          <w:lang w:bidi="es-ES"/>
        </w:rPr>
        <w:t xml:space="preserve"> con antecedentes de hecho, los fundamentos de derecho y la decisión adoptada.</w:t>
      </w:r>
    </w:p>
    <w:p w:rsidR="00B4610C" w:rsidRPr="001904AB" w:rsidRDefault="00B4610C" w:rsidP="008904D2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1904AB">
        <w:rPr>
          <w:color w:val="auto"/>
          <w:lang w:bidi="es-ES"/>
        </w:rPr>
        <w:t>Incluye</w:t>
      </w:r>
      <w:r w:rsidR="001904AB" w:rsidRPr="001904AB">
        <w:rPr>
          <w:color w:val="auto"/>
          <w:lang w:bidi="es-ES"/>
        </w:rPr>
        <w:t>n</w:t>
      </w:r>
      <w:r w:rsidRPr="001904AB">
        <w:rPr>
          <w:color w:val="auto"/>
          <w:lang w:bidi="es-ES"/>
        </w:rPr>
        <w:t xml:space="preserve"> pie de recurso indicando que pone fin a la vía administrativa, los recursos que pueden interponerse, el órgano competente para resolverlos y el plazo para su interposición. </w:t>
      </w:r>
    </w:p>
    <w:p w:rsidR="00932008" w:rsidRPr="00532640" w:rsidRDefault="00532640" w:rsidP="008904D2">
      <w:pPr>
        <w:pStyle w:val="Cuerpodelboletn"/>
        <w:numPr>
          <w:ilvl w:val="0"/>
          <w:numId w:val="6"/>
        </w:numPr>
        <w:spacing w:before="120" w:after="120" w:line="312" w:lineRule="auto"/>
        <w:rPr>
          <w:rStyle w:val="Ttulo2Car"/>
          <w:color w:val="auto"/>
          <w:lang w:bidi="es-ES"/>
        </w:rPr>
      </w:pPr>
      <w:r w:rsidRPr="00532640">
        <w:rPr>
          <w:color w:val="auto"/>
          <w:lang w:bidi="es-ES"/>
        </w:rPr>
        <w:t>Ambas</w:t>
      </w:r>
      <w:r w:rsidR="00B4610C" w:rsidRPr="00532640">
        <w:rPr>
          <w:color w:val="auto"/>
          <w:lang w:bidi="es-ES"/>
        </w:rPr>
        <w:t xml:space="preserve"> resoluci</w:t>
      </w:r>
      <w:r w:rsidRPr="00532640">
        <w:rPr>
          <w:color w:val="auto"/>
          <w:lang w:bidi="es-ES"/>
        </w:rPr>
        <w:t>ones</w:t>
      </w:r>
      <w:r w:rsidR="00B4610C" w:rsidRPr="00532640">
        <w:rPr>
          <w:color w:val="auto"/>
          <w:lang w:bidi="es-ES"/>
        </w:rPr>
        <w:t xml:space="preserve"> se notifica</w:t>
      </w:r>
      <w:r w:rsidRPr="00532640">
        <w:rPr>
          <w:color w:val="auto"/>
          <w:lang w:bidi="es-ES"/>
        </w:rPr>
        <w:t>n</w:t>
      </w:r>
      <w:r w:rsidR="00B4610C" w:rsidRPr="00532640">
        <w:rPr>
          <w:color w:val="auto"/>
          <w:lang w:bidi="es-ES"/>
        </w:rPr>
        <w:t xml:space="preserve"> por </w:t>
      </w:r>
      <w:r w:rsidR="001904AB" w:rsidRPr="00532640">
        <w:rPr>
          <w:color w:val="auto"/>
          <w:lang w:bidi="es-ES"/>
        </w:rPr>
        <w:t xml:space="preserve">correo electrónico, </w:t>
      </w:r>
      <w:r w:rsidRPr="00532640">
        <w:rPr>
          <w:color w:val="auto"/>
          <w:lang w:bidi="es-ES"/>
        </w:rPr>
        <w:t>lo que se corresponde con la forma de notificación elegida por el solicitante</w:t>
      </w:r>
      <w:r w:rsidR="0059608D">
        <w:rPr>
          <w:color w:val="auto"/>
          <w:lang w:bidi="es-ES"/>
        </w:rPr>
        <w:t xml:space="preserve"> (y la forma de presentación)</w:t>
      </w:r>
      <w:r w:rsidRPr="00532640">
        <w:rPr>
          <w:color w:val="auto"/>
          <w:lang w:bidi="es-ES"/>
        </w:rPr>
        <w:t xml:space="preserve">. </w:t>
      </w:r>
    </w:p>
    <w:p w:rsidR="001F251B" w:rsidRPr="00256215" w:rsidRDefault="004B56AA" w:rsidP="008904D2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667C2" w:rsidRDefault="00A667C2" w:rsidP="008904D2">
      <w:pPr>
        <w:ind w:left="426"/>
        <w:jc w:val="both"/>
      </w:pPr>
    </w:p>
    <w:p w:rsidR="00532640" w:rsidRDefault="00532640" w:rsidP="008904D2">
      <w:pPr>
        <w:spacing w:before="120" w:after="120"/>
        <w:ind w:left="426"/>
        <w:jc w:val="both"/>
      </w:pPr>
      <w:r>
        <w:t>El CGPJ presenta en la gestión de las solicitudes de acceso a información pública buenas prácticas que podrían ser aplicadas por otras instituciones y organizaciones públicas. Entre ellas cabe destacar:</w:t>
      </w:r>
    </w:p>
    <w:p w:rsidR="00256215" w:rsidRDefault="00532640" w:rsidP="008904D2">
      <w:pPr>
        <w:pStyle w:val="Prrafodelista"/>
        <w:numPr>
          <w:ilvl w:val="0"/>
          <w:numId w:val="5"/>
        </w:numPr>
        <w:spacing w:before="120" w:after="120"/>
        <w:ind w:left="1134"/>
        <w:contextualSpacing w:val="0"/>
        <w:jc w:val="both"/>
      </w:pPr>
      <w:r>
        <w:t>El hecho de que no se exija identificación para la presentación de las solicitudes</w:t>
      </w:r>
      <w:r w:rsidR="00FD1F6C">
        <w:t>.</w:t>
      </w:r>
    </w:p>
    <w:p w:rsidR="00FD1F6C" w:rsidRDefault="00532640" w:rsidP="008904D2">
      <w:pPr>
        <w:pStyle w:val="Prrafodelista"/>
        <w:numPr>
          <w:ilvl w:val="0"/>
          <w:numId w:val="5"/>
        </w:numPr>
        <w:spacing w:before="120" w:after="120"/>
        <w:ind w:left="1134"/>
        <w:contextualSpacing w:val="0"/>
        <w:jc w:val="both"/>
      </w:pPr>
      <w:r>
        <w:t>La publicación</w:t>
      </w:r>
      <w:r w:rsidR="00FD1F6C">
        <w:t xml:space="preserve"> </w:t>
      </w:r>
      <w:r>
        <w:t>d</w:t>
      </w:r>
      <w:r w:rsidR="00FD1F6C">
        <w:t>el Protocolo de gestión de las solicitudes de acceso a la información pública.</w:t>
      </w:r>
    </w:p>
    <w:p w:rsidR="00EA1C8F" w:rsidRPr="004A5655" w:rsidRDefault="00532640" w:rsidP="008904D2">
      <w:pPr>
        <w:pStyle w:val="Prrafodelista"/>
        <w:numPr>
          <w:ilvl w:val="0"/>
          <w:numId w:val="5"/>
        </w:numPr>
        <w:spacing w:before="120" w:after="120"/>
        <w:ind w:left="1134"/>
        <w:contextualSpacing w:val="0"/>
        <w:jc w:val="both"/>
      </w:pPr>
      <w:r>
        <w:t>La disponibilidad de un formulario web que facilita la presentación de las solicitudes</w:t>
      </w:r>
      <w:r w:rsidR="00EA1C8F">
        <w:t xml:space="preserve"> </w:t>
      </w:r>
      <w:r w:rsidR="00EA1C8F" w:rsidRPr="004A5655">
        <w:t>por correo electrónico</w:t>
      </w:r>
      <w:r w:rsidR="000731C9" w:rsidRPr="004A5655">
        <w:t>.</w:t>
      </w:r>
    </w:p>
    <w:p w:rsidR="000731C9" w:rsidRPr="004A5655" w:rsidRDefault="000731C9" w:rsidP="008904D2">
      <w:pPr>
        <w:pStyle w:val="Prrafodelista"/>
        <w:numPr>
          <w:ilvl w:val="0"/>
          <w:numId w:val="5"/>
        </w:numPr>
        <w:spacing w:before="120" w:after="120"/>
        <w:ind w:left="1134"/>
        <w:contextualSpacing w:val="0"/>
        <w:jc w:val="both"/>
      </w:pPr>
      <w:r w:rsidRPr="004A5655">
        <w:t xml:space="preserve">Las diversas vías habilitadas para formular </w:t>
      </w:r>
      <w:r w:rsidR="004A5655" w:rsidRPr="004A5655">
        <w:t>solicitudes</w:t>
      </w:r>
      <w:r w:rsidRPr="004A5655">
        <w:t xml:space="preserve"> de información pública </w:t>
      </w:r>
    </w:p>
    <w:p w:rsidR="00532640" w:rsidRPr="004A5655" w:rsidRDefault="00EA1C8F" w:rsidP="008904D2">
      <w:pPr>
        <w:pStyle w:val="Prrafodelista"/>
        <w:numPr>
          <w:ilvl w:val="0"/>
          <w:numId w:val="5"/>
        </w:numPr>
        <w:spacing w:before="120" w:after="120"/>
        <w:ind w:left="1134"/>
        <w:contextualSpacing w:val="0"/>
        <w:jc w:val="both"/>
      </w:pPr>
      <w:r w:rsidRPr="004A5655">
        <w:t>La posibilidad de formular recurso potestativo de reposición frente a la resolución que se dicta en las solicitudes de información pública.</w:t>
      </w:r>
    </w:p>
    <w:p w:rsidR="00A667C2" w:rsidRDefault="00A667C2" w:rsidP="008904D2">
      <w:pPr>
        <w:spacing w:before="120" w:after="120"/>
        <w:jc w:val="both"/>
      </w:pPr>
    </w:p>
    <w:p w:rsidR="00256215" w:rsidRDefault="004B56AA" w:rsidP="008904D2">
      <w:pPr>
        <w:pStyle w:val="Cuerpodelboletn"/>
        <w:spacing w:before="120" w:after="120" w:line="276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 w:rsidP="008904D2">
      <w:pPr>
        <w:spacing w:before="120" w:after="120"/>
        <w:jc w:val="both"/>
      </w:pPr>
    </w:p>
    <w:p w:rsidR="00532640" w:rsidRPr="00B70DBD" w:rsidRDefault="00532640" w:rsidP="008904D2">
      <w:pPr>
        <w:pStyle w:val="Prrafodelista"/>
        <w:numPr>
          <w:ilvl w:val="0"/>
          <w:numId w:val="8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4F0BF4" w:rsidRDefault="004F0BF4" w:rsidP="004F0BF4">
      <w:pPr>
        <w:pStyle w:val="Prrafodelista"/>
        <w:spacing w:before="120" w:after="120"/>
        <w:ind w:left="426"/>
        <w:jc w:val="both"/>
        <w:rPr>
          <w:bCs/>
        </w:rPr>
      </w:pPr>
      <w:r w:rsidRPr="004F0BF4">
        <w:rPr>
          <w:bCs/>
        </w:rPr>
        <w:t xml:space="preserve">El Congreso de los Diputados  tramita el 100% de las solicitudes que recibe y admite </w:t>
      </w:r>
      <w:r w:rsidR="00C51667">
        <w:rPr>
          <w:bCs/>
        </w:rPr>
        <w:t xml:space="preserve">el 70% </w:t>
      </w:r>
      <w:r w:rsidRPr="004F0BF4">
        <w:rPr>
          <w:bCs/>
        </w:rPr>
        <w:t xml:space="preserve">de ellas. La información aportada indica que se emite resolución expresa para el 100% de las solicitudes admitidas. </w:t>
      </w:r>
      <w:r w:rsidR="00C51667">
        <w:rPr>
          <w:bCs/>
        </w:rPr>
        <w:t>El 100</w:t>
      </w:r>
      <w:r w:rsidRPr="004F0BF4">
        <w:rPr>
          <w:bCs/>
        </w:rPr>
        <w:t xml:space="preserve">% de estas resoluciones concede el acceso a la información, de ellas el </w:t>
      </w:r>
      <w:r w:rsidR="00C51667">
        <w:rPr>
          <w:bCs/>
        </w:rPr>
        <w:t>97,83</w:t>
      </w:r>
      <w:r w:rsidRPr="004F0BF4">
        <w:rPr>
          <w:bCs/>
        </w:rPr>
        <w:t xml:space="preserve"> concede acceso total. Un </w:t>
      </w:r>
      <w:r w:rsidR="00C51667">
        <w:rPr>
          <w:bCs/>
        </w:rPr>
        <w:t>1,45</w:t>
      </w:r>
      <w:r w:rsidRPr="004F0BF4">
        <w:rPr>
          <w:bCs/>
        </w:rPr>
        <w:t>% de las resoluciones den</w:t>
      </w:r>
      <w:r w:rsidR="00C51667">
        <w:rPr>
          <w:bCs/>
        </w:rPr>
        <w:t>iega el acceso a la información.</w:t>
      </w:r>
    </w:p>
    <w:p w:rsidR="00C51667" w:rsidRDefault="00C51667" w:rsidP="004F0BF4">
      <w:pPr>
        <w:pStyle w:val="Prrafodelista"/>
        <w:spacing w:before="120" w:after="120"/>
        <w:ind w:left="426"/>
        <w:jc w:val="both"/>
        <w:rPr>
          <w:bCs/>
        </w:rPr>
      </w:pPr>
    </w:p>
    <w:p w:rsidR="004F0BF4" w:rsidRPr="004F0BF4" w:rsidRDefault="004F0BF4" w:rsidP="004F0BF4">
      <w:pPr>
        <w:pStyle w:val="Prrafodelista"/>
        <w:spacing w:before="120" w:after="120"/>
        <w:ind w:left="426"/>
        <w:jc w:val="both"/>
        <w:rPr>
          <w:bCs/>
        </w:rPr>
      </w:pPr>
      <w:r w:rsidRPr="004F0BF4">
        <w:rPr>
          <w:bCs/>
        </w:rPr>
        <w:t xml:space="preserve">Por otra parte se ha constatado que el </w:t>
      </w:r>
      <w:r w:rsidR="00C51667">
        <w:rPr>
          <w:bCs/>
        </w:rPr>
        <w:t>CGPJ</w:t>
      </w:r>
      <w:r w:rsidRPr="004F0BF4">
        <w:rPr>
          <w:bCs/>
        </w:rPr>
        <w:t xml:space="preserve"> no publica las resoluciones denegatorias de acceso a la información por aplicación de los límites del artículo 14 de la Ley 19/2013.</w:t>
      </w:r>
    </w:p>
    <w:p w:rsidR="004F0BF4" w:rsidRPr="004F0BF4" w:rsidRDefault="004F0BF4" w:rsidP="004F0BF4">
      <w:pPr>
        <w:pStyle w:val="Prrafodelista"/>
        <w:spacing w:before="120" w:after="120"/>
        <w:ind w:left="426"/>
        <w:jc w:val="both"/>
        <w:rPr>
          <w:bCs/>
        </w:rPr>
      </w:pPr>
    </w:p>
    <w:p w:rsidR="004F0BF4" w:rsidRPr="004F0BF4" w:rsidRDefault="004F0BF4" w:rsidP="004F0BF4">
      <w:pPr>
        <w:pStyle w:val="Prrafodelista"/>
        <w:pBdr>
          <w:top w:val="single" w:sz="4" w:space="1" w:color="76923C" w:themeColor="accent3" w:themeShade="BF"/>
          <w:left w:val="single" w:sz="4" w:space="4" w:color="76923C" w:themeColor="accent3" w:themeShade="BF"/>
          <w:bottom w:val="single" w:sz="4" w:space="1" w:color="76923C" w:themeColor="accent3" w:themeShade="BF"/>
          <w:right w:val="single" w:sz="4" w:space="4" w:color="76923C" w:themeColor="accent3" w:themeShade="BF"/>
        </w:pBdr>
        <w:spacing w:before="120" w:after="120"/>
        <w:ind w:left="426"/>
        <w:jc w:val="both"/>
        <w:rPr>
          <w:bCs/>
        </w:rPr>
      </w:pPr>
      <w:r w:rsidRPr="004F0BF4">
        <w:rPr>
          <w:bCs/>
        </w:rPr>
        <w:t xml:space="preserve">El </w:t>
      </w:r>
      <w:r>
        <w:rPr>
          <w:bCs/>
        </w:rPr>
        <w:t>CGPJ</w:t>
      </w:r>
      <w:r w:rsidRPr="004F0BF4">
        <w:rPr>
          <w:bCs/>
        </w:rPr>
        <w:t xml:space="preserve"> debería publicar en su Portal de Transparencia las resoluciones que deniegan el acceso a la información por aplicación de los límites del artículo 14, según lo dispuesto por el artículo 14.3 de la LTAIBG.</w:t>
      </w:r>
    </w:p>
    <w:p w:rsidR="004F0BF4" w:rsidRPr="004F0BF4" w:rsidRDefault="004F0BF4" w:rsidP="004F0BF4">
      <w:pPr>
        <w:pStyle w:val="Prrafodelista"/>
        <w:spacing w:before="120" w:after="120"/>
        <w:ind w:left="426"/>
        <w:jc w:val="both"/>
        <w:rPr>
          <w:bCs/>
        </w:rPr>
      </w:pPr>
    </w:p>
    <w:p w:rsidR="00532640" w:rsidRDefault="00532640" w:rsidP="008904D2">
      <w:pPr>
        <w:pStyle w:val="Prrafodelista"/>
        <w:spacing w:before="120" w:after="120"/>
        <w:ind w:left="426"/>
        <w:contextualSpacing w:val="0"/>
        <w:jc w:val="both"/>
        <w:rPr>
          <w:bCs/>
        </w:rPr>
      </w:pPr>
    </w:p>
    <w:p w:rsidR="004F0BF4" w:rsidRDefault="004F0BF4" w:rsidP="008904D2">
      <w:pPr>
        <w:pStyle w:val="Prrafodelista"/>
        <w:spacing w:before="120" w:after="120"/>
        <w:ind w:left="426"/>
        <w:contextualSpacing w:val="0"/>
        <w:jc w:val="both"/>
        <w:rPr>
          <w:bCs/>
        </w:rPr>
      </w:pPr>
    </w:p>
    <w:p w:rsidR="00532640" w:rsidRPr="001018C9" w:rsidRDefault="00532640" w:rsidP="008904D2">
      <w:pPr>
        <w:pStyle w:val="Prrafodelista"/>
        <w:numPr>
          <w:ilvl w:val="0"/>
          <w:numId w:val="8"/>
        </w:numPr>
        <w:spacing w:before="120" w:after="120"/>
        <w:ind w:left="426"/>
        <w:contextualSpacing w:val="0"/>
        <w:jc w:val="both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532640" w:rsidRDefault="00532640" w:rsidP="008904D2">
      <w:pPr>
        <w:pStyle w:val="Prrafodelista"/>
        <w:spacing w:before="120" w:after="120"/>
        <w:ind w:left="426"/>
        <w:contextualSpacing w:val="0"/>
        <w:jc w:val="both"/>
      </w:pPr>
    </w:p>
    <w:p w:rsidR="00532640" w:rsidRDefault="00532640" w:rsidP="008904D2">
      <w:pPr>
        <w:pStyle w:val="Prrafodelista"/>
        <w:spacing w:before="120" w:after="120"/>
        <w:ind w:left="426"/>
        <w:contextualSpacing w:val="0"/>
        <w:jc w:val="both"/>
      </w:pPr>
      <w:r>
        <w:t>Como se ha indicado, el CGPJ ofrece un espacio en su Portal de Transparencia para la presentación de las solicitudes de acceso a información pública</w:t>
      </w:r>
      <w:r w:rsidR="004A5655">
        <w:t>, en el que</w:t>
      </w:r>
      <w:r>
        <w:t xml:space="preserve"> informa</w:t>
      </w:r>
      <w:r w:rsidR="00317839">
        <w:t xml:space="preserve"> </w:t>
      </w:r>
      <w:r>
        <w:t xml:space="preserve">sobre los medios habilitados y sobre los requisitos necesarios </w:t>
      </w:r>
      <w:r w:rsidRPr="00342775">
        <w:t>para la presentación de estas solicitudes</w:t>
      </w:r>
      <w:r>
        <w:t>.</w:t>
      </w:r>
      <w:r w:rsidR="00A667C2">
        <w:t xml:space="preserve"> </w:t>
      </w:r>
    </w:p>
    <w:p w:rsidR="007D2C78" w:rsidRDefault="007D2C78" w:rsidP="008904D2">
      <w:pPr>
        <w:pStyle w:val="Prrafodelista"/>
        <w:spacing w:before="120" w:after="120"/>
        <w:ind w:left="426"/>
        <w:contextualSpacing w:val="0"/>
        <w:jc w:val="both"/>
      </w:pPr>
      <w:r w:rsidRPr="004A5655">
        <w:lastRenderedPageBreak/>
        <w:t xml:space="preserve">Para ello </w:t>
      </w:r>
      <w:r w:rsidR="0028369B" w:rsidRPr="004A5655">
        <w:t>habilita un formulario en su web, dentro del P</w:t>
      </w:r>
      <w:r w:rsidR="004A5655">
        <w:t xml:space="preserve">ortal de </w:t>
      </w:r>
      <w:r w:rsidR="0028369B" w:rsidRPr="004A5655">
        <w:t>T</w:t>
      </w:r>
      <w:r w:rsidR="004A5655">
        <w:t>ransparencia</w:t>
      </w:r>
      <w:r w:rsidR="0028369B" w:rsidRPr="004A5655">
        <w:t>,</w:t>
      </w:r>
      <w:r w:rsidR="0028369B" w:rsidRPr="0028369B">
        <w:rPr>
          <w:color w:val="FF0000"/>
        </w:rPr>
        <w:t xml:space="preserve"> </w:t>
      </w:r>
      <w:r>
        <w:t>no</w:t>
      </w:r>
      <w:r w:rsidRPr="007D2C78">
        <w:t xml:space="preserve"> se exige la identificación del solicitante, </w:t>
      </w:r>
      <w:r>
        <w:t xml:space="preserve">solo </w:t>
      </w:r>
      <w:r w:rsidR="00215298">
        <w:t>la indicación del medio de notificación</w:t>
      </w:r>
      <w:r w:rsidR="005C3534">
        <w:t xml:space="preserve"> </w:t>
      </w:r>
      <w:r w:rsidRPr="007D2C78">
        <w:t xml:space="preserve">y </w:t>
      </w:r>
      <w:r w:rsidR="00215298">
        <w:t>el contenido concreto de la solicitud así como la validación de un código de comprobación.</w:t>
      </w:r>
      <w:r w:rsidRPr="007D2C78">
        <w:t xml:space="preserve"> </w:t>
      </w:r>
      <w:r w:rsidR="0028369B">
        <w:t xml:space="preserve">La ausencia de formalidades </w:t>
      </w:r>
      <w:r w:rsidRPr="007D2C78">
        <w:t>facilita la accesibilidad al ejercicio del derecho.</w:t>
      </w:r>
    </w:p>
    <w:p w:rsidR="00532640" w:rsidRDefault="00532640" w:rsidP="008904D2">
      <w:pPr>
        <w:pStyle w:val="Prrafodelista"/>
        <w:spacing w:before="120" w:after="120"/>
        <w:ind w:left="426"/>
        <w:contextualSpacing w:val="0"/>
        <w:jc w:val="both"/>
      </w:pPr>
    </w:p>
    <w:p w:rsidR="00532640" w:rsidRPr="00B70DBD" w:rsidRDefault="00532640" w:rsidP="008904D2">
      <w:pPr>
        <w:pStyle w:val="Prrafodelista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532640" w:rsidRDefault="00532640" w:rsidP="008904D2">
      <w:pPr>
        <w:pStyle w:val="Prrafodelista"/>
        <w:spacing w:before="120" w:after="120"/>
        <w:ind w:left="425"/>
        <w:contextualSpacing w:val="0"/>
        <w:jc w:val="both"/>
      </w:pPr>
      <w:r w:rsidRPr="00215298">
        <w:t>La gestión de la solicitud de acceso presentada se ha ajustado al procedimiento establecido por la LTAIBG</w:t>
      </w:r>
      <w:r w:rsidR="00215298">
        <w:t>, con la única salvedad de que no se ha solicitado la subsanación de la incidencia que presentaba la solicitud.</w:t>
      </w:r>
      <w:r w:rsidRPr="00215298">
        <w:t xml:space="preserve"> </w:t>
      </w:r>
    </w:p>
    <w:p w:rsidR="00B96426" w:rsidRDefault="00215298" w:rsidP="008904D2">
      <w:pPr>
        <w:pStyle w:val="Prrafodelista"/>
        <w:spacing w:before="120" w:after="120"/>
        <w:ind w:left="425"/>
        <w:contextualSpacing w:val="0"/>
        <w:jc w:val="both"/>
      </w:pPr>
      <w:r>
        <w:t>Como se ha señalado</w:t>
      </w:r>
      <w:r w:rsidR="00AB49AF">
        <w:t>,</w:t>
      </w:r>
      <w:r>
        <w:t xml:space="preserve"> la solicitud result</w:t>
      </w:r>
      <w:r w:rsidR="00E53582">
        <w:t>ó</w:t>
      </w:r>
      <w:r>
        <w:t xml:space="preserve"> inadmitida </w:t>
      </w:r>
      <w:r w:rsidR="00E53582">
        <w:t xml:space="preserve">alegándose por parte del CGPJ </w:t>
      </w:r>
      <w:r w:rsidR="00AB49AF">
        <w:t xml:space="preserve">como causa de inadmisión </w:t>
      </w:r>
      <w:r w:rsidR="00E53582">
        <w:t xml:space="preserve">la necesidad de reelaboración de un volumen importante de información, teniendo que recurrir para ello a fuentes externas y la carencia </w:t>
      </w:r>
      <w:r w:rsidR="00B96426">
        <w:t xml:space="preserve">de recursos suficientes para ello. </w:t>
      </w:r>
      <w:r w:rsidR="00AB49AF">
        <w:t xml:space="preserve">De la resolución dictada pudiera </w:t>
      </w:r>
      <w:r w:rsidR="00B96426">
        <w:t xml:space="preserve">deducirse que </w:t>
      </w:r>
      <w:r w:rsidR="00AB49AF">
        <w:t xml:space="preserve">el CGPJ </w:t>
      </w:r>
      <w:r w:rsidR="00B96426">
        <w:t xml:space="preserve">había entendido que la solicitud estaba referida al conjunto de la actividad desplegada por el Registro General de la Institución y no exclusivamente limitada a las solicitudes efectuadas al amparo de la Ley de Transparencia. A pesar de que esta cuestión se aclara en el recurso potestativo de reposición interpuesto y se plantea la posibilidad de una admisión parcial de la solicitud, el CGPJ nuevamente inadmite el recurso aludiendo a la necesidad de una “cuasi-reelaboración” y a la protección de los intereses de terceros, aunque la información solicitada en ningún caso </w:t>
      </w:r>
      <w:r w:rsidR="00AB49AF">
        <w:t>tenía por objeto</w:t>
      </w:r>
      <w:r w:rsidR="00B96426">
        <w:t xml:space="preserve"> datos de carácter personal. </w:t>
      </w:r>
    </w:p>
    <w:p w:rsidR="00935157" w:rsidRDefault="00935157" w:rsidP="008904D2">
      <w:pPr>
        <w:pStyle w:val="Prrafodelista"/>
        <w:spacing w:before="120" w:after="120"/>
        <w:ind w:left="425"/>
        <w:contextualSpacing w:val="0"/>
        <w:jc w:val="both"/>
      </w:pPr>
    </w:p>
    <w:p w:rsidR="00865743" w:rsidRDefault="00B96426" w:rsidP="008904D2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  <w:r>
        <w:t xml:space="preserve">En la página 110 de la Memoria anual de 2020 del CGPJ se incluye un cuadro en el que se aportan datos estadísticos sobre las solicitudes de acceso a la información efectuadas al amparo de la Ley 19/2013 y recibidas por el CGPJ en 2019. </w:t>
      </w:r>
      <w:r w:rsidR="00292113">
        <w:t xml:space="preserve">En total se recibieron 182 solicitudes de acceso, lo que a priori no </w:t>
      </w:r>
      <w:r w:rsidR="00AB49AF">
        <w:t xml:space="preserve">cabe considerar </w:t>
      </w:r>
      <w:r w:rsidR="00292113">
        <w:t xml:space="preserve">un volumen importante de actividad. Por otra parte se informa sobre los resultados de las distintas fases del procedimiento: nº de solicitudes informadas, denegadas, inadmitidas, </w:t>
      </w:r>
      <w:r w:rsidR="00865743">
        <w:t xml:space="preserve">recurridas, entre otra información. </w:t>
      </w:r>
      <w:r w:rsidR="00FC1929">
        <w:t xml:space="preserve">Datos que </w:t>
      </w:r>
      <w:r w:rsidR="00AB49AF">
        <w:t xml:space="preserve">eran los que </w:t>
      </w:r>
      <w:r w:rsidR="00FC1929">
        <w:t>se solicitaban de manera individualizada en la solicitud presentada y finalmente inadmitida.</w:t>
      </w:r>
    </w:p>
    <w:p w:rsidR="00865743" w:rsidRDefault="00865743" w:rsidP="008904D2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</w:p>
    <w:p w:rsidR="00B96426" w:rsidRPr="004A5655" w:rsidRDefault="00865743" w:rsidP="008904D2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  <w:r>
        <w:t>Parece lógico pensar que esta información agregada se ha elaborado a partir de los datos individuales de cada una de las solicitudes, razón por la que</w:t>
      </w:r>
      <w:r w:rsidR="00AB49AF">
        <w:t>,</w:t>
      </w:r>
      <w:r>
        <w:t xml:space="preserve"> a juicio</w:t>
      </w:r>
      <w:r w:rsidR="00AB49AF">
        <w:t>,</w:t>
      </w:r>
      <w:r>
        <w:t xml:space="preserve"> de este Consejo no se incurre en los supuestos contemplados en el Criterio Interpretativo</w:t>
      </w:r>
      <w:r w:rsidR="005C3534">
        <w:t xml:space="preserve"> </w:t>
      </w:r>
      <w:r>
        <w:t xml:space="preserve">7/2015, que establece que concurre un supuesto de reelaboración cuando la información ha de elaborarse expresamente para dar una respuesta haciendo uso de diversas fuentes de información o cuando </w:t>
      </w:r>
      <w:r w:rsidR="00FC1929">
        <w:t>el</w:t>
      </w:r>
      <w:r>
        <w:t xml:space="preserve"> organismo o entidad carezca de los medios técnicos que sean necesarios para extraer y explotar la información concreta que se solicita, resultando imposible proporcionar la información solicitada.</w:t>
      </w:r>
      <w:r w:rsidR="00AB49AF" w:rsidRPr="00AB49AF">
        <w:rPr>
          <w:color w:val="FF0000"/>
        </w:rPr>
        <w:t xml:space="preserve"> </w:t>
      </w:r>
      <w:r w:rsidR="00AB49AF" w:rsidRPr="004A5655">
        <w:t>Ambas cuestiones fueron alegadas por el CGPJ.</w:t>
      </w:r>
    </w:p>
    <w:p w:rsidR="00FC1929" w:rsidRDefault="00FC1929" w:rsidP="008904D2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</w:p>
    <w:p w:rsidR="00FC1929" w:rsidRDefault="00FC1929" w:rsidP="008904D2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  <w:r>
        <w:t>Por esta razón este Consejo reitera los contenidos del citado criterio interpretativo e insiste en que la reelaboración supone un nuevo tratamiento de</w:t>
      </w:r>
      <w:bookmarkStart w:id="0" w:name="_GoBack"/>
      <w:bookmarkEnd w:id="0"/>
      <w:r>
        <w:t xml:space="preserve"> la información y no debe confundirse con otros supuestos, tales como el volumen o la complejidad de la información solicitada, la </w:t>
      </w:r>
      <w:r>
        <w:lastRenderedPageBreak/>
        <w:t>inclusión de datos personales susceptibles de acceso parcial o de anonimización o el acceso parcial de la información, supuestos estos contemplados en los artículos 20.1, 15.4 y 16 de la Ley 19/2013, que no suponen causas de inadmisión en sí mism</w:t>
      </w:r>
      <w:r w:rsidR="000731C9">
        <w:t>as</w:t>
      </w:r>
      <w:r>
        <w:t>.</w:t>
      </w:r>
    </w:p>
    <w:p w:rsidR="00B96426" w:rsidRDefault="00B96426" w:rsidP="008904D2">
      <w:pPr>
        <w:pStyle w:val="Prrafodelista"/>
        <w:spacing w:before="120" w:after="120"/>
        <w:ind w:left="425"/>
        <w:contextualSpacing w:val="0"/>
        <w:jc w:val="both"/>
      </w:pPr>
    </w:p>
    <w:p w:rsidR="00532640" w:rsidRPr="00215298" w:rsidRDefault="00532640" w:rsidP="008904D2">
      <w:pPr>
        <w:pStyle w:val="Prrafodelista"/>
        <w:spacing w:before="120" w:after="120"/>
        <w:ind w:left="425"/>
        <w:contextualSpacing w:val="0"/>
        <w:jc w:val="both"/>
      </w:pPr>
      <w:r w:rsidRPr="00215298">
        <w:t>La</w:t>
      </w:r>
      <w:r w:rsidR="00FC1929">
        <w:t>s resolucio</w:t>
      </w:r>
      <w:r w:rsidRPr="00215298">
        <w:t>n</w:t>
      </w:r>
      <w:r w:rsidR="00FC1929">
        <w:t>es</w:t>
      </w:r>
      <w:r w:rsidRPr="00215298">
        <w:t xml:space="preserve"> emitida</w:t>
      </w:r>
      <w:r w:rsidR="00FC1929">
        <w:t>s</w:t>
      </w:r>
      <w:r w:rsidRPr="00215298">
        <w:t xml:space="preserve"> por el </w:t>
      </w:r>
      <w:r w:rsidR="00FC1929">
        <w:t>CGPJ</w:t>
      </w:r>
      <w:r w:rsidRPr="00215298">
        <w:t xml:space="preserve"> está</w:t>
      </w:r>
      <w:r w:rsidR="00FC1929">
        <w:t>n</w:t>
      </w:r>
      <w:r w:rsidRPr="00215298">
        <w:t xml:space="preserve"> motivada</w:t>
      </w:r>
      <w:r w:rsidR="00FC1929">
        <w:t>s</w:t>
      </w:r>
      <w:r w:rsidRPr="00215298">
        <w:t xml:space="preserve"> y correctamente estructurada</w:t>
      </w:r>
      <w:r w:rsidR="00FC1929">
        <w:t>s</w:t>
      </w:r>
      <w:r w:rsidRPr="00215298">
        <w:t xml:space="preserve">, </w:t>
      </w:r>
      <w:r w:rsidR="00FC1929">
        <w:t>son</w:t>
      </w:r>
      <w:r w:rsidRPr="00215298">
        <w:t xml:space="preserve"> clara</w:t>
      </w:r>
      <w:r w:rsidR="00FC1929">
        <w:t>s</w:t>
      </w:r>
      <w:r w:rsidRPr="00215298">
        <w:t xml:space="preserve"> y comprensible</w:t>
      </w:r>
      <w:r w:rsidR="00FC1929">
        <w:t>s e</w:t>
      </w:r>
      <w:r w:rsidRPr="00215298">
        <w:t xml:space="preserve"> incluye</w:t>
      </w:r>
      <w:r w:rsidR="00FC1929">
        <w:t>n</w:t>
      </w:r>
      <w:r w:rsidRPr="00215298">
        <w:t xml:space="preserve"> pie de recurso</w:t>
      </w:r>
      <w:r w:rsidR="0076288A">
        <w:t>, informando de la posibilidad de una revisión ante el propio órgano</w:t>
      </w:r>
      <w:r w:rsidR="00180D87">
        <w:t>.</w:t>
      </w:r>
      <w:r w:rsidRPr="00215298">
        <w:t xml:space="preserve"> </w:t>
      </w:r>
    </w:p>
    <w:p w:rsidR="00532640" w:rsidRPr="007D3011" w:rsidRDefault="00532640" w:rsidP="008904D2">
      <w:pPr>
        <w:pStyle w:val="Prrafodelista"/>
        <w:tabs>
          <w:tab w:val="left" w:pos="426"/>
        </w:tabs>
        <w:spacing w:before="120" w:after="120"/>
        <w:ind w:left="426"/>
        <w:contextualSpacing w:val="0"/>
        <w:jc w:val="both"/>
      </w:pPr>
      <w:r w:rsidRPr="00215298">
        <w:t xml:space="preserve">La notificación se efectúa por </w:t>
      </w:r>
      <w:r w:rsidR="00FC1929">
        <w:t xml:space="preserve">correo electrónico, medio </w:t>
      </w:r>
      <w:r w:rsidRPr="00215298">
        <w:t>in</w:t>
      </w:r>
      <w:r w:rsidRPr="007D3011">
        <w:t>dicado por el solicitante.</w:t>
      </w:r>
    </w:p>
    <w:p w:rsidR="00B40246" w:rsidRDefault="00AB49AF" w:rsidP="0076288A">
      <w:pPr>
        <w:pStyle w:val="Prrafodelista"/>
        <w:tabs>
          <w:tab w:val="left" w:pos="426"/>
        </w:tabs>
        <w:spacing w:before="120" w:after="120"/>
        <w:ind w:left="426"/>
        <w:contextualSpacing w:val="0"/>
        <w:jc w:val="both"/>
      </w:pPr>
      <w:r w:rsidRPr="007D3011">
        <w:t>Se otorga la posibilidad de ser recurridas en vía administrativa.</w:t>
      </w:r>
    </w:p>
    <w:sectPr w:rsidR="00B40246" w:rsidSect="008904D2">
      <w:footerReference w:type="default" r:id="rId12"/>
      <w:pgSz w:w="11906" w:h="16838"/>
      <w:pgMar w:top="1135" w:right="720" w:bottom="18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F4" w:rsidRDefault="004F0BF4" w:rsidP="00932008">
      <w:pPr>
        <w:spacing w:after="0" w:line="240" w:lineRule="auto"/>
      </w:pPr>
      <w:r>
        <w:separator/>
      </w:r>
    </w:p>
  </w:endnote>
  <w:endnote w:type="continuationSeparator" w:id="0">
    <w:p w:rsidR="004F0BF4" w:rsidRDefault="004F0BF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047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0BF4" w:rsidRPr="008904D2" w:rsidRDefault="004F0BF4">
        <w:pPr>
          <w:pStyle w:val="Piedepgina"/>
          <w:jc w:val="right"/>
          <w:rPr>
            <w:sz w:val="18"/>
            <w:szCs w:val="18"/>
          </w:rPr>
        </w:pPr>
        <w:r w:rsidRPr="008904D2">
          <w:rPr>
            <w:sz w:val="18"/>
            <w:szCs w:val="18"/>
          </w:rPr>
          <w:fldChar w:fldCharType="begin"/>
        </w:r>
        <w:r w:rsidRPr="008904D2">
          <w:rPr>
            <w:sz w:val="18"/>
            <w:szCs w:val="18"/>
          </w:rPr>
          <w:instrText>PAGE   \* MERGEFORMAT</w:instrText>
        </w:r>
        <w:r w:rsidRPr="008904D2">
          <w:rPr>
            <w:sz w:val="18"/>
            <w:szCs w:val="18"/>
          </w:rPr>
          <w:fldChar w:fldCharType="separate"/>
        </w:r>
        <w:r w:rsidR="00C51667">
          <w:rPr>
            <w:noProof/>
            <w:sz w:val="18"/>
            <w:szCs w:val="18"/>
          </w:rPr>
          <w:t>8</w:t>
        </w:r>
        <w:r w:rsidRPr="008904D2">
          <w:rPr>
            <w:sz w:val="18"/>
            <w:szCs w:val="18"/>
          </w:rPr>
          <w:fldChar w:fldCharType="end"/>
        </w:r>
      </w:p>
    </w:sdtContent>
  </w:sdt>
  <w:p w:rsidR="004F0BF4" w:rsidRDefault="004F0B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F4" w:rsidRDefault="004F0BF4" w:rsidP="00932008">
      <w:pPr>
        <w:spacing w:after="0" w:line="240" w:lineRule="auto"/>
      </w:pPr>
      <w:r>
        <w:separator/>
      </w:r>
    </w:p>
  </w:footnote>
  <w:footnote w:type="continuationSeparator" w:id="0">
    <w:p w:rsidR="004F0BF4" w:rsidRDefault="004F0BF4" w:rsidP="00932008">
      <w:pPr>
        <w:spacing w:after="0" w:line="240" w:lineRule="auto"/>
      </w:pPr>
      <w:r>
        <w:continuationSeparator/>
      </w:r>
    </w:p>
  </w:footnote>
  <w:footnote w:id="1">
    <w:p w:rsidR="004F0BF4" w:rsidRDefault="004F0BF4">
      <w:pPr>
        <w:pStyle w:val="Textonotapie"/>
      </w:pPr>
      <w:r>
        <w:rPr>
          <w:rStyle w:val="Refdenotaalpie"/>
        </w:rPr>
        <w:footnoteRef/>
      </w:r>
      <w:r>
        <w:t xml:space="preserve"> Según la información aportada se admiten 138 solicitudes, 138 conceden la información y 2 deniegan el acceso.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25pt;height:11.25pt" o:bullet="t">
        <v:imagedata r:id="rId1" o:title="BD14529_"/>
      </v:shape>
    </w:pict>
  </w:numPicBullet>
  <w:numPicBullet w:numPicBulletId="1">
    <w:pict>
      <v:shape id="_x0000_i1127" type="#_x0000_t75" style="width:9pt;height:9pt" o:bullet="t">
        <v:imagedata r:id="rId2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67C53"/>
    <w:multiLevelType w:val="hybridMultilevel"/>
    <w:tmpl w:val="DA1E6A24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1BB51E8"/>
    <w:multiLevelType w:val="hybridMultilevel"/>
    <w:tmpl w:val="0914B1BC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83" w:hanging="360"/>
      </w:pPr>
    </w:lvl>
    <w:lvl w:ilvl="2" w:tplc="0C0A001B" w:tentative="1">
      <w:start w:val="1"/>
      <w:numFmt w:val="lowerRoman"/>
      <w:lvlText w:val="%3."/>
      <w:lvlJc w:val="right"/>
      <w:pPr>
        <w:ind w:left="5203" w:hanging="180"/>
      </w:pPr>
    </w:lvl>
    <w:lvl w:ilvl="3" w:tplc="0C0A000F" w:tentative="1">
      <w:start w:val="1"/>
      <w:numFmt w:val="decimal"/>
      <w:lvlText w:val="%4."/>
      <w:lvlJc w:val="left"/>
      <w:pPr>
        <w:ind w:left="5923" w:hanging="360"/>
      </w:pPr>
    </w:lvl>
    <w:lvl w:ilvl="4" w:tplc="0C0A0019" w:tentative="1">
      <w:start w:val="1"/>
      <w:numFmt w:val="lowerLetter"/>
      <w:lvlText w:val="%5."/>
      <w:lvlJc w:val="left"/>
      <w:pPr>
        <w:ind w:left="6643" w:hanging="360"/>
      </w:pPr>
    </w:lvl>
    <w:lvl w:ilvl="5" w:tplc="0C0A001B" w:tentative="1">
      <w:start w:val="1"/>
      <w:numFmt w:val="lowerRoman"/>
      <w:lvlText w:val="%6."/>
      <w:lvlJc w:val="right"/>
      <w:pPr>
        <w:ind w:left="7363" w:hanging="180"/>
      </w:pPr>
    </w:lvl>
    <w:lvl w:ilvl="6" w:tplc="0C0A000F" w:tentative="1">
      <w:start w:val="1"/>
      <w:numFmt w:val="decimal"/>
      <w:lvlText w:val="%7."/>
      <w:lvlJc w:val="left"/>
      <w:pPr>
        <w:ind w:left="8083" w:hanging="360"/>
      </w:pPr>
    </w:lvl>
    <w:lvl w:ilvl="7" w:tplc="0C0A0019" w:tentative="1">
      <w:start w:val="1"/>
      <w:numFmt w:val="lowerLetter"/>
      <w:lvlText w:val="%8."/>
      <w:lvlJc w:val="left"/>
      <w:pPr>
        <w:ind w:left="8803" w:hanging="360"/>
      </w:pPr>
    </w:lvl>
    <w:lvl w:ilvl="8" w:tplc="0C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4196"/>
    <w:rsid w:val="00055B15"/>
    <w:rsid w:val="000731C9"/>
    <w:rsid w:val="0008601A"/>
    <w:rsid w:val="000965B3"/>
    <w:rsid w:val="000C6CFF"/>
    <w:rsid w:val="00102733"/>
    <w:rsid w:val="0012783F"/>
    <w:rsid w:val="001561A4"/>
    <w:rsid w:val="00176A94"/>
    <w:rsid w:val="00180D87"/>
    <w:rsid w:val="001904AB"/>
    <w:rsid w:val="0019055E"/>
    <w:rsid w:val="00194000"/>
    <w:rsid w:val="001B7C0A"/>
    <w:rsid w:val="001F251B"/>
    <w:rsid w:val="00215298"/>
    <w:rsid w:val="00241D7A"/>
    <w:rsid w:val="00256215"/>
    <w:rsid w:val="0028369B"/>
    <w:rsid w:val="00292113"/>
    <w:rsid w:val="002A154B"/>
    <w:rsid w:val="002C760F"/>
    <w:rsid w:val="00303E08"/>
    <w:rsid w:val="00317839"/>
    <w:rsid w:val="00334115"/>
    <w:rsid w:val="003F271E"/>
    <w:rsid w:val="003F572A"/>
    <w:rsid w:val="003F6ECA"/>
    <w:rsid w:val="004038EF"/>
    <w:rsid w:val="004A123A"/>
    <w:rsid w:val="004A5655"/>
    <w:rsid w:val="004B4919"/>
    <w:rsid w:val="004B56AA"/>
    <w:rsid w:val="004D6E73"/>
    <w:rsid w:val="004E715F"/>
    <w:rsid w:val="004F0BF4"/>
    <w:rsid w:val="004F2655"/>
    <w:rsid w:val="00532640"/>
    <w:rsid w:val="005446A8"/>
    <w:rsid w:val="00561402"/>
    <w:rsid w:val="00565C09"/>
    <w:rsid w:val="0057532F"/>
    <w:rsid w:val="00595AAF"/>
    <w:rsid w:val="0059608D"/>
    <w:rsid w:val="005B1F0E"/>
    <w:rsid w:val="005B3C15"/>
    <w:rsid w:val="005B5C17"/>
    <w:rsid w:val="005C249B"/>
    <w:rsid w:val="005C3534"/>
    <w:rsid w:val="006A2766"/>
    <w:rsid w:val="006C23A5"/>
    <w:rsid w:val="00706E04"/>
    <w:rsid w:val="00707CFE"/>
    <w:rsid w:val="00710031"/>
    <w:rsid w:val="00725650"/>
    <w:rsid w:val="00727BA2"/>
    <w:rsid w:val="00743756"/>
    <w:rsid w:val="0076288A"/>
    <w:rsid w:val="007A3CE9"/>
    <w:rsid w:val="007B0F99"/>
    <w:rsid w:val="007D2C78"/>
    <w:rsid w:val="007D3011"/>
    <w:rsid w:val="007D3341"/>
    <w:rsid w:val="007D6B40"/>
    <w:rsid w:val="00815659"/>
    <w:rsid w:val="008207D9"/>
    <w:rsid w:val="00844FA9"/>
    <w:rsid w:val="00865743"/>
    <w:rsid w:val="008904D2"/>
    <w:rsid w:val="008C1E1E"/>
    <w:rsid w:val="00923092"/>
    <w:rsid w:val="009239D9"/>
    <w:rsid w:val="00932008"/>
    <w:rsid w:val="00935157"/>
    <w:rsid w:val="00945438"/>
    <w:rsid w:val="009609E9"/>
    <w:rsid w:val="00983919"/>
    <w:rsid w:val="009B722C"/>
    <w:rsid w:val="00A41DD5"/>
    <w:rsid w:val="00A667C2"/>
    <w:rsid w:val="00AB49AF"/>
    <w:rsid w:val="00AD67C1"/>
    <w:rsid w:val="00B34A88"/>
    <w:rsid w:val="00B40246"/>
    <w:rsid w:val="00B4610C"/>
    <w:rsid w:val="00B5583D"/>
    <w:rsid w:val="00B76379"/>
    <w:rsid w:val="00B8055E"/>
    <w:rsid w:val="00B812AB"/>
    <w:rsid w:val="00B841AE"/>
    <w:rsid w:val="00B96426"/>
    <w:rsid w:val="00BB6799"/>
    <w:rsid w:val="00BD4582"/>
    <w:rsid w:val="00BE6A46"/>
    <w:rsid w:val="00C33A23"/>
    <w:rsid w:val="00C34BB5"/>
    <w:rsid w:val="00C4479B"/>
    <w:rsid w:val="00C51667"/>
    <w:rsid w:val="00C5744D"/>
    <w:rsid w:val="00CB5511"/>
    <w:rsid w:val="00CC2049"/>
    <w:rsid w:val="00CC587B"/>
    <w:rsid w:val="00D21C27"/>
    <w:rsid w:val="00D445A7"/>
    <w:rsid w:val="00D52E43"/>
    <w:rsid w:val="00D632CE"/>
    <w:rsid w:val="00D96F84"/>
    <w:rsid w:val="00DB11AF"/>
    <w:rsid w:val="00DB6581"/>
    <w:rsid w:val="00DD1593"/>
    <w:rsid w:val="00DD3E02"/>
    <w:rsid w:val="00DE4AA9"/>
    <w:rsid w:val="00DF51C8"/>
    <w:rsid w:val="00DF63E7"/>
    <w:rsid w:val="00E3088D"/>
    <w:rsid w:val="00E34195"/>
    <w:rsid w:val="00E47613"/>
    <w:rsid w:val="00E53582"/>
    <w:rsid w:val="00E569FD"/>
    <w:rsid w:val="00EA1C8F"/>
    <w:rsid w:val="00EE5BDF"/>
    <w:rsid w:val="00EF7AE8"/>
    <w:rsid w:val="00F14DA4"/>
    <w:rsid w:val="00F32C67"/>
    <w:rsid w:val="00F47C3B"/>
    <w:rsid w:val="00F65D27"/>
    <w:rsid w:val="00F71D7D"/>
    <w:rsid w:val="00F7263F"/>
    <w:rsid w:val="00F8512A"/>
    <w:rsid w:val="00FC1929"/>
    <w:rsid w:val="00FD1F6C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32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2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2640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5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534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0441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32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2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2640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5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534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04419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3722A"/>
    <w:rsid w:val="0013771E"/>
    <w:rsid w:val="002C7AFA"/>
    <w:rsid w:val="002D5CA1"/>
    <w:rsid w:val="003D088C"/>
    <w:rsid w:val="008F5B74"/>
    <w:rsid w:val="00B6551F"/>
    <w:rsid w:val="00B851EB"/>
    <w:rsid w:val="00C26568"/>
    <w:rsid w:val="00CC40F7"/>
    <w:rsid w:val="00D109A6"/>
    <w:rsid w:val="00D35513"/>
    <w:rsid w:val="00DA2D93"/>
    <w:rsid w:val="00E147F2"/>
    <w:rsid w:val="00E16D50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24BD9-19C4-464B-964B-5DD8F986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554</TotalTime>
  <Pages>8</Pages>
  <Words>2361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39</cp:revision>
  <cp:lastPrinted>2007-10-26T09:03:00Z</cp:lastPrinted>
  <dcterms:created xsi:type="dcterms:W3CDTF">2021-02-11T10:57:00Z</dcterms:created>
  <dcterms:modified xsi:type="dcterms:W3CDTF">2021-04-28T08:54:00Z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