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53AD8"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524C6E0F" wp14:editId="59272970">
                <wp:simplePos x="0" y="0"/>
                <wp:positionH relativeFrom="column">
                  <wp:posOffset>276225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1D7CE7" w:rsidRPr="00006957" w:rsidRDefault="001D7CE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1.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" filled="f" stroked="f">
                <v:textbox inset=",7.2pt,,7.2pt">
                  <w:txbxContent>
                    <w:sdt>
                      <w:sdtPr>
                        <w:rPr>
                          <w:rFonts w:ascii="Century Gothic" w:hAnsi="Century Gothic"/>
                          <w:sz w:val="50"/>
                          <w:szCs w:val="50"/>
                        </w:rPr>
                        <w:id w:val="228783080"/>
                      </w:sdtPr>
                      <w:sdtContent>
                        <w:p w:rsidR="00A53AD8" w:rsidRPr="00006957" w:rsidRDefault="00A53A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D7CE7" w:rsidRDefault="001D7CE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3AD8" w:rsidRDefault="00A53AD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ED3BA6" w:rsidRPr="00CB5511" w:rsidTr="00ED3BA6">
        <w:tc>
          <w:tcPr>
            <w:tcW w:w="3652" w:type="dxa"/>
          </w:tcPr>
          <w:p w:rsidR="00ED3BA6" w:rsidRPr="00E34195" w:rsidRDefault="00ED3BA6" w:rsidP="00ED3BA6">
            <w:pPr>
              <w:rPr>
                <w:b/>
                <w:color w:val="00642D"/>
                <w:sz w:val="24"/>
                <w:szCs w:val="24"/>
              </w:rPr>
            </w:pPr>
            <w:r w:rsidRPr="00E34195">
              <w:rPr>
                <w:b/>
                <w:color w:val="00642D"/>
                <w:sz w:val="24"/>
                <w:szCs w:val="24"/>
              </w:rPr>
              <w:t>Entidad evaluada</w:t>
            </w:r>
          </w:p>
        </w:tc>
        <w:tc>
          <w:tcPr>
            <w:tcW w:w="6954" w:type="dxa"/>
          </w:tcPr>
          <w:p w:rsidR="00ED3BA6" w:rsidRPr="00CB5511" w:rsidRDefault="00ED3BA6" w:rsidP="00ED3BA6">
            <w:pPr>
              <w:rPr>
                <w:sz w:val="24"/>
                <w:szCs w:val="24"/>
              </w:rPr>
            </w:pPr>
            <w:r>
              <w:rPr>
                <w:sz w:val="24"/>
                <w:szCs w:val="24"/>
              </w:rPr>
              <w:t>Casa Real</w:t>
            </w:r>
          </w:p>
        </w:tc>
      </w:tr>
      <w:tr w:rsidR="00ED3BA6" w:rsidRPr="00CB5511" w:rsidTr="00ED3BA6">
        <w:tc>
          <w:tcPr>
            <w:tcW w:w="3652" w:type="dxa"/>
          </w:tcPr>
          <w:p w:rsidR="00ED3BA6" w:rsidRPr="00E34195" w:rsidRDefault="00ED3BA6" w:rsidP="00ED3BA6">
            <w:pPr>
              <w:rPr>
                <w:b/>
                <w:color w:val="00642D"/>
                <w:sz w:val="24"/>
                <w:szCs w:val="24"/>
              </w:rPr>
            </w:pPr>
            <w:r w:rsidRPr="00E34195">
              <w:rPr>
                <w:b/>
                <w:color w:val="00642D"/>
                <w:sz w:val="24"/>
                <w:szCs w:val="24"/>
              </w:rPr>
              <w:t>Fecha de la evaluación</w:t>
            </w:r>
          </w:p>
        </w:tc>
        <w:tc>
          <w:tcPr>
            <w:tcW w:w="6954" w:type="dxa"/>
          </w:tcPr>
          <w:p w:rsidR="00ED3BA6" w:rsidRPr="00CB5511" w:rsidRDefault="00ED3BA6" w:rsidP="00ED3BA6">
            <w:pPr>
              <w:rPr>
                <w:sz w:val="24"/>
                <w:szCs w:val="24"/>
              </w:rPr>
            </w:pPr>
            <w:r>
              <w:rPr>
                <w:sz w:val="24"/>
                <w:szCs w:val="24"/>
              </w:rPr>
              <w:t>12/02/2021</w:t>
            </w:r>
          </w:p>
        </w:tc>
      </w:tr>
    </w:tbl>
    <w:p w:rsidR="00ED3BA6" w:rsidRDefault="00ED3BA6"/>
    <w:p w:rsidR="00ED3BA6" w:rsidRDefault="00ED3BA6"/>
    <w:p w:rsidR="00561402" w:rsidRPr="0012783F" w:rsidRDefault="00D60EAC">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2783F" w:rsidRDefault="00ED3BA6" w:rsidP="0012783F">
      <w:pPr>
        <w:pStyle w:val="Cuerpodelboletn"/>
        <w:spacing w:before="120" w:after="120" w:line="312" w:lineRule="auto"/>
        <w:ind w:left="360"/>
        <w:rPr>
          <w:rStyle w:val="Ttulo2Car"/>
          <w:b w:val="0"/>
          <w:color w:val="auto"/>
          <w:sz w:val="22"/>
          <w:szCs w:val="22"/>
          <w:lang w:bidi="es-ES"/>
        </w:rPr>
      </w:pPr>
      <w:r w:rsidRPr="00ED3BA6">
        <w:rPr>
          <w:rStyle w:val="Ttulo2Car"/>
          <w:b w:val="0"/>
          <w:color w:val="auto"/>
          <w:sz w:val="22"/>
          <w:szCs w:val="22"/>
          <w:lang w:bidi="es-ES"/>
        </w:rPr>
        <w:t>La gestión de las solicitudes de acceso a in</w:t>
      </w:r>
      <w:r>
        <w:rPr>
          <w:rStyle w:val="Ttulo2Car"/>
          <w:b w:val="0"/>
          <w:color w:val="auto"/>
          <w:sz w:val="22"/>
          <w:szCs w:val="22"/>
          <w:lang w:bidi="es-ES"/>
        </w:rPr>
        <w:t>formación pública de</w:t>
      </w:r>
      <w:r w:rsidR="00C22C27">
        <w:rPr>
          <w:rStyle w:val="Ttulo2Car"/>
          <w:b w:val="0"/>
          <w:color w:val="auto"/>
          <w:sz w:val="22"/>
          <w:szCs w:val="22"/>
          <w:lang w:bidi="es-ES"/>
        </w:rPr>
        <w:t xml:space="preserve"> </w:t>
      </w:r>
      <w:r>
        <w:rPr>
          <w:rStyle w:val="Ttulo2Car"/>
          <w:b w:val="0"/>
          <w:color w:val="auto"/>
          <w:sz w:val="22"/>
          <w:szCs w:val="22"/>
          <w:lang w:bidi="es-ES"/>
        </w:rPr>
        <w:t xml:space="preserve">la Casa Real se realiza </w:t>
      </w:r>
      <w:r w:rsidR="00977D82">
        <w:rPr>
          <w:rStyle w:val="Ttulo2Car"/>
          <w:b w:val="0"/>
          <w:color w:val="auto"/>
          <w:sz w:val="22"/>
          <w:szCs w:val="22"/>
          <w:lang w:bidi="es-ES"/>
        </w:rPr>
        <w:t>a través de</w:t>
      </w:r>
      <w:r>
        <w:rPr>
          <w:rStyle w:val="Ttulo2Car"/>
          <w:b w:val="0"/>
          <w:color w:val="auto"/>
          <w:sz w:val="22"/>
          <w:szCs w:val="22"/>
          <w:lang w:bidi="es-ES"/>
        </w:rPr>
        <w:t xml:space="preserve"> la Secretaría General de la Presidencia del Gobierno</w:t>
      </w:r>
      <w:r w:rsidR="00977D82">
        <w:rPr>
          <w:rStyle w:val="Ttulo2Car"/>
          <w:b w:val="0"/>
          <w:color w:val="auto"/>
          <w:sz w:val="22"/>
          <w:szCs w:val="22"/>
          <w:lang w:bidi="es-ES"/>
        </w:rPr>
        <w:t>.</w:t>
      </w:r>
    </w:p>
    <w:p w:rsidR="00C22C27" w:rsidRPr="00ED3BA6" w:rsidRDefault="00C22C27" w:rsidP="0012783F">
      <w:pPr>
        <w:pStyle w:val="Cuerpodelboletn"/>
        <w:spacing w:before="120" w:after="120" w:line="312" w:lineRule="auto"/>
        <w:ind w:left="360"/>
        <w:rPr>
          <w:rStyle w:val="Ttulo2Car"/>
          <w:b w:val="0"/>
          <w:color w:val="00642D"/>
          <w:sz w:val="22"/>
          <w:szCs w:val="22"/>
          <w:lang w:bidi="es-ES"/>
        </w:rPr>
      </w:pPr>
    </w:p>
    <w:p w:rsidR="00B812AB" w:rsidRPr="0012783F" w:rsidRDefault="00D60EAC"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 xml:space="preserve">Actividad generada en 2020 por las solicitudes de acceso a información pública  </w:t>
          </w:r>
        </w:sdtContent>
      </w:sdt>
    </w:p>
    <w:p w:rsidR="00A53AD8" w:rsidRDefault="00A53AD8"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E87CF4" w:rsidRDefault="00E87CF4" w:rsidP="00E87CF4">
      <w:pPr>
        <w:ind w:left="426"/>
        <w:jc w:val="both"/>
      </w:pPr>
      <w:r>
        <w:t xml:space="preserve">En 2020, la Secretaría General de la Presidencia recibió 146 solicitudes de información pública correspondientes a la Casa Real, a las  que hay que añadir 4 que quedaron pendientes a finales de 2019. De estas 150 solicitudes se tramitaron </w:t>
      </w:r>
      <w:r w:rsidRPr="003C0F94">
        <w:t>1</w:t>
      </w:r>
      <w:r>
        <w:t>29 a lo largo de 2020, quedando pendientes a 31de diciembre de ese año 21 solicitudes.</w:t>
      </w:r>
    </w:p>
    <w:p w:rsidR="00E87CF4" w:rsidRDefault="00E87CF4" w:rsidP="00E87CF4">
      <w:pPr>
        <w:ind w:left="426"/>
        <w:jc w:val="both"/>
      </w:pPr>
      <w:r>
        <w:t>De estas 129 solicitudes tramitadas, 74</w:t>
      </w:r>
      <w:r>
        <w:rPr>
          <w:rStyle w:val="Refdenotaalpie"/>
        </w:rPr>
        <w:footnoteReference w:id="1"/>
      </w:r>
      <w:r>
        <w:t xml:space="preserve"> fueron admitidas, quedando inadmitidas 33</w:t>
      </w:r>
      <w:r>
        <w:rPr>
          <w:rStyle w:val="Refdenotaalpie"/>
        </w:rPr>
        <w:footnoteReference w:id="2"/>
      </w:r>
      <w:r>
        <w:t xml:space="preserve">, de las cuales 24 lo fueron se consideró la solicitud abusiva o repetitiva. Un 26,3% de las solicitudes </w:t>
      </w:r>
      <w:r>
        <w:lastRenderedPageBreak/>
        <w:t xml:space="preserve">inadmitidas se clasifican en la categoría ”Otras causas de inadmisión”. </w:t>
      </w:r>
      <w:r w:rsidR="0098135C">
        <w:t>Finalmente</w:t>
      </w:r>
      <w:r w:rsidR="00A53AD8">
        <w:t>, 17</w:t>
      </w:r>
      <w:r w:rsidR="0098135C">
        <w:t xml:space="preserve"> solicitudes fueron archivadas.</w:t>
      </w:r>
    </w:p>
    <w:p w:rsidR="00E87CF4" w:rsidRPr="00985C93" w:rsidRDefault="00E87CF4" w:rsidP="00E87CF4">
      <w:pPr>
        <w:pStyle w:val="Epgrafe"/>
        <w:keepNext/>
        <w:ind w:left="426"/>
        <w:rPr>
          <w:rStyle w:val="Ttulo2Car"/>
          <w:b/>
          <w:color w:val="00642D"/>
          <w:sz w:val="22"/>
          <w:szCs w:val="22"/>
          <w:lang w:bidi="es-ES"/>
        </w:rPr>
      </w:pPr>
      <w:r w:rsidRPr="00985C93">
        <w:rPr>
          <w:rStyle w:val="Ttulo2Car"/>
          <w:b/>
          <w:color w:val="00642D"/>
          <w:sz w:val="22"/>
          <w:szCs w:val="22"/>
          <w:lang w:bidi="es-ES"/>
        </w:rPr>
        <w:t xml:space="preserve">Gráfico </w:t>
      </w:r>
      <w:r w:rsidRPr="00985C93">
        <w:rPr>
          <w:rStyle w:val="Ttulo2Car"/>
          <w:b/>
          <w:color w:val="00642D"/>
          <w:sz w:val="22"/>
          <w:szCs w:val="22"/>
          <w:lang w:bidi="es-ES"/>
        </w:rPr>
        <w:fldChar w:fldCharType="begin"/>
      </w:r>
      <w:r w:rsidRPr="00985C93">
        <w:rPr>
          <w:rStyle w:val="Ttulo2Car"/>
          <w:b/>
          <w:color w:val="00642D"/>
          <w:sz w:val="22"/>
          <w:szCs w:val="22"/>
          <w:lang w:bidi="es-ES"/>
        </w:rPr>
        <w:instrText xml:space="preserve"> SEQ Gráfico \* ARABIC </w:instrText>
      </w:r>
      <w:r w:rsidRPr="00985C93">
        <w:rPr>
          <w:rStyle w:val="Ttulo2Car"/>
          <w:b/>
          <w:color w:val="00642D"/>
          <w:sz w:val="22"/>
          <w:szCs w:val="22"/>
          <w:lang w:bidi="es-ES"/>
        </w:rPr>
        <w:fldChar w:fldCharType="separate"/>
      </w:r>
      <w:r w:rsidRPr="00985C93">
        <w:rPr>
          <w:rStyle w:val="Ttulo2Car"/>
          <w:b/>
          <w:color w:val="00642D"/>
          <w:sz w:val="22"/>
          <w:szCs w:val="22"/>
          <w:lang w:bidi="es-ES"/>
        </w:rPr>
        <w:t>1</w:t>
      </w:r>
      <w:r w:rsidRPr="00985C93">
        <w:rPr>
          <w:rStyle w:val="Ttulo2Car"/>
          <w:b/>
          <w:color w:val="00642D"/>
          <w:sz w:val="22"/>
          <w:szCs w:val="22"/>
          <w:lang w:bidi="es-ES"/>
        </w:rPr>
        <w:fldChar w:fldCharType="end"/>
      </w:r>
      <w:r w:rsidRPr="00985C93">
        <w:rPr>
          <w:rStyle w:val="Ttulo2Car"/>
          <w:b/>
          <w:color w:val="00642D"/>
          <w:sz w:val="22"/>
          <w:szCs w:val="22"/>
          <w:lang w:bidi="es-ES"/>
        </w:rPr>
        <w:t>: Distribución de las solicitudes inadmitidas según causa de inadmisión</w:t>
      </w:r>
    </w:p>
    <w:p w:rsidR="00E87CF4" w:rsidRDefault="0098135C" w:rsidP="00E87CF4">
      <w:pPr>
        <w:ind w:left="284"/>
      </w:pPr>
      <w:r>
        <w:rPr>
          <w:noProof/>
        </w:rPr>
        <w:drawing>
          <wp:inline distT="0" distB="0" distL="0" distR="0" wp14:anchorId="2CC24C7C" wp14:editId="6780FBB3">
            <wp:extent cx="5648325" cy="27432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7CF4" w:rsidRDefault="00E87CF4" w:rsidP="00E87CF4">
      <w:pPr>
        <w:pStyle w:val="Ttulo4"/>
        <w:rPr>
          <w:rFonts w:ascii="Century Gothic" w:hAnsi="Century Gothic"/>
          <w:b w:val="0"/>
          <w:bCs w:val="0"/>
          <w:sz w:val="20"/>
          <w:szCs w:val="20"/>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2020</w:t>
      </w:r>
    </w:p>
    <w:p w:rsidR="0098135C" w:rsidRDefault="0098135C" w:rsidP="0098135C">
      <w:pPr>
        <w:ind w:left="426"/>
        <w:jc w:val="both"/>
        <w:rPr>
          <w:rStyle w:val="Ttulo2Car"/>
          <w:b w:val="0"/>
          <w:color w:val="auto"/>
          <w:sz w:val="22"/>
          <w:szCs w:val="22"/>
          <w:lang w:bidi="es-ES"/>
        </w:rPr>
      </w:pPr>
      <w:r>
        <w:rPr>
          <w:rStyle w:val="Ttulo2Car"/>
          <w:b w:val="0"/>
          <w:color w:val="auto"/>
          <w:sz w:val="22"/>
          <w:szCs w:val="22"/>
          <w:lang w:bidi="es-ES"/>
        </w:rPr>
        <w:t>En 2020 se tramit</w:t>
      </w:r>
      <w:r w:rsidR="00977D82">
        <w:rPr>
          <w:rStyle w:val="Ttulo2Car"/>
          <w:b w:val="0"/>
          <w:color w:val="auto"/>
          <w:sz w:val="22"/>
          <w:szCs w:val="22"/>
          <w:lang w:bidi="es-ES"/>
        </w:rPr>
        <w:t>aron</w:t>
      </w:r>
      <w:r>
        <w:rPr>
          <w:rStyle w:val="Ttulo2Car"/>
          <w:b w:val="0"/>
          <w:color w:val="auto"/>
          <w:sz w:val="22"/>
          <w:szCs w:val="22"/>
          <w:lang w:bidi="es-ES"/>
        </w:rPr>
        <w:t xml:space="preserve"> el 86% de las solicitudes, tanto entradas en el año como pendientes a finales de 2019. Sin embargo, ha aumentado el número de solicitudes pendientes a final de año – han pasado de 4 a 21 – situándose la tasa de pendencia en 16,28. </w:t>
      </w:r>
    </w:p>
    <w:p w:rsidR="0098135C" w:rsidRDefault="0098135C" w:rsidP="0098135C">
      <w:pPr>
        <w:ind w:left="426"/>
        <w:jc w:val="both"/>
        <w:rPr>
          <w:rStyle w:val="Ttulo2Car"/>
          <w:b w:val="0"/>
          <w:color w:val="auto"/>
          <w:sz w:val="22"/>
          <w:szCs w:val="22"/>
          <w:lang w:bidi="es-ES"/>
        </w:rPr>
      </w:pPr>
      <w:r>
        <w:rPr>
          <w:rStyle w:val="Ttulo2Car"/>
          <w:b w:val="0"/>
          <w:color w:val="auto"/>
          <w:sz w:val="22"/>
          <w:szCs w:val="22"/>
          <w:lang w:bidi="es-ES"/>
        </w:rPr>
        <w:t>El tiempo medio estimado para la tramitación de las solicitudes pendientes es de 59,42 días naturales.</w:t>
      </w:r>
    </w:p>
    <w:p w:rsidR="0098135C" w:rsidRPr="00647481" w:rsidRDefault="0098135C" w:rsidP="0098135C">
      <w:pPr>
        <w:ind w:left="426"/>
        <w:jc w:val="both"/>
        <w:rPr>
          <w:rStyle w:val="Ttulo2Car"/>
          <w:b w:val="0"/>
          <w:color w:val="auto"/>
          <w:sz w:val="22"/>
          <w:szCs w:val="22"/>
          <w:lang w:bidi="es-ES"/>
        </w:rPr>
      </w:pPr>
      <w:r>
        <w:rPr>
          <w:rStyle w:val="Ttulo2Car"/>
          <w:b w:val="0"/>
          <w:color w:val="auto"/>
          <w:sz w:val="22"/>
          <w:szCs w:val="22"/>
          <w:lang w:bidi="es-ES"/>
        </w:rPr>
        <w:t xml:space="preserve">La Secretaría General de la Presidencia inadmite una cuarta parte de las solicitudes de información </w:t>
      </w:r>
      <w:r w:rsidR="00977D82">
        <w:rPr>
          <w:rStyle w:val="Ttulo2Car"/>
          <w:b w:val="0"/>
          <w:color w:val="auto"/>
          <w:sz w:val="22"/>
          <w:szCs w:val="22"/>
          <w:lang w:bidi="es-ES"/>
        </w:rPr>
        <w:t>dirigidas a la</w:t>
      </w:r>
      <w:r>
        <w:rPr>
          <w:rStyle w:val="Ttulo2Car"/>
          <w:b w:val="0"/>
          <w:color w:val="auto"/>
          <w:sz w:val="22"/>
          <w:szCs w:val="22"/>
          <w:lang w:bidi="es-ES"/>
        </w:rPr>
        <w:t xml:space="preserve"> Casa Real. Por otra parte, la tasa de archivo se sitúa en 13,18.</w:t>
      </w:r>
    </w:p>
    <w:p w:rsidR="0098135C" w:rsidRPr="00647481" w:rsidRDefault="0098135C" w:rsidP="0098135C">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DD3E02" w:rsidRPr="00263EE3" w:rsidTr="0098135C">
        <w:tc>
          <w:tcPr>
            <w:tcW w:w="1299" w:type="dxa"/>
            <w:vMerge w:val="restart"/>
            <w:tcBorders>
              <w:top w:val="nil"/>
              <w:right w:val="nil"/>
            </w:tcBorders>
            <w:shd w:val="clear" w:color="auto" w:fill="4D7F52"/>
            <w:textDirection w:val="btLr"/>
          </w:tcPr>
          <w:p w:rsidR="00DD3E02" w:rsidRPr="00263EE3" w:rsidRDefault="00DD3E02" w:rsidP="00983919">
            <w:pPr>
              <w:ind w:left="113" w:right="113"/>
              <w:jc w:val="center"/>
              <w:rPr>
                <w:b/>
                <w:color w:val="FFFFFF" w:themeColor="background1"/>
                <w:sz w:val="20"/>
                <w:szCs w:val="20"/>
              </w:rPr>
            </w:pPr>
            <w:r w:rsidRPr="00263EE3">
              <w:rPr>
                <w:b/>
                <w:color w:val="FFFFFF" w:themeColor="background1"/>
                <w:sz w:val="20"/>
                <w:szCs w:val="20"/>
              </w:rPr>
              <w:t>Indicadores de tramitación</w:t>
            </w:r>
          </w:p>
        </w:tc>
        <w:tc>
          <w:tcPr>
            <w:tcW w:w="6322" w:type="dxa"/>
            <w:tcBorders>
              <w:left w:val="nil"/>
            </w:tcBorders>
          </w:tcPr>
          <w:p w:rsidR="00DD3E02" w:rsidRPr="00263EE3" w:rsidRDefault="00DD3E02" w:rsidP="00055B15">
            <w:pPr>
              <w:rPr>
                <w:sz w:val="20"/>
                <w:szCs w:val="20"/>
              </w:rPr>
            </w:pPr>
            <w:r w:rsidRPr="00263EE3">
              <w:rPr>
                <w:sz w:val="20"/>
                <w:szCs w:val="20"/>
              </w:rPr>
              <w:t>Solicitudes/persona UIT</w:t>
            </w:r>
          </w:p>
        </w:tc>
        <w:tc>
          <w:tcPr>
            <w:tcW w:w="1559" w:type="dxa"/>
            <w:vAlign w:val="center"/>
          </w:tcPr>
          <w:p w:rsidR="00DD3E02" w:rsidRPr="00263EE3" w:rsidRDefault="00DD3E02" w:rsidP="00983919">
            <w:pPr>
              <w:jc w:val="center"/>
              <w:rPr>
                <w:color w:val="00642D"/>
                <w:sz w:val="20"/>
                <w:szCs w:val="20"/>
              </w:rPr>
            </w:pPr>
          </w:p>
        </w:tc>
      </w:tr>
      <w:tr w:rsidR="00DD3E02" w:rsidRPr="00263EE3" w:rsidTr="0098135C">
        <w:tc>
          <w:tcPr>
            <w:tcW w:w="1299" w:type="dxa"/>
            <w:vMerge/>
            <w:tcBorders>
              <w:top w:val="nil"/>
              <w:right w:val="nil"/>
            </w:tcBorders>
            <w:shd w:val="clear" w:color="auto" w:fill="4D7F52"/>
            <w:textDirection w:val="btLr"/>
          </w:tcPr>
          <w:p w:rsidR="00DD3E02" w:rsidRPr="00263EE3" w:rsidRDefault="00DD3E02" w:rsidP="00983919">
            <w:pPr>
              <w:ind w:left="113" w:right="113"/>
              <w:jc w:val="center"/>
              <w:rPr>
                <w:b/>
                <w:color w:val="FFFFFF" w:themeColor="background1"/>
                <w:sz w:val="20"/>
                <w:szCs w:val="20"/>
              </w:rPr>
            </w:pPr>
          </w:p>
        </w:tc>
        <w:tc>
          <w:tcPr>
            <w:tcW w:w="6322" w:type="dxa"/>
            <w:tcBorders>
              <w:left w:val="nil"/>
            </w:tcBorders>
          </w:tcPr>
          <w:p w:rsidR="00DD3E02" w:rsidRPr="00263EE3" w:rsidRDefault="00DD3E02" w:rsidP="00055B15">
            <w:pPr>
              <w:rPr>
                <w:sz w:val="20"/>
                <w:szCs w:val="20"/>
              </w:rPr>
            </w:pPr>
            <w:r w:rsidRPr="00263EE3">
              <w:rPr>
                <w:sz w:val="20"/>
                <w:szCs w:val="20"/>
              </w:rPr>
              <w:t>Solicitudes tramitadas/</w:t>
            </w:r>
            <w:r w:rsidR="00055B15" w:rsidRPr="00263EE3">
              <w:rPr>
                <w:sz w:val="20"/>
                <w:szCs w:val="20"/>
              </w:rPr>
              <w:t>persona UIT</w:t>
            </w:r>
          </w:p>
        </w:tc>
        <w:tc>
          <w:tcPr>
            <w:tcW w:w="1559" w:type="dxa"/>
            <w:vAlign w:val="center"/>
          </w:tcPr>
          <w:p w:rsidR="00DD3E02" w:rsidRPr="00263EE3" w:rsidRDefault="00DD3E02" w:rsidP="00983919">
            <w:pPr>
              <w:jc w:val="center"/>
              <w:rPr>
                <w:color w:val="00642D"/>
                <w:sz w:val="20"/>
                <w:szCs w:val="20"/>
              </w:rPr>
            </w:pP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983919">
            <w:pPr>
              <w:rPr>
                <w:sz w:val="20"/>
                <w:szCs w:val="20"/>
              </w:rPr>
            </w:pPr>
            <w:r w:rsidRPr="00263EE3">
              <w:rPr>
                <w:sz w:val="20"/>
                <w:szCs w:val="20"/>
              </w:rPr>
              <w:t>Tasa de Tramitación (tramitadas/(pendientes a 31/12/2019 + recibidas 2020))</w:t>
            </w:r>
          </w:p>
        </w:tc>
        <w:tc>
          <w:tcPr>
            <w:tcW w:w="1559" w:type="dxa"/>
          </w:tcPr>
          <w:p w:rsidR="0098135C" w:rsidRPr="00263EE3" w:rsidRDefault="0098135C" w:rsidP="0098135C">
            <w:pPr>
              <w:jc w:val="center"/>
              <w:rPr>
                <w:sz w:val="20"/>
                <w:szCs w:val="20"/>
              </w:rPr>
            </w:pPr>
            <w:r w:rsidRPr="00263EE3">
              <w:rPr>
                <w:sz w:val="20"/>
                <w:szCs w:val="20"/>
              </w:rPr>
              <w:t>86,00</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983919">
            <w:pPr>
              <w:rPr>
                <w:sz w:val="20"/>
                <w:szCs w:val="20"/>
              </w:rPr>
            </w:pPr>
            <w:r w:rsidRPr="00263EE3">
              <w:rPr>
                <w:sz w:val="20"/>
                <w:szCs w:val="20"/>
              </w:rPr>
              <w:t>Tasa de pendencia (pendientes a 31/12/2020 / tramitadas)</w:t>
            </w:r>
          </w:p>
        </w:tc>
        <w:tc>
          <w:tcPr>
            <w:tcW w:w="1559" w:type="dxa"/>
          </w:tcPr>
          <w:p w:rsidR="0098135C" w:rsidRPr="00263EE3" w:rsidRDefault="0098135C" w:rsidP="0098135C">
            <w:pPr>
              <w:jc w:val="center"/>
              <w:rPr>
                <w:sz w:val="20"/>
                <w:szCs w:val="20"/>
              </w:rPr>
            </w:pPr>
            <w:r w:rsidRPr="00263EE3">
              <w:rPr>
                <w:sz w:val="20"/>
                <w:szCs w:val="20"/>
              </w:rPr>
              <w:t>16,28</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1F251B">
            <w:pPr>
              <w:rPr>
                <w:sz w:val="20"/>
                <w:szCs w:val="20"/>
              </w:rPr>
            </w:pPr>
            <w:r w:rsidRPr="00263EE3">
              <w:rPr>
                <w:sz w:val="20"/>
                <w:szCs w:val="20"/>
              </w:rPr>
              <w:t>Tasa de resolución en la tramitación (tramitadas/entradas en 2020)</w:t>
            </w:r>
          </w:p>
        </w:tc>
        <w:tc>
          <w:tcPr>
            <w:tcW w:w="1559" w:type="dxa"/>
          </w:tcPr>
          <w:p w:rsidR="0098135C" w:rsidRPr="00263EE3" w:rsidRDefault="0098135C" w:rsidP="0098135C">
            <w:pPr>
              <w:jc w:val="center"/>
              <w:rPr>
                <w:sz w:val="20"/>
                <w:szCs w:val="20"/>
              </w:rPr>
            </w:pPr>
            <w:r w:rsidRPr="00263EE3">
              <w:rPr>
                <w:sz w:val="20"/>
                <w:szCs w:val="20"/>
              </w:rPr>
              <w:t>88,36</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983919">
            <w:pPr>
              <w:rPr>
                <w:sz w:val="20"/>
                <w:szCs w:val="20"/>
              </w:rPr>
            </w:pPr>
            <w:r w:rsidRPr="00263EE3">
              <w:rPr>
                <w:sz w:val="20"/>
                <w:szCs w:val="20"/>
              </w:rPr>
              <w:t>Tasa de congestión ((pendientes a 31/12/2019 + entradas 2020) / tramitadas</w:t>
            </w:r>
          </w:p>
        </w:tc>
        <w:tc>
          <w:tcPr>
            <w:tcW w:w="1559" w:type="dxa"/>
          </w:tcPr>
          <w:p w:rsidR="0098135C" w:rsidRPr="00263EE3" w:rsidRDefault="0098135C" w:rsidP="0098135C">
            <w:pPr>
              <w:jc w:val="center"/>
              <w:rPr>
                <w:sz w:val="20"/>
                <w:szCs w:val="20"/>
              </w:rPr>
            </w:pPr>
            <w:r w:rsidRPr="00263EE3">
              <w:rPr>
                <w:sz w:val="20"/>
                <w:szCs w:val="20"/>
              </w:rPr>
              <w:t>116,28</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5B3C15">
            <w:pPr>
              <w:rPr>
                <w:sz w:val="20"/>
                <w:szCs w:val="20"/>
              </w:rPr>
            </w:pPr>
            <w:r w:rsidRPr="00263EE3">
              <w:rPr>
                <w:sz w:val="20"/>
                <w:szCs w:val="20"/>
              </w:rPr>
              <w:t xml:space="preserve">Tiempo medio estimado para la tramitación de las solicitudes pendientes ((pendientes a 31/12/2020 / tramitadas)*365 </w:t>
            </w:r>
          </w:p>
        </w:tc>
        <w:tc>
          <w:tcPr>
            <w:tcW w:w="1559" w:type="dxa"/>
          </w:tcPr>
          <w:p w:rsidR="0098135C" w:rsidRPr="00263EE3" w:rsidRDefault="0098135C" w:rsidP="0098135C">
            <w:pPr>
              <w:jc w:val="center"/>
              <w:rPr>
                <w:sz w:val="20"/>
                <w:szCs w:val="20"/>
              </w:rPr>
            </w:pPr>
            <w:r w:rsidRPr="00263EE3">
              <w:rPr>
                <w:sz w:val="20"/>
                <w:szCs w:val="20"/>
              </w:rPr>
              <w:t>59,42</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983919">
            <w:pPr>
              <w:rPr>
                <w:sz w:val="20"/>
                <w:szCs w:val="20"/>
              </w:rPr>
            </w:pPr>
            <w:r w:rsidRPr="00263EE3">
              <w:rPr>
                <w:sz w:val="20"/>
                <w:szCs w:val="20"/>
              </w:rPr>
              <w:t>Tasa de admisión (admitidas/tramitadas)</w:t>
            </w:r>
          </w:p>
        </w:tc>
        <w:tc>
          <w:tcPr>
            <w:tcW w:w="1559" w:type="dxa"/>
          </w:tcPr>
          <w:p w:rsidR="0098135C" w:rsidRPr="00263EE3" w:rsidRDefault="0098135C" w:rsidP="0098135C">
            <w:pPr>
              <w:jc w:val="center"/>
              <w:rPr>
                <w:sz w:val="20"/>
                <w:szCs w:val="20"/>
              </w:rPr>
            </w:pPr>
            <w:r w:rsidRPr="00263EE3">
              <w:rPr>
                <w:sz w:val="20"/>
                <w:szCs w:val="20"/>
              </w:rPr>
              <w:t>57,36</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983919">
            <w:pPr>
              <w:rPr>
                <w:sz w:val="20"/>
                <w:szCs w:val="20"/>
              </w:rPr>
            </w:pPr>
            <w:r w:rsidRPr="00263EE3">
              <w:rPr>
                <w:sz w:val="20"/>
                <w:szCs w:val="20"/>
              </w:rPr>
              <w:t>Tasa de inadmisión (inadmitidas/ tramitadas)</w:t>
            </w:r>
          </w:p>
        </w:tc>
        <w:tc>
          <w:tcPr>
            <w:tcW w:w="1559" w:type="dxa"/>
          </w:tcPr>
          <w:p w:rsidR="0098135C" w:rsidRPr="00263EE3" w:rsidRDefault="0098135C" w:rsidP="0098135C">
            <w:pPr>
              <w:jc w:val="center"/>
              <w:rPr>
                <w:sz w:val="20"/>
                <w:szCs w:val="20"/>
              </w:rPr>
            </w:pPr>
            <w:r w:rsidRPr="00263EE3">
              <w:rPr>
                <w:sz w:val="20"/>
                <w:szCs w:val="20"/>
              </w:rPr>
              <w:t>25,58</w:t>
            </w:r>
          </w:p>
        </w:tc>
      </w:tr>
      <w:tr w:rsidR="0098135C" w:rsidRPr="00263EE3" w:rsidTr="0098135C">
        <w:tc>
          <w:tcPr>
            <w:tcW w:w="1299" w:type="dxa"/>
            <w:vMerge/>
            <w:tcBorders>
              <w:right w:val="nil"/>
            </w:tcBorders>
            <w:shd w:val="clear" w:color="auto" w:fill="4D7F52"/>
            <w:textDirection w:val="btLr"/>
          </w:tcPr>
          <w:p w:rsidR="0098135C" w:rsidRPr="00263EE3" w:rsidRDefault="0098135C" w:rsidP="00983919">
            <w:pPr>
              <w:ind w:left="113" w:right="113"/>
              <w:jc w:val="center"/>
              <w:rPr>
                <w:b/>
                <w:color w:val="FFFFFF" w:themeColor="background1"/>
                <w:sz w:val="20"/>
                <w:szCs w:val="20"/>
              </w:rPr>
            </w:pPr>
          </w:p>
        </w:tc>
        <w:tc>
          <w:tcPr>
            <w:tcW w:w="6322" w:type="dxa"/>
            <w:tcBorders>
              <w:left w:val="nil"/>
            </w:tcBorders>
          </w:tcPr>
          <w:p w:rsidR="0098135C" w:rsidRPr="00263EE3" w:rsidRDefault="0098135C" w:rsidP="00983919">
            <w:pPr>
              <w:rPr>
                <w:sz w:val="20"/>
                <w:szCs w:val="20"/>
              </w:rPr>
            </w:pPr>
            <w:r w:rsidRPr="00263EE3">
              <w:rPr>
                <w:sz w:val="20"/>
                <w:szCs w:val="20"/>
              </w:rPr>
              <w:t>Tasa de archivo (archivadas/tramitadas)</w:t>
            </w:r>
          </w:p>
        </w:tc>
        <w:tc>
          <w:tcPr>
            <w:tcW w:w="1559" w:type="dxa"/>
          </w:tcPr>
          <w:p w:rsidR="0098135C" w:rsidRPr="00263EE3" w:rsidRDefault="0098135C" w:rsidP="0098135C">
            <w:pPr>
              <w:jc w:val="center"/>
              <w:rPr>
                <w:sz w:val="20"/>
                <w:szCs w:val="20"/>
              </w:rPr>
            </w:pPr>
            <w:r w:rsidRPr="00263EE3">
              <w:rPr>
                <w:sz w:val="20"/>
                <w:szCs w:val="20"/>
              </w:rPr>
              <w:t>13,18</w:t>
            </w:r>
          </w:p>
        </w:tc>
      </w:tr>
    </w:tbl>
    <w:p w:rsidR="00B812AB" w:rsidRDefault="00B812AB" w:rsidP="00B812AB"/>
    <w:p w:rsidR="004A5653" w:rsidRDefault="004A5653"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4A5653" w:rsidRDefault="004A5653" w:rsidP="004A5653">
      <w:pPr>
        <w:ind w:left="426"/>
        <w:jc w:val="both"/>
        <w:rPr>
          <w:rStyle w:val="Ttulo2Car"/>
          <w:b w:val="0"/>
          <w:color w:val="auto"/>
          <w:sz w:val="22"/>
          <w:szCs w:val="22"/>
          <w:lang w:bidi="es-ES"/>
        </w:rPr>
      </w:pPr>
    </w:p>
    <w:p w:rsidR="004A5653" w:rsidRPr="009079EA" w:rsidRDefault="004A5653" w:rsidP="004A5653">
      <w:pPr>
        <w:ind w:left="426"/>
        <w:jc w:val="both"/>
        <w:rPr>
          <w:rStyle w:val="Ttulo2Car"/>
          <w:color w:val="00642D"/>
          <w:lang w:bidi="es-ES"/>
        </w:rPr>
      </w:pPr>
      <w:r>
        <w:rPr>
          <w:rStyle w:val="Ttulo2Car"/>
          <w:b w:val="0"/>
          <w:color w:val="auto"/>
          <w:sz w:val="22"/>
          <w:szCs w:val="22"/>
          <w:lang w:bidi="es-ES"/>
        </w:rPr>
        <w:t>Respecto de las resoluciones emitidas en 2020, 74 concedieron la información</w:t>
      </w:r>
      <w:r w:rsidR="00977D82">
        <w:rPr>
          <w:rStyle w:val="Ttulo2Car"/>
          <w:b w:val="0"/>
          <w:color w:val="auto"/>
          <w:sz w:val="22"/>
          <w:szCs w:val="22"/>
          <w:lang w:bidi="es-ES"/>
        </w:rPr>
        <w:t>:</w:t>
      </w:r>
      <w:r>
        <w:rPr>
          <w:rStyle w:val="Ttulo2Car"/>
          <w:b w:val="0"/>
          <w:color w:val="auto"/>
          <w:sz w:val="22"/>
          <w:szCs w:val="22"/>
          <w:lang w:bidi="es-ES"/>
        </w:rPr>
        <w:t xml:space="preserve"> 72 dieron acceso total y 2 parcial. Cuatro solicitudes fueron denegadas, tres aplicando como causa de denegación la seguridad nacional </w:t>
      </w:r>
      <w:r w:rsidR="00977D82">
        <w:rPr>
          <w:rStyle w:val="Ttulo2Car"/>
          <w:b w:val="0"/>
          <w:color w:val="auto"/>
          <w:sz w:val="22"/>
          <w:szCs w:val="22"/>
          <w:lang w:bidi="es-ES"/>
        </w:rPr>
        <w:t xml:space="preserve">(letra a) del artículo 14.1) </w:t>
      </w:r>
      <w:r>
        <w:rPr>
          <w:rStyle w:val="Ttulo2Car"/>
          <w:b w:val="0"/>
          <w:color w:val="auto"/>
          <w:sz w:val="22"/>
          <w:szCs w:val="22"/>
          <w:lang w:bidi="es-ES"/>
        </w:rPr>
        <w:t>y la cuarta porque la solicitud</w:t>
      </w:r>
      <w:r w:rsidRPr="004A5653">
        <w:t xml:space="preserve"> </w:t>
      </w:r>
      <w:r>
        <w:t>excedía el ámbito de aplicación de la Ley a la Casa Real</w:t>
      </w:r>
      <w:r>
        <w:rPr>
          <w:rStyle w:val="Ttulo2Car"/>
          <w:b w:val="0"/>
          <w:color w:val="auto"/>
          <w:sz w:val="22"/>
          <w:szCs w:val="22"/>
          <w:lang w:bidi="es-ES"/>
        </w:rPr>
        <w:t xml:space="preserve">. </w:t>
      </w:r>
    </w:p>
    <w:p w:rsidR="004A5653" w:rsidRDefault="004A5653" w:rsidP="004A565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En el Portal de Transparencia de la AGE</w:t>
      </w:r>
      <w:r w:rsidRPr="009079EA">
        <w:rPr>
          <w:rStyle w:val="Ttulo2Car"/>
          <w:b w:val="0"/>
          <w:color w:val="auto"/>
          <w:sz w:val="22"/>
          <w:szCs w:val="22"/>
          <w:lang w:bidi="es-ES"/>
        </w:rPr>
        <w:t xml:space="preserve">, </w:t>
      </w:r>
      <w:r>
        <w:rPr>
          <w:rStyle w:val="Ttulo2Car"/>
          <w:b w:val="0"/>
          <w:color w:val="auto"/>
          <w:sz w:val="22"/>
          <w:szCs w:val="22"/>
          <w:lang w:bidi="es-ES"/>
        </w:rPr>
        <w:t xml:space="preserve">se publican las solicitudes dirigidas a la Casa Real denegadas por aplicación de los límites del artículo 14 de la LTAIBG, tal y como establece el artículo 14.3 de la norma, que obliga a la publicación de estas resoluciones previa disociación de los datos de carácter personal. </w:t>
      </w:r>
    </w:p>
    <w:p w:rsidR="004A5653" w:rsidRDefault="004A5653" w:rsidP="004A5653">
      <w:pPr>
        <w:pStyle w:val="Cuerpodelboletn"/>
        <w:spacing w:before="120" w:after="120" w:line="276" w:lineRule="auto"/>
        <w:ind w:left="426"/>
        <w:rPr>
          <w:rStyle w:val="Ttulo2Car"/>
          <w:b w:val="0"/>
          <w:color w:val="auto"/>
          <w:sz w:val="22"/>
          <w:szCs w:val="22"/>
          <w:lang w:bidi="es-ES"/>
        </w:rPr>
      </w:pPr>
    </w:p>
    <w:p w:rsidR="00977D82" w:rsidRPr="009079EA" w:rsidRDefault="00977D82" w:rsidP="004A5653">
      <w:pPr>
        <w:pStyle w:val="Cuerpodelboletn"/>
        <w:spacing w:before="120" w:after="120" w:line="276" w:lineRule="auto"/>
        <w:ind w:left="426"/>
        <w:rPr>
          <w:rStyle w:val="Ttulo2Car"/>
          <w:b w:val="0"/>
          <w:color w:val="auto"/>
          <w:sz w:val="22"/>
          <w:szCs w:val="22"/>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4</w:t>
      </w:r>
      <w:r>
        <w:rPr>
          <w:rStyle w:val="Ttulo2Car"/>
          <w:color w:val="00642D"/>
          <w:lang w:bidi="es-ES"/>
        </w:rPr>
        <w:t xml:space="preserve"> Indicadores de resolución en 2020 </w:t>
      </w:r>
    </w:p>
    <w:p w:rsidR="004A5653" w:rsidRDefault="004A5653" w:rsidP="004A5653">
      <w:pPr>
        <w:ind w:left="426"/>
        <w:jc w:val="both"/>
      </w:pPr>
      <w:r>
        <w:t>La Secretaría General de la Presidencia emite resoluciones expresas para la totalidad de las solicitudes de información pública de la Casa Real admitidas. Ninguna solicitud ha sido desestimada por silencio administrativo.</w:t>
      </w:r>
    </w:p>
    <w:p w:rsidR="004A5653" w:rsidRDefault="004A5653" w:rsidP="004A5653">
      <w:pPr>
        <w:ind w:left="426"/>
        <w:jc w:val="both"/>
      </w:pPr>
      <w:r>
        <w:t xml:space="preserve">Un </w:t>
      </w:r>
      <w:r w:rsidR="00A93A13">
        <w:t>94,87</w:t>
      </w:r>
      <w:r>
        <w:t xml:space="preserve">% de las </w:t>
      </w:r>
      <w:r w:rsidR="00977D82">
        <w:t>r</w:t>
      </w:r>
      <w:r>
        <w:t xml:space="preserve">esoluciones concede el acceso a la información. De ellas, el </w:t>
      </w:r>
      <w:r w:rsidR="00A93A13">
        <w:t>97,3</w:t>
      </w:r>
      <w:r>
        <w:t xml:space="preserve">% concede acceso total y el </w:t>
      </w:r>
      <w:r w:rsidR="00A93A13">
        <w:t>2,70</w:t>
      </w:r>
      <w:r>
        <w:t>% acceso parcia</w:t>
      </w:r>
      <w:r w:rsidR="005358B1">
        <w:t xml:space="preserve">l. Un </w:t>
      </w:r>
      <w:r w:rsidR="00A93A13">
        <w:t>5,41</w:t>
      </w:r>
      <w:r w:rsidR="005358B1">
        <w:t>% deniega la información.</w:t>
      </w:r>
    </w:p>
    <w:p w:rsidR="00F7263F" w:rsidRDefault="00F7263F" w:rsidP="00B812AB"/>
    <w:tbl>
      <w:tblPr>
        <w:tblStyle w:val="Tablaconcuadrcula"/>
        <w:tblW w:w="0" w:type="auto"/>
        <w:tblInd w:w="534" w:type="dxa"/>
        <w:tblLook w:val="04A0" w:firstRow="1" w:lastRow="0" w:firstColumn="1" w:lastColumn="0" w:noHBand="0" w:noVBand="1"/>
      </w:tblPr>
      <w:tblGrid>
        <w:gridCol w:w="1418"/>
        <w:gridCol w:w="6322"/>
        <w:gridCol w:w="1559"/>
      </w:tblGrid>
      <w:tr w:rsidR="004A5653" w:rsidRPr="00263EE3" w:rsidTr="001D7CE7">
        <w:tc>
          <w:tcPr>
            <w:tcW w:w="1418" w:type="dxa"/>
            <w:vMerge w:val="restart"/>
            <w:tcBorders>
              <w:top w:val="nil"/>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r w:rsidRPr="00263EE3">
              <w:rPr>
                <w:b/>
                <w:color w:val="FFFFFF" w:themeColor="background1"/>
                <w:sz w:val="20"/>
                <w:szCs w:val="20"/>
              </w:rPr>
              <w:t>Indicadores de resolución</w:t>
            </w:r>
          </w:p>
        </w:tc>
        <w:tc>
          <w:tcPr>
            <w:tcW w:w="6322" w:type="dxa"/>
            <w:tcBorders>
              <w:left w:val="nil"/>
            </w:tcBorders>
          </w:tcPr>
          <w:p w:rsidR="004A5653" w:rsidRPr="00263EE3" w:rsidRDefault="004A5653" w:rsidP="00EA6C75">
            <w:pPr>
              <w:rPr>
                <w:sz w:val="20"/>
                <w:szCs w:val="20"/>
              </w:rPr>
            </w:pPr>
            <w:r w:rsidRPr="00263EE3">
              <w:rPr>
                <w:sz w:val="20"/>
                <w:szCs w:val="20"/>
              </w:rPr>
              <w:t>Tasa de resolución (resoluciones expresas /solicitudes admitidas)</w:t>
            </w:r>
          </w:p>
        </w:tc>
        <w:tc>
          <w:tcPr>
            <w:tcW w:w="1559" w:type="dxa"/>
            <w:vAlign w:val="center"/>
          </w:tcPr>
          <w:p w:rsidR="004A5653" w:rsidRPr="00263EE3" w:rsidRDefault="005358B1" w:rsidP="004A5653">
            <w:pPr>
              <w:jc w:val="center"/>
              <w:rPr>
                <w:sz w:val="20"/>
                <w:szCs w:val="20"/>
              </w:rPr>
            </w:pPr>
            <w:r w:rsidRPr="00263EE3">
              <w:rPr>
                <w:sz w:val="20"/>
                <w:szCs w:val="20"/>
              </w:rPr>
              <w:t>105,41</w:t>
            </w:r>
            <w:r w:rsidR="004A5653" w:rsidRPr="00263EE3">
              <w:rPr>
                <w:rStyle w:val="Refdenotaalpie"/>
                <w:sz w:val="20"/>
                <w:szCs w:val="20"/>
              </w:rPr>
              <w:footnoteReference w:id="3"/>
            </w:r>
          </w:p>
        </w:tc>
      </w:tr>
      <w:tr w:rsidR="004A5653" w:rsidRPr="00263EE3" w:rsidTr="001D7CE7">
        <w:tc>
          <w:tcPr>
            <w:tcW w:w="1418" w:type="dxa"/>
            <w:vMerge/>
            <w:tcBorders>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p>
        </w:tc>
        <w:tc>
          <w:tcPr>
            <w:tcW w:w="6322" w:type="dxa"/>
            <w:tcBorders>
              <w:left w:val="nil"/>
            </w:tcBorders>
          </w:tcPr>
          <w:p w:rsidR="004A5653" w:rsidRPr="00263EE3" w:rsidRDefault="004A5653" w:rsidP="00FD5B21">
            <w:pPr>
              <w:rPr>
                <w:sz w:val="20"/>
                <w:szCs w:val="20"/>
              </w:rPr>
            </w:pPr>
            <w:r w:rsidRPr="00263EE3">
              <w:rPr>
                <w:sz w:val="20"/>
                <w:szCs w:val="20"/>
              </w:rPr>
              <w:t>Porcentaje de resoluciones que conceden el acceso</w:t>
            </w:r>
          </w:p>
        </w:tc>
        <w:tc>
          <w:tcPr>
            <w:tcW w:w="1559" w:type="dxa"/>
            <w:vAlign w:val="center"/>
          </w:tcPr>
          <w:p w:rsidR="004A5653" w:rsidRPr="00263EE3" w:rsidRDefault="005358B1" w:rsidP="004A5653">
            <w:pPr>
              <w:jc w:val="center"/>
              <w:rPr>
                <w:sz w:val="20"/>
                <w:szCs w:val="20"/>
              </w:rPr>
            </w:pPr>
            <w:r w:rsidRPr="00263EE3">
              <w:rPr>
                <w:sz w:val="20"/>
                <w:szCs w:val="20"/>
              </w:rPr>
              <w:t>94,87</w:t>
            </w:r>
          </w:p>
        </w:tc>
      </w:tr>
      <w:tr w:rsidR="004A5653" w:rsidRPr="00263EE3" w:rsidTr="001D7CE7">
        <w:tc>
          <w:tcPr>
            <w:tcW w:w="1418" w:type="dxa"/>
            <w:vMerge/>
            <w:tcBorders>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p>
        </w:tc>
        <w:tc>
          <w:tcPr>
            <w:tcW w:w="6322" w:type="dxa"/>
            <w:tcBorders>
              <w:left w:val="nil"/>
            </w:tcBorders>
          </w:tcPr>
          <w:p w:rsidR="004A5653" w:rsidRPr="00263EE3" w:rsidRDefault="004A5653" w:rsidP="00055B15">
            <w:pPr>
              <w:rPr>
                <w:sz w:val="20"/>
                <w:szCs w:val="20"/>
              </w:rPr>
            </w:pPr>
            <w:r w:rsidRPr="00263EE3">
              <w:rPr>
                <w:sz w:val="20"/>
                <w:szCs w:val="20"/>
              </w:rPr>
              <w:t>Porcentaje de resoluciones que conceden acceso parcial</w:t>
            </w:r>
          </w:p>
        </w:tc>
        <w:tc>
          <w:tcPr>
            <w:tcW w:w="1559" w:type="dxa"/>
            <w:vAlign w:val="center"/>
          </w:tcPr>
          <w:p w:rsidR="004A5653" w:rsidRPr="00263EE3" w:rsidRDefault="004A5653" w:rsidP="004A5653">
            <w:pPr>
              <w:jc w:val="center"/>
              <w:rPr>
                <w:sz w:val="20"/>
                <w:szCs w:val="20"/>
              </w:rPr>
            </w:pPr>
            <w:r w:rsidRPr="00263EE3">
              <w:rPr>
                <w:sz w:val="20"/>
                <w:szCs w:val="20"/>
              </w:rPr>
              <w:t>2,70</w:t>
            </w:r>
          </w:p>
        </w:tc>
      </w:tr>
      <w:tr w:rsidR="004A5653" w:rsidRPr="00263EE3" w:rsidTr="001D7CE7">
        <w:tc>
          <w:tcPr>
            <w:tcW w:w="1418" w:type="dxa"/>
            <w:vMerge/>
            <w:tcBorders>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p>
        </w:tc>
        <w:tc>
          <w:tcPr>
            <w:tcW w:w="6322" w:type="dxa"/>
            <w:tcBorders>
              <w:left w:val="nil"/>
            </w:tcBorders>
          </w:tcPr>
          <w:p w:rsidR="004A5653" w:rsidRPr="00263EE3" w:rsidRDefault="004A5653" w:rsidP="00055B15">
            <w:pPr>
              <w:rPr>
                <w:sz w:val="20"/>
                <w:szCs w:val="20"/>
              </w:rPr>
            </w:pPr>
            <w:r w:rsidRPr="00263EE3">
              <w:rPr>
                <w:sz w:val="20"/>
                <w:szCs w:val="20"/>
              </w:rPr>
              <w:t>Porcentaje de resoluciones que conceden acceso total</w:t>
            </w:r>
          </w:p>
        </w:tc>
        <w:tc>
          <w:tcPr>
            <w:tcW w:w="1559" w:type="dxa"/>
            <w:vAlign w:val="center"/>
          </w:tcPr>
          <w:p w:rsidR="004A5653" w:rsidRPr="00263EE3" w:rsidRDefault="004A5653" w:rsidP="004A5653">
            <w:pPr>
              <w:jc w:val="center"/>
              <w:rPr>
                <w:sz w:val="20"/>
                <w:szCs w:val="20"/>
              </w:rPr>
            </w:pPr>
            <w:r w:rsidRPr="00263EE3">
              <w:rPr>
                <w:sz w:val="20"/>
                <w:szCs w:val="20"/>
              </w:rPr>
              <w:t>97,30</w:t>
            </w:r>
          </w:p>
        </w:tc>
      </w:tr>
      <w:tr w:rsidR="004A5653" w:rsidRPr="00263EE3" w:rsidTr="001D7CE7">
        <w:tc>
          <w:tcPr>
            <w:tcW w:w="1418" w:type="dxa"/>
            <w:vMerge/>
            <w:tcBorders>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p>
        </w:tc>
        <w:tc>
          <w:tcPr>
            <w:tcW w:w="6322" w:type="dxa"/>
            <w:tcBorders>
              <w:left w:val="nil"/>
            </w:tcBorders>
          </w:tcPr>
          <w:p w:rsidR="004A5653" w:rsidRPr="00263EE3" w:rsidRDefault="004A5653" w:rsidP="00055B15">
            <w:pPr>
              <w:rPr>
                <w:sz w:val="20"/>
                <w:szCs w:val="20"/>
              </w:rPr>
            </w:pPr>
            <w:r w:rsidRPr="00263EE3">
              <w:rPr>
                <w:sz w:val="20"/>
                <w:szCs w:val="20"/>
              </w:rPr>
              <w:t>Porcentaje de resoluciones que deniegan el acceso</w:t>
            </w:r>
          </w:p>
        </w:tc>
        <w:tc>
          <w:tcPr>
            <w:tcW w:w="1559" w:type="dxa"/>
            <w:vAlign w:val="center"/>
          </w:tcPr>
          <w:p w:rsidR="004A5653" w:rsidRPr="00263EE3" w:rsidRDefault="004A5653" w:rsidP="004A5653">
            <w:pPr>
              <w:jc w:val="center"/>
              <w:rPr>
                <w:sz w:val="20"/>
                <w:szCs w:val="20"/>
              </w:rPr>
            </w:pPr>
            <w:r w:rsidRPr="00263EE3">
              <w:rPr>
                <w:sz w:val="20"/>
                <w:szCs w:val="20"/>
              </w:rPr>
              <w:t>5,41</w:t>
            </w:r>
          </w:p>
        </w:tc>
      </w:tr>
      <w:tr w:rsidR="004A5653" w:rsidRPr="00263EE3" w:rsidTr="001D7CE7">
        <w:tc>
          <w:tcPr>
            <w:tcW w:w="1418" w:type="dxa"/>
            <w:vMerge/>
            <w:tcBorders>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p>
        </w:tc>
        <w:tc>
          <w:tcPr>
            <w:tcW w:w="6322" w:type="dxa"/>
            <w:tcBorders>
              <w:left w:val="nil"/>
            </w:tcBorders>
          </w:tcPr>
          <w:p w:rsidR="004A5653" w:rsidRPr="00263EE3" w:rsidRDefault="004A5653" w:rsidP="00055B15">
            <w:pPr>
              <w:rPr>
                <w:sz w:val="20"/>
                <w:szCs w:val="20"/>
              </w:rPr>
            </w:pPr>
            <w:r w:rsidRPr="00263EE3">
              <w:rPr>
                <w:sz w:val="20"/>
                <w:szCs w:val="20"/>
              </w:rPr>
              <w:t>Porcentaje de resoluciones que finalizan por silencio administrativo</w:t>
            </w:r>
          </w:p>
        </w:tc>
        <w:tc>
          <w:tcPr>
            <w:tcW w:w="1559" w:type="dxa"/>
            <w:vAlign w:val="center"/>
          </w:tcPr>
          <w:p w:rsidR="004A5653" w:rsidRPr="00263EE3" w:rsidRDefault="004A5653" w:rsidP="004A5653">
            <w:pPr>
              <w:jc w:val="center"/>
              <w:rPr>
                <w:sz w:val="20"/>
                <w:szCs w:val="20"/>
              </w:rPr>
            </w:pPr>
            <w:r w:rsidRPr="00263EE3">
              <w:rPr>
                <w:sz w:val="20"/>
                <w:szCs w:val="20"/>
              </w:rPr>
              <w:t>,00</w:t>
            </w:r>
          </w:p>
        </w:tc>
      </w:tr>
      <w:tr w:rsidR="004A5653" w:rsidRPr="00263EE3" w:rsidTr="001D7CE7">
        <w:tc>
          <w:tcPr>
            <w:tcW w:w="1418" w:type="dxa"/>
            <w:vMerge/>
            <w:tcBorders>
              <w:right w:val="nil"/>
            </w:tcBorders>
            <w:shd w:val="clear" w:color="auto" w:fill="4D7F52"/>
            <w:textDirection w:val="btLr"/>
          </w:tcPr>
          <w:p w:rsidR="004A5653" w:rsidRPr="00263EE3" w:rsidRDefault="004A5653" w:rsidP="00055B15">
            <w:pPr>
              <w:ind w:left="113" w:right="113"/>
              <w:jc w:val="center"/>
              <w:rPr>
                <w:b/>
                <w:color w:val="FFFFFF" w:themeColor="background1"/>
                <w:sz w:val="20"/>
                <w:szCs w:val="20"/>
              </w:rPr>
            </w:pPr>
          </w:p>
        </w:tc>
        <w:tc>
          <w:tcPr>
            <w:tcW w:w="6322" w:type="dxa"/>
            <w:tcBorders>
              <w:left w:val="nil"/>
            </w:tcBorders>
          </w:tcPr>
          <w:p w:rsidR="004A5653" w:rsidRPr="00263EE3" w:rsidRDefault="004A5653" w:rsidP="00F7263F">
            <w:pPr>
              <w:rPr>
                <w:sz w:val="20"/>
                <w:szCs w:val="20"/>
              </w:rPr>
            </w:pPr>
            <w:r w:rsidRPr="00263EE3">
              <w:rPr>
                <w:sz w:val="20"/>
                <w:szCs w:val="20"/>
              </w:rPr>
              <w:t>Porcentaje de solicitudes finalizadas por desistimiento y otras causas</w:t>
            </w:r>
          </w:p>
        </w:tc>
        <w:tc>
          <w:tcPr>
            <w:tcW w:w="1559" w:type="dxa"/>
            <w:vAlign w:val="center"/>
          </w:tcPr>
          <w:p w:rsidR="004A5653" w:rsidRPr="00263EE3" w:rsidRDefault="005358B1" w:rsidP="004A5653">
            <w:pPr>
              <w:jc w:val="center"/>
              <w:rPr>
                <w:sz w:val="20"/>
                <w:szCs w:val="20"/>
              </w:rPr>
            </w:pPr>
            <w:r w:rsidRPr="00263EE3">
              <w:rPr>
                <w:sz w:val="20"/>
                <w:szCs w:val="20"/>
              </w:rPr>
              <w:t>,00</w:t>
            </w:r>
          </w:p>
        </w:tc>
      </w:tr>
    </w:tbl>
    <w:p w:rsidR="00055B15" w:rsidRDefault="00055B15" w:rsidP="00B812AB"/>
    <w:p w:rsidR="001D7CE7" w:rsidRDefault="001D7CE7">
      <w:r>
        <w:br w:type="page"/>
      </w:r>
    </w:p>
    <w:p w:rsidR="00977D82" w:rsidRDefault="00977D82" w:rsidP="00977D82"/>
    <w:p w:rsidR="00B812AB" w:rsidRPr="00E34195" w:rsidRDefault="00D60EAC" w:rsidP="00977D82">
      <w:pPr>
        <w:rPr>
          <w:color w:val="00642D"/>
        </w:rPr>
      </w:pPr>
      <w:sdt>
        <w:sdtPr>
          <w:rPr>
            <w:color w:val="00642D"/>
            <w:sz w:val="30"/>
            <w:szCs w:val="30"/>
          </w:rPr>
          <w:id w:val="207845719"/>
          <w:placeholder>
            <w:docPart w:val="D0093F7CCA03424CB7F48332D2DADFBC"/>
          </w:placeholder>
        </w:sdtPr>
        <w:sdtEndPr>
          <w:rPr>
            <w:sz w:val="22"/>
            <w:szCs w:val="22"/>
          </w:rPr>
        </w:sdtEndPr>
        <w:sdtContent>
          <w:r w:rsidR="00B812AB" w:rsidRPr="00977D82">
            <w:rPr>
              <w:b/>
              <w:color w:val="00642D"/>
              <w:sz w:val="30"/>
              <w:szCs w:val="30"/>
            </w:rPr>
            <w:t>II</w:t>
          </w:r>
          <w:r w:rsidR="00176A94" w:rsidRPr="00977D82">
            <w:rPr>
              <w:b/>
              <w:color w:val="00642D"/>
              <w:sz w:val="30"/>
              <w:szCs w:val="30"/>
            </w:rPr>
            <w:t>I</w:t>
          </w:r>
          <w:r w:rsidR="00B812AB" w:rsidRPr="00977D82">
            <w:rPr>
              <w:b/>
              <w:color w:val="00642D"/>
              <w:sz w:val="30"/>
              <w:szCs w:val="30"/>
            </w:rPr>
            <w:t xml:space="preserve">. Localización </w:t>
          </w:r>
          <w:r w:rsidR="00055B15" w:rsidRPr="00977D82">
            <w:rPr>
              <w:b/>
              <w:color w:val="00642D"/>
              <w:sz w:val="30"/>
              <w:szCs w:val="30"/>
            </w:rPr>
            <w:t>de la información y facilidad de acceso al  ejercicio del derecho de acceso</w:t>
          </w:r>
        </w:sdtContent>
      </w:sdt>
    </w:p>
    <w:p w:rsidR="00C43069" w:rsidRDefault="00C43069" w:rsidP="00C43069">
      <w:pPr>
        <w:ind w:left="567"/>
      </w:pPr>
    </w:p>
    <w:p w:rsidR="00176A94" w:rsidRDefault="00C43069" w:rsidP="00C43069">
      <w:pPr>
        <w:ind w:left="567"/>
      </w:pPr>
      <w:r>
        <w:t xml:space="preserve">La Casa Real cuenta con un especio específico en su Portal de Transparencia dedicado a las solicitudes de acceso a información pública. </w:t>
      </w:r>
    </w:p>
    <w:p w:rsidR="00C43069" w:rsidRDefault="00C43069" w:rsidP="00C43069">
      <w:pPr>
        <w:ind w:left="567"/>
        <w:jc w:val="both"/>
      </w:pPr>
      <w:r>
        <w:t>En este espacio se</w:t>
      </w:r>
      <w:r w:rsidRPr="002136E2">
        <w:rPr>
          <w:sz w:val="18"/>
          <w:szCs w:val="18"/>
        </w:rPr>
        <w:t xml:space="preserve"> </w:t>
      </w:r>
      <w:r w:rsidRPr="00C43069">
        <w:t>informa de que la Secretaria General de la Presidencia es el órgano encargado de recibir y tramitar las solicitudes de acceso a la información pública de la Casa Real.</w:t>
      </w:r>
      <w:r>
        <w:t xml:space="preserve"> También s</w:t>
      </w:r>
      <w:r w:rsidRPr="00C43069">
        <w:t>e proporciona un enlace al Portal de Transparencia</w:t>
      </w:r>
      <w:r>
        <w:t xml:space="preserve"> de la</w:t>
      </w:r>
      <w:r w:rsidRPr="00C43069">
        <w:t xml:space="preserve"> AGE para efectuar la solicitud</w:t>
      </w:r>
      <w:r>
        <w:t>.</w:t>
      </w:r>
    </w:p>
    <w:p w:rsidR="00C43069" w:rsidRDefault="00C43069" w:rsidP="00C43069">
      <w:pPr>
        <w:ind w:left="567"/>
        <w:jc w:val="both"/>
      </w:pPr>
      <w:r>
        <w:t xml:space="preserve">En este </w:t>
      </w:r>
      <w:r w:rsidR="001D7CE7">
        <w:t xml:space="preserve">mismo </w:t>
      </w:r>
      <w:r>
        <w:t xml:space="preserve">espacio </w:t>
      </w:r>
      <w:r w:rsidR="001D7CE7">
        <w:t xml:space="preserve">también </w:t>
      </w:r>
      <w:r>
        <w:t>se informa de los medios habilitados para la presentación de solicitudes: t</w:t>
      </w:r>
      <w:r w:rsidRPr="00C43069">
        <w:t>elemática, registro del Ministerio de la Presidencia</w:t>
      </w:r>
      <w:r w:rsidR="001D7CE7">
        <w:t xml:space="preserve">, Relaciones con las Cortes y Memoria Democrática </w:t>
      </w:r>
      <w:r w:rsidRPr="00C43069">
        <w:t xml:space="preserve"> o de cualquier organismo público, en las oficinas de correos, o en las representaciones diplomáticas u oficinas consulares de España en el extranjero</w:t>
      </w:r>
      <w:r>
        <w:t>.</w:t>
      </w:r>
    </w:p>
    <w:p w:rsidR="009D36CF" w:rsidRDefault="009D36CF" w:rsidP="00C43069">
      <w:pPr>
        <w:ind w:left="567"/>
        <w:jc w:val="both"/>
      </w:pPr>
      <w:r>
        <w:t xml:space="preserve">Dado que las solicitudes se presentan a través del Portal de Transparencia de la AGE es necesario disponer de certificado digital o de código de acceso facilitado por el Portal AGE. Si la presentación se efectúa a través del Registro del </w:t>
      </w:r>
      <w:r w:rsidR="001D7CE7" w:rsidRPr="00C43069">
        <w:t>Ministerio de la Presidencia</w:t>
      </w:r>
      <w:r w:rsidR="001D7CE7">
        <w:t>, Relaciones con las Cortes y Memoria Democrática</w:t>
      </w:r>
      <w:r>
        <w:t xml:space="preserve"> se exige la acreditación  de la identidad del solicitante.</w:t>
      </w:r>
    </w:p>
    <w:p w:rsidR="009D36CF" w:rsidRPr="009D36CF" w:rsidRDefault="009D36CF" w:rsidP="00C43069">
      <w:pPr>
        <w:ind w:left="567"/>
        <w:jc w:val="both"/>
      </w:pPr>
      <w:r>
        <w:t xml:space="preserve">También se dispone de los formularios, </w:t>
      </w:r>
      <w:r w:rsidRPr="009D36CF">
        <w:t>(telemático y para presentación por las vías alternativas),</w:t>
      </w:r>
      <w:r>
        <w:t xml:space="preserve"> las</w:t>
      </w:r>
      <w:r w:rsidRPr="009D36CF">
        <w:t xml:space="preserve"> explicaciones</w:t>
      </w:r>
      <w:r>
        <w:t xml:space="preserve"> y</w:t>
      </w:r>
      <w:r w:rsidRPr="009D36CF">
        <w:t xml:space="preserve"> ayudas</w:t>
      </w:r>
      <w:r>
        <w:t xml:space="preserve"> que proporciona el Portal de Transparencia de la AGE.</w:t>
      </w:r>
    </w:p>
    <w:p w:rsidR="00B40246" w:rsidRPr="00E34195" w:rsidRDefault="00D60EA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1D7CE7" w:rsidRDefault="001D7CE7" w:rsidP="009D36CF">
      <w:pPr>
        <w:pStyle w:val="Cuerpodelboletn"/>
        <w:spacing w:before="120" w:after="120" w:line="312" w:lineRule="auto"/>
        <w:ind w:left="426"/>
        <w:rPr>
          <w:color w:val="00642D"/>
          <w:lang w:bidi="es-ES"/>
        </w:rPr>
      </w:pPr>
    </w:p>
    <w:p w:rsidR="009D36CF" w:rsidRDefault="00E3088D" w:rsidP="009D36CF">
      <w:pPr>
        <w:pStyle w:val="Cuerpodelboletn"/>
        <w:spacing w:before="120" w:after="120" w:line="312" w:lineRule="auto"/>
        <w:ind w:left="426"/>
        <w:rPr>
          <w:color w:val="auto"/>
          <w:lang w:bidi="es-ES"/>
        </w:rPr>
      </w:pPr>
      <w:r w:rsidRPr="00C33A23">
        <w:rPr>
          <w:color w:val="00642D"/>
          <w:lang w:bidi="es-ES"/>
        </w:rPr>
        <w:t xml:space="preserve"> </w:t>
      </w:r>
      <w:r w:rsidR="009D36CF" w:rsidRPr="001276B2">
        <w:rPr>
          <w:rStyle w:val="Ttulo2Car"/>
          <w:sz w:val="22"/>
          <w:szCs w:val="22"/>
        </w:rPr>
        <w:t>Inicio del procedimiento</w:t>
      </w:r>
      <w:r w:rsidR="009D36CF">
        <w:rPr>
          <w:color w:val="auto"/>
          <w:lang w:bidi="es-ES"/>
        </w:rPr>
        <w:t xml:space="preserve">. </w:t>
      </w:r>
    </w:p>
    <w:p w:rsidR="009D36CF" w:rsidRDefault="009D36CF" w:rsidP="009D36CF">
      <w:pPr>
        <w:pStyle w:val="Cuerpodelboletn"/>
        <w:spacing w:before="120" w:after="120" w:line="312" w:lineRule="auto"/>
        <w:ind w:left="426"/>
        <w:rPr>
          <w:color w:val="auto"/>
          <w:lang w:bidi="es-ES"/>
        </w:rPr>
      </w:pPr>
      <w:r w:rsidRPr="005C4D89">
        <w:rPr>
          <w:color w:val="auto"/>
          <w:lang w:bidi="es-ES"/>
        </w:rPr>
        <w:t xml:space="preserve">Con fecha </w:t>
      </w:r>
      <w:r>
        <w:rPr>
          <w:color w:val="auto"/>
          <w:lang w:bidi="es-ES"/>
        </w:rPr>
        <w:t xml:space="preserve">12/02/2021 se presentó a través del Portal de Transparencia de la AGE una solicitud de acceso a información pública de la Casa Real. </w:t>
      </w:r>
    </w:p>
    <w:p w:rsidR="009D36CF" w:rsidRDefault="009D36CF" w:rsidP="009D36CF">
      <w:pPr>
        <w:pStyle w:val="Cuerpodelboletn"/>
        <w:spacing w:before="120" w:after="120" w:line="312" w:lineRule="auto"/>
        <w:ind w:left="426"/>
        <w:rPr>
          <w:color w:val="auto"/>
          <w:lang w:bidi="es-ES"/>
        </w:rPr>
      </w:pPr>
      <w:r>
        <w:rPr>
          <w:color w:val="auto"/>
          <w:lang w:bidi="es-ES"/>
        </w:rPr>
        <w:t>Se proporciona un acuse de recibo en el momento de presentar la solicitud que incluye</w:t>
      </w:r>
      <w:r w:rsidRPr="003807D8">
        <w:t xml:space="preserve"> </w:t>
      </w:r>
      <w:r>
        <w:rPr>
          <w:color w:val="auto"/>
          <w:lang w:bidi="es-ES"/>
        </w:rPr>
        <w:t>el nº de</w:t>
      </w:r>
      <w:r w:rsidRPr="003807D8">
        <w:rPr>
          <w:color w:val="auto"/>
          <w:lang w:bidi="es-ES"/>
        </w:rPr>
        <w:t xml:space="preserve"> registro de entrada  </w:t>
      </w:r>
      <w:r w:rsidRPr="009D36CF">
        <w:rPr>
          <w:color w:val="auto"/>
          <w:lang w:bidi="es-ES"/>
        </w:rPr>
        <w:t>y nº de expediente, fecha y hora, y un resumen de la solicitud (email, asunto, la solicitud y el modo de contacto/notificación)</w:t>
      </w:r>
      <w:r>
        <w:rPr>
          <w:color w:val="auto"/>
          <w:lang w:bidi="es-ES"/>
        </w:rPr>
        <w:t>.</w:t>
      </w:r>
      <w:r w:rsidRPr="003807D8">
        <w:rPr>
          <w:color w:val="auto"/>
          <w:lang w:bidi="es-ES"/>
        </w:rPr>
        <w:t xml:space="preserve"> </w:t>
      </w:r>
      <w:r>
        <w:rPr>
          <w:color w:val="auto"/>
          <w:lang w:bidi="es-ES"/>
        </w:rPr>
        <w:t xml:space="preserve">También se da acuse de recibo </w:t>
      </w:r>
      <w:r w:rsidR="009A3497">
        <w:rPr>
          <w:color w:val="auto"/>
          <w:lang w:bidi="es-ES"/>
        </w:rPr>
        <w:t xml:space="preserve">mediante </w:t>
      </w:r>
      <w:r w:rsidRPr="009D36CF">
        <w:rPr>
          <w:color w:val="auto"/>
          <w:lang w:bidi="es-ES"/>
        </w:rPr>
        <w:t>el correo electrónico de contacto facilitado en la solicitud</w:t>
      </w:r>
      <w:r w:rsidR="009A3497">
        <w:rPr>
          <w:color w:val="auto"/>
          <w:lang w:bidi="es-ES"/>
        </w:rPr>
        <w:t>.</w:t>
      </w:r>
    </w:p>
    <w:p w:rsidR="009D36CF" w:rsidRDefault="009D36CF" w:rsidP="009D36CF">
      <w:pPr>
        <w:pStyle w:val="Cuerpodelboletn"/>
        <w:spacing w:before="120" w:after="120" w:line="312" w:lineRule="auto"/>
        <w:ind w:left="426"/>
        <w:rPr>
          <w:color w:val="auto"/>
          <w:lang w:bidi="es-ES"/>
        </w:rPr>
      </w:pPr>
      <w:r>
        <w:rPr>
          <w:rStyle w:val="Ttulo2Car"/>
          <w:sz w:val="22"/>
          <w:szCs w:val="22"/>
        </w:rPr>
        <w:t>Tramitación</w:t>
      </w:r>
    </w:p>
    <w:p w:rsidR="009D36CF" w:rsidRPr="009A3497" w:rsidRDefault="009D36CF" w:rsidP="001D7CE7">
      <w:pPr>
        <w:pStyle w:val="Cuerpodelboletn"/>
        <w:spacing w:before="120" w:after="120" w:line="312" w:lineRule="auto"/>
        <w:ind w:left="425"/>
        <w:rPr>
          <w:color w:val="auto"/>
          <w:lang w:bidi="es-ES"/>
        </w:rPr>
      </w:pPr>
      <w:r w:rsidRPr="009A3497">
        <w:rPr>
          <w:color w:val="auto"/>
          <w:lang w:bidi="es-ES"/>
        </w:rPr>
        <w:t>Con fecha 1</w:t>
      </w:r>
      <w:r w:rsidR="009A3497">
        <w:rPr>
          <w:color w:val="auto"/>
          <w:lang w:bidi="es-ES"/>
        </w:rPr>
        <w:t>8</w:t>
      </w:r>
      <w:r w:rsidRPr="009A3497">
        <w:rPr>
          <w:color w:val="auto"/>
          <w:lang w:bidi="es-ES"/>
        </w:rPr>
        <w:t xml:space="preserve">/02/2021 se recibe una comunicación de inicio de la tramitación de la solicitud. No se </w:t>
      </w:r>
      <w:r w:rsidR="009A3497">
        <w:rPr>
          <w:color w:val="auto"/>
          <w:lang w:bidi="es-ES"/>
        </w:rPr>
        <w:t>produce ninguna incidencia durante la tramitación de la solicitud</w:t>
      </w:r>
      <w:r w:rsidRPr="009A3497">
        <w:rPr>
          <w:color w:val="auto"/>
          <w:lang w:bidi="es-ES"/>
        </w:rPr>
        <w:t>.</w:t>
      </w:r>
    </w:p>
    <w:p w:rsidR="001D7CE7" w:rsidRDefault="001D7CE7">
      <w:pPr>
        <w:rPr>
          <w:rStyle w:val="Ttulo2Car"/>
          <w:sz w:val="22"/>
          <w:szCs w:val="22"/>
        </w:rPr>
      </w:pPr>
      <w:r>
        <w:rPr>
          <w:rStyle w:val="Ttulo2Car"/>
          <w:sz w:val="22"/>
          <w:szCs w:val="22"/>
        </w:rPr>
        <w:br w:type="page"/>
      </w:r>
    </w:p>
    <w:p w:rsidR="001D7CE7" w:rsidRDefault="001D7CE7" w:rsidP="009D36CF">
      <w:pPr>
        <w:pStyle w:val="Cuerpodelboletn"/>
        <w:spacing w:before="120" w:after="120" w:line="312" w:lineRule="auto"/>
        <w:ind w:left="426"/>
        <w:rPr>
          <w:rStyle w:val="Ttulo2Car"/>
          <w:sz w:val="22"/>
          <w:szCs w:val="22"/>
        </w:rPr>
      </w:pPr>
    </w:p>
    <w:p w:rsidR="009D36CF" w:rsidRPr="009A3497" w:rsidRDefault="009D36CF" w:rsidP="009D36CF">
      <w:pPr>
        <w:pStyle w:val="Cuerpodelboletn"/>
        <w:spacing w:before="120" w:after="120" w:line="312" w:lineRule="auto"/>
        <w:ind w:left="426"/>
        <w:rPr>
          <w:color w:val="auto"/>
          <w:lang w:bidi="es-ES"/>
        </w:rPr>
      </w:pPr>
      <w:r w:rsidRPr="009A3497">
        <w:rPr>
          <w:rStyle w:val="Ttulo2Car"/>
          <w:sz w:val="22"/>
          <w:szCs w:val="22"/>
        </w:rPr>
        <w:t>Resolución</w:t>
      </w:r>
    </w:p>
    <w:p w:rsidR="009D36CF" w:rsidRPr="009A3497" w:rsidRDefault="009D36CF" w:rsidP="009D36CF">
      <w:pPr>
        <w:pStyle w:val="Cuerpodelboletn"/>
        <w:numPr>
          <w:ilvl w:val="0"/>
          <w:numId w:val="5"/>
        </w:numPr>
        <w:spacing w:before="120" w:after="120" w:line="312" w:lineRule="auto"/>
        <w:rPr>
          <w:color w:val="auto"/>
          <w:lang w:bidi="es-ES"/>
        </w:rPr>
      </w:pPr>
      <w:r w:rsidRPr="009A3497">
        <w:rPr>
          <w:color w:val="auto"/>
          <w:lang w:bidi="es-ES"/>
        </w:rPr>
        <w:t xml:space="preserve">Se dicta resolución expresa con fecha 09/03/2021 – por lo tanto dentro de plazo – </w:t>
      </w:r>
      <w:r w:rsidR="009A3497">
        <w:rPr>
          <w:color w:val="auto"/>
          <w:lang w:bidi="es-ES"/>
        </w:rPr>
        <w:t xml:space="preserve"> y se pone a disposición </w:t>
      </w:r>
      <w:r w:rsidR="001D7CE7">
        <w:rPr>
          <w:color w:val="auto"/>
          <w:lang w:bidi="es-ES"/>
        </w:rPr>
        <w:t xml:space="preserve">del solicitante </w:t>
      </w:r>
      <w:r w:rsidR="009A3497">
        <w:rPr>
          <w:color w:val="auto"/>
          <w:lang w:bidi="es-ES"/>
        </w:rPr>
        <w:t>el</w:t>
      </w:r>
      <w:r w:rsidR="00A93A13">
        <w:rPr>
          <w:color w:val="auto"/>
          <w:lang w:bidi="es-ES"/>
        </w:rPr>
        <w:t xml:space="preserve"> </w:t>
      </w:r>
      <w:r w:rsidR="009A3497">
        <w:rPr>
          <w:color w:val="auto"/>
          <w:lang w:bidi="es-ES"/>
        </w:rPr>
        <w:t>12/03/2021</w:t>
      </w:r>
      <w:r w:rsidR="00EE119A">
        <w:rPr>
          <w:color w:val="auto"/>
          <w:lang w:bidi="es-ES"/>
        </w:rPr>
        <w:t xml:space="preserve">, </w:t>
      </w:r>
      <w:r w:rsidRPr="009A3497">
        <w:rPr>
          <w:color w:val="auto"/>
          <w:lang w:bidi="es-ES"/>
        </w:rPr>
        <w:t xml:space="preserve">firmada por la </w:t>
      </w:r>
      <w:r w:rsidR="00EE119A">
        <w:rPr>
          <w:color w:val="auto"/>
          <w:lang w:bidi="es-ES"/>
        </w:rPr>
        <w:t>Vicesecretaria General de la Presidencia</w:t>
      </w:r>
      <w:r w:rsidRPr="009A3497">
        <w:rPr>
          <w:color w:val="auto"/>
          <w:lang w:bidi="es-ES"/>
        </w:rPr>
        <w:t>.</w:t>
      </w:r>
    </w:p>
    <w:p w:rsidR="009D36CF" w:rsidRPr="009A3497" w:rsidRDefault="009D36CF" w:rsidP="009D36CF">
      <w:pPr>
        <w:pStyle w:val="Cuerpodelboletn"/>
        <w:numPr>
          <w:ilvl w:val="0"/>
          <w:numId w:val="5"/>
        </w:numPr>
        <w:spacing w:before="120" w:after="120" w:line="312" w:lineRule="auto"/>
        <w:rPr>
          <w:color w:val="auto"/>
          <w:lang w:bidi="es-ES"/>
        </w:rPr>
      </w:pPr>
      <w:r w:rsidRPr="009A3497">
        <w:rPr>
          <w:color w:val="auto"/>
          <w:lang w:bidi="es-ES"/>
        </w:rPr>
        <w:t>La resolución está motivada.</w:t>
      </w:r>
    </w:p>
    <w:p w:rsidR="009D36CF" w:rsidRPr="009A3497" w:rsidRDefault="009D36CF" w:rsidP="009D36CF">
      <w:pPr>
        <w:pStyle w:val="Prrafodelista"/>
        <w:numPr>
          <w:ilvl w:val="0"/>
          <w:numId w:val="5"/>
        </w:numPr>
        <w:jc w:val="both"/>
      </w:pPr>
      <w:r w:rsidRPr="009A3497">
        <w:rPr>
          <w:lang w:bidi="es-ES"/>
        </w:rPr>
        <w:t xml:space="preserve">La resolución responde a la totalidad de la información solicitada. </w:t>
      </w:r>
    </w:p>
    <w:p w:rsidR="009D36CF" w:rsidRPr="009A3497" w:rsidRDefault="009D36CF" w:rsidP="009D36CF">
      <w:pPr>
        <w:pStyle w:val="Cuerpodelboletn"/>
        <w:numPr>
          <w:ilvl w:val="0"/>
          <w:numId w:val="5"/>
        </w:numPr>
        <w:spacing w:before="120" w:after="120" w:line="312" w:lineRule="auto"/>
        <w:rPr>
          <w:color w:val="auto"/>
          <w:lang w:bidi="es-ES"/>
        </w:rPr>
      </w:pPr>
      <w:r w:rsidRPr="009A3497">
        <w:rPr>
          <w:color w:val="auto"/>
          <w:lang w:bidi="es-ES"/>
        </w:rPr>
        <w:t>La resolución es clara, comprensible y está estructurada.</w:t>
      </w:r>
    </w:p>
    <w:p w:rsidR="009D36CF" w:rsidRPr="009A3497" w:rsidRDefault="009D36CF" w:rsidP="009D36CF">
      <w:pPr>
        <w:pStyle w:val="Cuerpodelboletn"/>
        <w:numPr>
          <w:ilvl w:val="0"/>
          <w:numId w:val="5"/>
        </w:numPr>
        <w:spacing w:before="120" w:after="120" w:line="312" w:lineRule="auto"/>
        <w:rPr>
          <w:color w:val="auto"/>
          <w:lang w:bidi="es-ES"/>
        </w:rPr>
      </w:pPr>
      <w:r w:rsidRPr="009A3497">
        <w:rPr>
          <w:color w:val="auto"/>
          <w:lang w:bidi="es-ES"/>
        </w:rPr>
        <w:t>Incluye pie de recurso indicando que pone fin a la vía administrativa, los recursos que pueden interponerse</w:t>
      </w:r>
      <w:r w:rsidR="001D7CE7">
        <w:rPr>
          <w:color w:val="auto"/>
          <w:lang w:bidi="es-ES"/>
        </w:rPr>
        <w:t xml:space="preserve"> (incluido el recurso potestativo ante el CTBG)</w:t>
      </w:r>
      <w:r w:rsidRPr="009A3497">
        <w:rPr>
          <w:color w:val="auto"/>
          <w:lang w:bidi="es-ES"/>
        </w:rPr>
        <w:t xml:space="preserve">, el órgano competente para resolverlos y el plazo para su interposición. </w:t>
      </w:r>
    </w:p>
    <w:p w:rsidR="009D36CF" w:rsidRPr="009A3497" w:rsidRDefault="009D36CF" w:rsidP="009D36CF">
      <w:pPr>
        <w:pStyle w:val="Cuerpodelboletn"/>
        <w:numPr>
          <w:ilvl w:val="0"/>
          <w:numId w:val="5"/>
        </w:numPr>
        <w:spacing w:before="120" w:after="120" w:line="312" w:lineRule="auto"/>
        <w:rPr>
          <w:color w:val="auto"/>
          <w:lang w:bidi="es-ES"/>
        </w:rPr>
      </w:pPr>
      <w:r w:rsidRPr="009A3497">
        <w:rPr>
          <w:color w:val="auto"/>
          <w:lang w:bidi="es-ES"/>
        </w:rPr>
        <w:t>La resolución se notifica en formato electrónico, lo que es coherente con la opción elegida por el interesado y concuerda con  la forma de presentación de la solicitud.</w:t>
      </w:r>
    </w:p>
    <w:p w:rsidR="009D36CF" w:rsidRPr="009A3497" w:rsidRDefault="009D36CF" w:rsidP="009D36CF">
      <w:pPr>
        <w:pStyle w:val="Cuerpodelboletn"/>
        <w:numPr>
          <w:ilvl w:val="0"/>
          <w:numId w:val="5"/>
        </w:numPr>
        <w:spacing w:before="120" w:after="120" w:line="312" w:lineRule="auto"/>
        <w:rPr>
          <w:color w:val="auto"/>
          <w:lang w:bidi="es-ES"/>
        </w:rPr>
      </w:pPr>
      <w:r w:rsidRPr="009A3497">
        <w:rPr>
          <w:color w:val="auto"/>
          <w:lang w:bidi="es-ES"/>
        </w:rPr>
        <w:t>Se facilita el acceso a la información en el momento de la notificación de la resolución y en el formato solicitado.</w:t>
      </w:r>
    </w:p>
    <w:p w:rsidR="00256215" w:rsidRPr="00A53FB8" w:rsidRDefault="00256215" w:rsidP="00256215">
      <w:pPr>
        <w:pStyle w:val="Cuerpodelboletn"/>
        <w:spacing w:before="120" w:after="120" w:line="312" w:lineRule="auto"/>
        <w:ind w:left="720"/>
        <w:rPr>
          <w:rFonts w:cs="Arial"/>
          <w:sz w:val="20"/>
          <w:szCs w:val="20"/>
        </w:rPr>
      </w:pPr>
    </w:p>
    <w:p w:rsidR="00256215" w:rsidRPr="00256215" w:rsidRDefault="00D60EAC" w:rsidP="0076364F">
      <w:pPr>
        <w:pStyle w:val="Cuerpodelboletn"/>
        <w:spacing w:before="120" w:after="120" w:line="312" w:lineRule="auto"/>
        <w:rPr>
          <w:b/>
          <w:color w:val="00642D"/>
          <w:sz w:val="32"/>
        </w:rPr>
      </w:pPr>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r w:rsidR="00256215" w:rsidRPr="00256215">
            <w:rPr>
              <w:b/>
              <w:color w:val="00642D"/>
              <w:sz w:val="30"/>
              <w:szCs w:val="30"/>
            </w:rPr>
            <w:t xml:space="preserve">IV. </w:t>
          </w:r>
          <w:r w:rsidR="00256215">
            <w:rPr>
              <w:b/>
              <w:color w:val="00642D"/>
              <w:sz w:val="30"/>
              <w:szCs w:val="30"/>
            </w:rPr>
            <w:t>Reclamaciones ante el Consejo de Transparencia</w:t>
          </w:r>
          <w:r w:rsidR="00EE5BDF">
            <w:rPr>
              <w:b/>
              <w:color w:val="00642D"/>
              <w:sz w:val="30"/>
              <w:szCs w:val="30"/>
            </w:rPr>
            <w:t xml:space="preserve"> y Buen Gobierno</w:t>
          </w:r>
          <w:r w:rsidR="00256215" w:rsidRPr="00256215">
            <w:rPr>
              <w:b/>
              <w:color w:val="00642D"/>
              <w:sz w:val="30"/>
              <w:szCs w:val="30"/>
            </w:rPr>
            <w:t xml:space="preserve"> </w:t>
          </w:r>
        </w:sdtContent>
      </w:sdt>
    </w:p>
    <w:p w:rsidR="006D635E" w:rsidRDefault="006D635E" w:rsidP="006D635E">
      <w:pPr>
        <w:pStyle w:val="Cuerpodelboletn"/>
        <w:spacing w:line="276" w:lineRule="auto"/>
        <w:ind w:left="426"/>
        <w:rPr>
          <w:color w:val="auto"/>
        </w:rPr>
      </w:pPr>
      <w:r>
        <w:rPr>
          <w:color w:val="auto"/>
        </w:rPr>
        <w:t xml:space="preserve">El CTBG ha recibido 6 reclamaciones contra resoluciones de la Secretaria General de la Presidencia en materia de acceso a la información pública de la Casa Real. Todas las reclamaciones fueron estimadas por el CTBG y en consecuencia favorables al reclamante, aunque </w:t>
      </w:r>
      <w:r w:rsidR="00CC57F4">
        <w:rPr>
          <w:color w:val="auto"/>
        </w:rPr>
        <w:t>en tres casos la estimación fue parcial y en otros dos se</w:t>
      </w:r>
      <w:r>
        <w:rPr>
          <w:color w:val="auto"/>
        </w:rPr>
        <w:t xml:space="preserve"> </w:t>
      </w:r>
      <w:r w:rsidR="00CC57F4">
        <w:rPr>
          <w:color w:val="auto"/>
        </w:rPr>
        <w:t>dio</w:t>
      </w:r>
      <w:r>
        <w:rPr>
          <w:color w:val="auto"/>
        </w:rPr>
        <w:t xml:space="preserve"> acceso a la información reclamada antes de finalizar el procedimiento de reclamación ante el Consejo.</w:t>
      </w:r>
    </w:p>
    <w:p w:rsidR="00CC57F4" w:rsidRDefault="00CC57F4" w:rsidP="006D635E">
      <w:pPr>
        <w:pStyle w:val="Cuerpodelboletn"/>
        <w:spacing w:line="276" w:lineRule="auto"/>
        <w:ind w:left="426"/>
        <w:rPr>
          <w:color w:val="auto"/>
        </w:rPr>
      </w:pPr>
      <w:r>
        <w:rPr>
          <w:color w:val="auto"/>
        </w:rPr>
        <w:t>No se ha presentado recurso contencioso administrativo contra ninguna de las resoluciones del CTBG.</w:t>
      </w:r>
    </w:p>
    <w:p w:rsidR="006D635E" w:rsidRPr="003456B5" w:rsidRDefault="006D635E" w:rsidP="006D635E">
      <w:pPr>
        <w:pStyle w:val="Epgrafe"/>
        <w:keepNext/>
        <w:ind w:left="426"/>
        <w:rPr>
          <w:rStyle w:val="Ttulo2Car"/>
          <w:b/>
          <w:color w:val="00642D"/>
          <w:sz w:val="22"/>
          <w:szCs w:val="22"/>
          <w:lang w:bidi="es-ES"/>
        </w:rPr>
      </w:pPr>
      <w:r w:rsidRPr="003456B5">
        <w:rPr>
          <w:rStyle w:val="Ttulo2Car"/>
          <w:b/>
          <w:color w:val="00642D"/>
          <w:sz w:val="22"/>
          <w:szCs w:val="22"/>
          <w:lang w:bidi="es-ES"/>
        </w:rPr>
        <w:t xml:space="preserve">Tabla </w:t>
      </w:r>
      <w:r w:rsidRPr="003456B5">
        <w:rPr>
          <w:rStyle w:val="Ttulo2Car"/>
          <w:b/>
          <w:color w:val="00642D"/>
          <w:sz w:val="22"/>
          <w:szCs w:val="22"/>
          <w:lang w:bidi="es-ES"/>
        </w:rPr>
        <w:fldChar w:fldCharType="begin"/>
      </w:r>
      <w:r w:rsidRPr="003456B5">
        <w:rPr>
          <w:rStyle w:val="Ttulo2Car"/>
          <w:b/>
          <w:color w:val="00642D"/>
          <w:sz w:val="22"/>
          <w:szCs w:val="22"/>
          <w:lang w:bidi="es-ES"/>
        </w:rPr>
        <w:instrText xml:space="preserve"> SEQ Tabla \* ARABIC </w:instrText>
      </w:r>
      <w:r w:rsidRPr="003456B5">
        <w:rPr>
          <w:rStyle w:val="Ttulo2Car"/>
          <w:b/>
          <w:color w:val="00642D"/>
          <w:sz w:val="22"/>
          <w:szCs w:val="22"/>
          <w:lang w:bidi="es-ES"/>
        </w:rPr>
        <w:fldChar w:fldCharType="separate"/>
      </w:r>
      <w:r w:rsidRPr="003456B5">
        <w:rPr>
          <w:rStyle w:val="Ttulo2Car"/>
          <w:b/>
          <w:color w:val="00642D"/>
          <w:sz w:val="22"/>
          <w:szCs w:val="22"/>
          <w:lang w:bidi="es-ES"/>
        </w:rPr>
        <w:t>3</w:t>
      </w:r>
      <w:r w:rsidRPr="003456B5">
        <w:rPr>
          <w:rStyle w:val="Ttulo2Car"/>
          <w:b/>
          <w:color w:val="00642D"/>
          <w:sz w:val="22"/>
          <w:szCs w:val="22"/>
          <w:lang w:bidi="es-ES"/>
        </w:rPr>
        <w:fldChar w:fldCharType="end"/>
      </w:r>
      <w:r w:rsidRPr="003456B5">
        <w:rPr>
          <w:rStyle w:val="Ttulo2Car"/>
          <w:b/>
          <w:color w:val="00642D"/>
          <w:sz w:val="22"/>
          <w:szCs w:val="22"/>
          <w:lang w:bidi="es-ES"/>
        </w:rPr>
        <w:t>: Reclamaciones ante el Consejo de Transparencia y Buen Gobierno</w:t>
      </w:r>
    </w:p>
    <w:tbl>
      <w:tblPr>
        <w:tblStyle w:val="Tablaconcuadrcula"/>
        <w:tblW w:w="0" w:type="auto"/>
        <w:tblInd w:w="534" w:type="dxa"/>
        <w:tblLook w:val="04A0" w:firstRow="1" w:lastRow="0" w:firstColumn="1" w:lastColumn="0" w:noHBand="0" w:noVBand="1"/>
      </w:tblPr>
      <w:tblGrid>
        <w:gridCol w:w="1299"/>
        <w:gridCol w:w="4479"/>
        <w:gridCol w:w="1843"/>
        <w:gridCol w:w="1559"/>
      </w:tblGrid>
      <w:tr w:rsidR="006D635E" w:rsidRPr="0048443D" w:rsidTr="006D635E">
        <w:tc>
          <w:tcPr>
            <w:tcW w:w="1299" w:type="dxa"/>
            <w:vMerge w:val="restart"/>
            <w:tcBorders>
              <w:top w:val="single" w:sz="4" w:space="0" w:color="FFFFFF" w:themeColor="background1"/>
              <w:right w:val="nil"/>
            </w:tcBorders>
            <w:shd w:val="clear" w:color="auto" w:fill="4D7F52"/>
            <w:textDirection w:val="btLr"/>
          </w:tcPr>
          <w:p w:rsidR="006D635E" w:rsidRPr="0048443D" w:rsidRDefault="006D635E" w:rsidP="006D635E">
            <w:pPr>
              <w:ind w:left="113" w:right="113"/>
              <w:jc w:val="center"/>
              <w:rPr>
                <w:color w:val="FFFFFF" w:themeColor="background1"/>
              </w:rPr>
            </w:pPr>
          </w:p>
        </w:tc>
        <w:tc>
          <w:tcPr>
            <w:tcW w:w="6322" w:type="dxa"/>
            <w:gridSpan w:val="2"/>
            <w:tcBorders>
              <w:left w:val="nil"/>
            </w:tcBorders>
          </w:tcPr>
          <w:p w:rsidR="006D635E" w:rsidRPr="0048443D" w:rsidRDefault="006D635E" w:rsidP="006D635E">
            <w:pPr>
              <w:rPr>
                <w:sz w:val="20"/>
                <w:szCs w:val="20"/>
              </w:rPr>
            </w:pPr>
            <w:r w:rsidRPr="0048443D">
              <w:rPr>
                <w:sz w:val="20"/>
                <w:szCs w:val="20"/>
              </w:rPr>
              <w:t>Nº de Resoluciones de la entidad recurridas ante el CTBG</w:t>
            </w:r>
          </w:p>
        </w:tc>
        <w:tc>
          <w:tcPr>
            <w:tcW w:w="1559" w:type="dxa"/>
            <w:vAlign w:val="center"/>
          </w:tcPr>
          <w:p w:rsidR="006D635E" w:rsidRPr="0048443D" w:rsidRDefault="00CC57F4" w:rsidP="006D635E">
            <w:pPr>
              <w:jc w:val="center"/>
              <w:rPr>
                <w:sz w:val="20"/>
                <w:szCs w:val="20"/>
              </w:rPr>
            </w:pPr>
            <w:r>
              <w:rPr>
                <w:sz w:val="20"/>
                <w:szCs w:val="20"/>
              </w:rPr>
              <w:t>6</w:t>
            </w:r>
          </w:p>
        </w:tc>
      </w:tr>
      <w:tr w:rsidR="006D635E" w:rsidRPr="0048443D" w:rsidTr="006D635E">
        <w:trPr>
          <w:trHeight w:val="248"/>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val="restart"/>
            <w:tcBorders>
              <w:left w:val="nil"/>
            </w:tcBorders>
          </w:tcPr>
          <w:p w:rsidR="006D635E" w:rsidRPr="0048443D" w:rsidRDefault="006D635E" w:rsidP="006D635E">
            <w:pPr>
              <w:rPr>
                <w:sz w:val="20"/>
                <w:szCs w:val="20"/>
              </w:rPr>
            </w:pPr>
            <w:r w:rsidRPr="0048443D">
              <w:rPr>
                <w:sz w:val="20"/>
                <w:szCs w:val="20"/>
              </w:rPr>
              <w:t>Nº de Resoluciones del CTBG favorables a la entidad</w:t>
            </w:r>
          </w:p>
        </w:tc>
        <w:tc>
          <w:tcPr>
            <w:tcW w:w="1843" w:type="dxa"/>
            <w:tcBorders>
              <w:left w:val="nil"/>
            </w:tcBorders>
          </w:tcPr>
          <w:p w:rsidR="006D635E" w:rsidRPr="0048443D" w:rsidRDefault="006D635E" w:rsidP="006D635E">
            <w:pPr>
              <w:rPr>
                <w:sz w:val="20"/>
                <w:szCs w:val="20"/>
              </w:rPr>
            </w:pPr>
            <w:r w:rsidRPr="0048443D">
              <w:rPr>
                <w:sz w:val="20"/>
                <w:szCs w:val="20"/>
              </w:rPr>
              <w:t>Nº</w:t>
            </w:r>
          </w:p>
        </w:tc>
        <w:tc>
          <w:tcPr>
            <w:tcW w:w="1559" w:type="dxa"/>
            <w:vAlign w:val="center"/>
          </w:tcPr>
          <w:p w:rsidR="006D635E" w:rsidRPr="0048443D" w:rsidRDefault="006D635E" w:rsidP="006D635E">
            <w:pPr>
              <w:jc w:val="center"/>
              <w:rPr>
                <w:sz w:val="20"/>
                <w:szCs w:val="20"/>
              </w:rPr>
            </w:pPr>
          </w:p>
        </w:tc>
      </w:tr>
      <w:tr w:rsidR="006D635E" w:rsidRPr="0048443D" w:rsidTr="006D635E">
        <w:trPr>
          <w:trHeight w:val="247"/>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tcBorders>
              <w:left w:val="nil"/>
            </w:tcBorders>
          </w:tcPr>
          <w:p w:rsidR="006D635E" w:rsidRPr="0048443D" w:rsidRDefault="006D635E" w:rsidP="006D635E">
            <w:pPr>
              <w:rPr>
                <w:sz w:val="20"/>
                <w:szCs w:val="20"/>
              </w:rPr>
            </w:pPr>
          </w:p>
        </w:tc>
        <w:tc>
          <w:tcPr>
            <w:tcW w:w="1843" w:type="dxa"/>
            <w:tcBorders>
              <w:left w:val="nil"/>
            </w:tcBorders>
          </w:tcPr>
          <w:p w:rsidR="006D635E" w:rsidRPr="0048443D" w:rsidRDefault="006D635E" w:rsidP="006D635E">
            <w:pPr>
              <w:rPr>
                <w:sz w:val="20"/>
                <w:szCs w:val="20"/>
              </w:rPr>
            </w:pPr>
            <w:r w:rsidRPr="0048443D">
              <w:rPr>
                <w:sz w:val="20"/>
                <w:szCs w:val="20"/>
              </w:rPr>
              <w:t>Porcentaje</w:t>
            </w:r>
          </w:p>
        </w:tc>
        <w:tc>
          <w:tcPr>
            <w:tcW w:w="1559" w:type="dxa"/>
            <w:vAlign w:val="center"/>
          </w:tcPr>
          <w:p w:rsidR="006D635E" w:rsidRPr="0048443D" w:rsidRDefault="006D635E" w:rsidP="006D635E">
            <w:pPr>
              <w:jc w:val="center"/>
              <w:rPr>
                <w:sz w:val="20"/>
                <w:szCs w:val="20"/>
              </w:rPr>
            </w:pPr>
          </w:p>
        </w:tc>
      </w:tr>
      <w:tr w:rsidR="006D635E" w:rsidRPr="0048443D" w:rsidTr="006D635E">
        <w:trPr>
          <w:trHeight w:val="248"/>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val="restart"/>
            <w:tcBorders>
              <w:left w:val="nil"/>
            </w:tcBorders>
          </w:tcPr>
          <w:p w:rsidR="006D635E" w:rsidRPr="0048443D" w:rsidRDefault="006D635E" w:rsidP="006D635E">
            <w:pPr>
              <w:rPr>
                <w:sz w:val="20"/>
                <w:szCs w:val="20"/>
              </w:rPr>
            </w:pPr>
            <w:r w:rsidRPr="0048443D">
              <w:rPr>
                <w:sz w:val="20"/>
                <w:szCs w:val="20"/>
              </w:rPr>
              <w:t>Nº de Resoluciones del CTBG favorables a los reclamantes</w:t>
            </w:r>
          </w:p>
        </w:tc>
        <w:tc>
          <w:tcPr>
            <w:tcW w:w="1843" w:type="dxa"/>
            <w:tcBorders>
              <w:left w:val="nil"/>
            </w:tcBorders>
          </w:tcPr>
          <w:p w:rsidR="006D635E" w:rsidRPr="0048443D" w:rsidRDefault="006D635E" w:rsidP="006D635E">
            <w:pPr>
              <w:rPr>
                <w:sz w:val="20"/>
                <w:szCs w:val="20"/>
              </w:rPr>
            </w:pPr>
            <w:r w:rsidRPr="0048443D">
              <w:rPr>
                <w:sz w:val="20"/>
                <w:szCs w:val="20"/>
              </w:rPr>
              <w:t>Nº</w:t>
            </w:r>
          </w:p>
        </w:tc>
        <w:tc>
          <w:tcPr>
            <w:tcW w:w="1559" w:type="dxa"/>
            <w:vAlign w:val="center"/>
          </w:tcPr>
          <w:p w:rsidR="006D635E" w:rsidRPr="0048443D" w:rsidRDefault="00CC57F4" w:rsidP="006D635E">
            <w:pPr>
              <w:jc w:val="center"/>
              <w:rPr>
                <w:sz w:val="20"/>
                <w:szCs w:val="20"/>
              </w:rPr>
            </w:pPr>
            <w:r>
              <w:rPr>
                <w:sz w:val="20"/>
                <w:szCs w:val="20"/>
              </w:rPr>
              <w:t>6</w:t>
            </w:r>
          </w:p>
        </w:tc>
      </w:tr>
      <w:tr w:rsidR="006D635E" w:rsidRPr="0048443D" w:rsidTr="006D635E">
        <w:trPr>
          <w:trHeight w:val="247"/>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tcBorders>
              <w:left w:val="nil"/>
            </w:tcBorders>
          </w:tcPr>
          <w:p w:rsidR="006D635E" w:rsidRPr="0048443D" w:rsidRDefault="006D635E" w:rsidP="006D635E">
            <w:pPr>
              <w:rPr>
                <w:sz w:val="20"/>
                <w:szCs w:val="20"/>
              </w:rPr>
            </w:pPr>
          </w:p>
        </w:tc>
        <w:tc>
          <w:tcPr>
            <w:tcW w:w="1843" w:type="dxa"/>
            <w:tcBorders>
              <w:left w:val="nil"/>
            </w:tcBorders>
          </w:tcPr>
          <w:p w:rsidR="006D635E" w:rsidRPr="0048443D" w:rsidRDefault="006D635E" w:rsidP="006D635E">
            <w:pPr>
              <w:rPr>
                <w:sz w:val="20"/>
                <w:szCs w:val="20"/>
              </w:rPr>
            </w:pPr>
            <w:r w:rsidRPr="0048443D">
              <w:rPr>
                <w:sz w:val="20"/>
                <w:szCs w:val="20"/>
              </w:rPr>
              <w:t>Porcentaje</w:t>
            </w:r>
          </w:p>
        </w:tc>
        <w:tc>
          <w:tcPr>
            <w:tcW w:w="1559" w:type="dxa"/>
            <w:vAlign w:val="center"/>
          </w:tcPr>
          <w:p w:rsidR="006D635E" w:rsidRPr="0048443D" w:rsidRDefault="006D635E" w:rsidP="006D635E">
            <w:pPr>
              <w:jc w:val="center"/>
              <w:rPr>
                <w:sz w:val="20"/>
                <w:szCs w:val="20"/>
              </w:rPr>
            </w:pPr>
            <w:r>
              <w:rPr>
                <w:sz w:val="20"/>
                <w:szCs w:val="20"/>
              </w:rPr>
              <w:t>100%</w:t>
            </w:r>
          </w:p>
        </w:tc>
      </w:tr>
      <w:tr w:rsidR="006D635E" w:rsidRPr="0048443D" w:rsidTr="006D635E">
        <w:tc>
          <w:tcPr>
            <w:tcW w:w="1299" w:type="dxa"/>
            <w:vMerge/>
            <w:tcBorders>
              <w:right w:val="nil"/>
            </w:tcBorders>
            <w:shd w:val="clear" w:color="auto" w:fill="4D7F52"/>
          </w:tcPr>
          <w:p w:rsidR="006D635E" w:rsidRPr="0048443D" w:rsidRDefault="006D635E" w:rsidP="006D635E">
            <w:pPr>
              <w:ind w:left="113" w:right="113"/>
              <w:jc w:val="center"/>
            </w:pPr>
          </w:p>
        </w:tc>
        <w:tc>
          <w:tcPr>
            <w:tcW w:w="6322" w:type="dxa"/>
            <w:gridSpan w:val="2"/>
            <w:tcBorders>
              <w:left w:val="nil"/>
            </w:tcBorders>
          </w:tcPr>
          <w:p w:rsidR="006D635E" w:rsidRPr="0048443D" w:rsidRDefault="006D635E" w:rsidP="006D635E">
            <w:pPr>
              <w:rPr>
                <w:sz w:val="20"/>
                <w:szCs w:val="20"/>
              </w:rPr>
            </w:pPr>
            <w:r w:rsidRPr="0048443D">
              <w:rPr>
                <w:sz w:val="20"/>
                <w:szCs w:val="20"/>
              </w:rPr>
              <w:t>Nº de Resoluciones del CTBG favorables a los reclamantes recurridas ante la jurisdicción contencioso-administrativa</w:t>
            </w:r>
          </w:p>
        </w:tc>
        <w:tc>
          <w:tcPr>
            <w:tcW w:w="1559" w:type="dxa"/>
            <w:vAlign w:val="center"/>
          </w:tcPr>
          <w:p w:rsidR="006D635E" w:rsidRPr="0048443D" w:rsidRDefault="00CC57F4" w:rsidP="006D635E">
            <w:pPr>
              <w:jc w:val="center"/>
              <w:rPr>
                <w:sz w:val="20"/>
                <w:szCs w:val="20"/>
              </w:rPr>
            </w:pPr>
            <w:r>
              <w:rPr>
                <w:sz w:val="20"/>
                <w:szCs w:val="20"/>
              </w:rPr>
              <w:t>0</w:t>
            </w:r>
          </w:p>
        </w:tc>
      </w:tr>
      <w:tr w:rsidR="006D635E" w:rsidRPr="0048443D" w:rsidTr="006D635E">
        <w:tc>
          <w:tcPr>
            <w:tcW w:w="1299" w:type="dxa"/>
            <w:vMerge/>
            <w:tcBorders>
              <w:right w:val="nil"/>
            </w:tcBorders>
            <w:shd w:val="clear" w:color="auto" w:fill="4D7F52"/>
          </w:tcPr>
          <w:p w:rsidR="006D635E" w:rsidRPr="0048443D" w:rsidRDefault="006D635E" w:rsidP="006D635E">
            <w:pPr>
              <w:ind w:left="113" w:right="113"/>
              <w:jc w:val="center"/>
            </w:pPr>
          </w:p>
        </w:tc>
        <w:tc>
          <w:tcPr>
            <w:tcW w:w="6322" w:type="dxa"/>
            <w:gridSpan w:val="2"/>
            <w:tcBorders>
              <w:left w:val="nil"/>
            </w:tcBorders>
          </w:tcPr>
          <w:p w:rsidR="006D635E" w:rsidRPr="0048443D" w:rsidRDefault="006D635E" w:rsidP="006D635E">
            <w:pPr>
              <w:rPr>
                <w:sz w:val="20"/>
                <w:szCs w:val="20"/>
              </w:rPr>
            </w:pPr>
            <w:r w:rsidRPr="0048443D">
              <w:rPr>
                <w:sz w:val="20"/>
                <w:szCs w:val="20"/>
              </w:rPr>
              <w:t>Tasa de litigiosidad</w:t>
            </w:r>
          </w:p>
        </w:tc>
        <w:tc>
          <w:tcPr>
            <w:tcW w:w="1559" w:type="dxa"/>
            <w:vAlign w:val="center"/>
          </w:tcPr>
          <w:p w:rsidR="006D635E" w:rsidRPr="0048443D" w:rsidRDefault="006D635E" w:rsidP="006D635E">
            <w:pPr>
              <w:jc w:val="center"/>
              <w:rPr>
                <w:sz w:val="20"/>
                <w:szCs w:val="20"/>
              </w:rPr>
            </w:pPr>
          </w:p>
        </w:tc>
      </w:tr>
      <w:tr w:rsidR="006D635E" w:rsidRPr="0048443D" w:rsidTr="006D635E">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val="restart"/>
            <w:tcBorders>
              <w:left w:val="nil"/>
            </w:tcBorders>
            <w:vAlign w:val="center"/>
          </w:tcPr>
          <w:p w:rsidR="006D635E" w:rsidRPr="0048443D" w:rsidRDefault="006D635E" w:rsidP="006D635E">
            <w:pPr>
              <w:rPr>
                <w:sz w:val="20"/>
                <w:szCs w:val="20"/>
              </w:rPr>
            </w:pPr>
            <w:r w:rsidRPr="0048443D">
              <w:rPr>
                <w:sz w:val="20"/>
                <w:szCs w:val="20"/>
              </w:rPr>
              <w:t>Sentencias firmes favorables al CTBG</w:t>
            </w:r>
          </w:p>
        </w:tc>
        <w:tc>
          <w:tcPr>
            <w:tcW w:w="1843" w:type="dxa"/>
            <w:tcBorders>
              <w:left w:val="nil"/>
            </w:tcBorders>
          </w:tcPr>
          <w:p w:rsidR="006D635E" w:rsidRPr="0048443D" w:rsidRDefault="006D635E" w:rsidP="006D635E">
            <w:pPr>
              <w:rPr>
                <w:sz w:val="20"/>
                <w:szCs w:val="20"/>
              </w:rPr>
            </w:pPr>
            <w:r w:rsidRPr="0048443D">
              <w:rPr>
                <w:sz w:val="20"/>
                <w:szCs w:val="20"/>
              </w:rPr>
              <w:t xml:space="preserve">Nº </w:t>
            </w:r>
          </w:p>
        </w:tc>
        <w:tc>
          <w:tcPr>
            <w:tcW w:w="1559" w:type="dxa"/>
            <w:vAlign w:val="center"/>
          </w:tcPr>
          <w:p w:rsidR="006D635E" w:rsidRPr="0048443D" w:rsidRDefault="006D635E" w:rsidP="006D635E">
            <w:pPr>
              <w:jc w:val="center"/>
              <w:rPr>
                <w:sz w:val="20"/>
                <w:szCs w:val="20"/>
              </w:rPr>
            </w:pPr>
          </w:p>
        </w:tc>
      </w:tr>
      <w:tr w:rsidR="006D635E" w:rsidRPr="0048443D" w:rsidTr="006D635E">
        <w:trPr>
          <w:trHeight w:val="113"/>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tcBorders>
              <w:left w:val="nil"/>
            </w:tcBorders>
            <w:vAlign w:val="center"/>
          </w:tcPr>
          <w:p w:rsidR="006D635E" w:rsidRPr="0048443D" w:rsidRDefault="006D635E" w:rsidP="006D635E">
            <w:pPr>
              <w:rPr>
                <w:sz w:val="20"/>
                <w:szCs w:val="20"/>
              </w:rPr>
            </w:pPr>
          </w:p>
        </w:tc>
        <w:tc>
          <w:tcPr>
            <w:tcW w:w="1843" w:type="dxa"/>
            <w:tcBorders>
              <w:left w:val="nil"/>
            </w:tcBorders>
          </w:tcPr>
          <w:p w:rsidR="006D635E" w:rsidRPr="0048443D" w:rsidRDefault="006D635E" w:rsidP="006D635E">
            <w:pPr>
              <w:rPr>
                <w:sz w:val="20"/>
                <w:szCs w:val="20"/>
              </w:rPr>
            </w:pPr>
            <w:r w:rsidRPr="0048443D">
              <w:rPr>
                <w:sz w:val="20"/>
                <w:szCs w:val="20"/>
              </w:rPr>
              <w:t>Porcentaje</w:t>
            </w:r>
          </w:p>
        </w:tc>
        <w:tc>
          <w:tcPr>
            <w:tcW w:w="1559" w:type="dxa"/>
            <w:vAlign w:val="center"/>
          </w:tcPr>
          <w:p w:rsidR="006D635E" w:rsidRPr="0048443D" w:rsidRDefault="006D635E" w:rsidP="006D635E">
            <w:pPr>
              <w:jc w:val="center"/>
              <w:rPr>
                <w:sz w:val="20"/>
                <w:szCs w:val="20"/>
              </w:rPr>
            </w:pPr>
          </w:p>
        </w:tc>
      </w:tr>
      <w:tr w:rsidR="006D635E" w:rsidRPr="0048443D" w:rsidTr="006D635E">
        <w:trPr>
          <w:trHeight w:val="248"/>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val="restart"/>
            <w:tcBorders>
              <w:left w:val="nil"/>
            </w:tcBorders>
            <w:vAlign w:val="center"/>
          </w:tcPr>
          <w:p w:rsidR="006D635E" w:rsidRPr="0048443D" w:rsidRDefault="006D635E" w:rsidP="006D635E">
            <w:pPr>
              <w:rPr>
                <w:sz w:val="20"/>
                <w:szCs w:val="20"/>
              </w:rPr>
            </w:pPr>
            <w:r w:rsidRPr="0048443D">
              <w:rPr>
                <w:sz w:val="20"/>
                <w:szCs w:val="20"/>
              </w:rPr>
              <w:t>Sentencias firmes favorables a la entidad</w:t>
            </w:r>
          </w:p>
        </w:tc>
        <w:tc>
          <w:tcPr>
            <w:tcW w:w="1843" w:type="dxa"/>
            <w:tcBorders>
              <w:left w:val="nil"/>
            </w:tcBorders>
          </w:tcPr>
          <w:p w:rsidR="006D635E" w:rsidRPr="0048443D" w:rsidRDefault="006D635E" w:rsidP="006D635E">
            <w:pPr>
              <w:rPr>
                <w:sz w:val="20"/>
                <w:szCs w:val="20"/>
              </w:rPr>
            </w:pPr>
            <w:r w:rsidRPr="0048443D">
              <w:rPr>
                <w:sz w:val="20"/>
                <w:szCs w:val="20"/>
              </w:rPr>
              <w:t xml:space="preserve">Nº </w:t>
            </w:r>
          </w:p>
        </w:tc>
        <w:tc>
          <w:tcPr>
            <w:tcW w:w="1559" w:type="dxa"/>
            <w:vAlign w:val="center"/>
          </w:tcPr>
          <w:p w:rsidR="006D635E" w:rsidRPr="0048443D" w:rsidRDefault="006D635E" w:rsidP="006D635E">
            <w:pPr>
              <w:jc w:val="center"/>
              <w:rPr>
                <w:sz w:val="20"/>
                <w:szCs w:val="20"/>
              </w:rPr>
            </w:pPr>
          </w:p>
        </w:tc>
      </w:tr>
      <w:tr w:rsidR="006D635E" w:rsidRPr="0048443D" w:rsidTr="006D635E">
        <w:trPr>
          <w:trHeight w:val="247"/>
        </w:trPr>
        <w:tc>
          <w:tcPr>
            <w:tcW w:w="1299" w:type="dxa"/>
            <w:vMerge/>
            <w:tcBorders>
              <w:right w:val="nil"/>
            </w:tcBorders>
            <w:shd w:val="clear" w:color="auto" w:fill="4D7F52"/>
          </w:tcPr>
          <w:p w:rsidR="006D635E" w:rsidRPr="0048443D" w:rsidRDefault="006D635E" w:rsidP="006D635E">
            <w:pPr>
              <w:ind w:left="113" w:right="113"/>
              <w:jc w:val="center"/>
            </w:pPr>
          </w:p>
        </w:tc>
        <w:tc>
          <w:tcPr>
            <w:tcW w:w="4479" w:type="dxa"/>
            <w:vMerge/>
            <w:tcBorders>
              <w:left w:val="nil"/>
            </w:tcBorders>
          </w:tcPr>
          <w:p w:rsidR="006D635E" w:rsidRPr="0048443D" w:rsidRDefault="006D635E" w:rsidP="006D635E">
            <w:pPr>
              <w:rPr>
                <w:sz w:val="20"/>
                <w:szCs w:val="20"/>
              </w:rPr>
            </w:pPr>
          </w:p>
        </w:tc>
        <w:tc>
          <w:tcPr>
            <w:tcW w:w="1843" w:type="dxa"/>
            <w:tcBorders>
              <w:left w:val="nil"/>
            </w:tcBorders>
          </w:tcPr>
          <w:p w:rsidR="006D635E" w:rsidRPr="0048443D" w:rsidRDefault="006D635E" w:rsidP="006D635E">
            <w:pPr>
              <w:rPr>
                <w:sz w:val="20"/>
                <w:szCs w:val="20"/>
              </w:rPr>
            </w:pPr>
            <w:r w:rsidRPr="0048443D">
              <w:rPr>
                <w:sz w:val="20"/>
                <w:szCs w:val="20"/>
              </w:rPr>
              <w:t>Porcentaje</w:t>
            </w:r>
          </w:p>
        </w:tc>
        <w:tc>
          <w:tcPr>
            <w:tcW w:w="1559" w:type="dxa"/>
            <w:vAlign w:val="center"/>
          </w:tcPr>
          <w:p w:rsidR="006D635E" w:rsidRPr="0048443D" w:rsidRDefault="006D635E" w:rsidP="006D635E">
            <w:pPr>
              <w:jc w:val="center"/>
              <w:rPr>
                <w:sz w:val="20"/>
                <w:szCs w:val="20"/>
              </w:rPr>
            </w:pPr>
          </w:p>
        </w:tc>
      </w:tr>
    </w:tbl>
    <w:p w:rsidR="006D635E" w:rsidRDefault="006D635E" w:rsidP="006D635E">
      <w:pPr>
        <w:pStyle w:val="Cuerpodelboletn"/>
      </w:pPr>
    </w:p>
    <w:p w:rsidR="00256215" w:rsidRDefault="00256215" w:rsidP="00256215">
      <w:pPr>
        <w:pStyle w:val="Cuerpodelboletn"/>
      </w:pPr>
    </w:p>
    <w:p w:rsidR="001F251B" w:rsidRPr="00256215" w:rsidRDefault="00D60EAC"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CC57F4" w:rsidRDefault="00CC57F4" w:rsidP="00CC57F4">
      <w:pPr>
        <w:ind w:left="426"/>
      </w:pPr>
      <w:r>
        <w:t>La Casa Real presenta buenas prácticas que podrían ser aplicables por otras instituciones y organismos públicos para facilitar y mejorar el derecho de acceso a la información pública por parte dela ciudadanía.</w:t>
      </w:r>
    </w:p>
    <w:p w:rsidR="00CC57F4" w:rsidRDefault="00CC57F4" w:rsidP="00CC57F4">
      <w:pPr>
        <w:ind w:left="426"/>
      </w:pPr>
      <w:r>
        <w:t>En este sentido cabe destacar:</w:t>
      </w:r>
    </w:p>
    <w:p w:rsidR="00256215" w:rsidRDefault="00CC57F4" w:rsidP="00CC57F4">
      <w:pPr>
        <w:pStyle w:val="Prrafodelista"/>
        <w:numPr>
          <w:ilvl w:val="0"/>
          <w:numId w:val="8"/>
        </w:numPr>
      </w:pPr>
      <w:r>
        <w:t>La habilitación de diversos medios para la presentación de las solicitudes.</w:t>
      </w:r>
    </w:p>
    <w:p w:rsidR="00CC57F4" w:rsidRDefault="00CC57F4" w:rsidP="00CC57F4">
      <w:pPr>
        <w:pStyle w:val="Prrafodelista"/>
        <w:numPr>
          <w:ilvl w:val="0"/>
          <w:numId w:val="8"/>
        </w:numPr>
      </w:pPr>
      <w:r>
        <w:t>La publicación de información adicional para facilitar el ejercicio del derecho.</w:t>
      </w:r>
    </w:p>
    <w:p w:rsidR="005D6625" w:rsidRDefault="005D6625" w:rsidP="00CC57F4">
      <w:pPr>
        <w:pStyle w:val="Prrafodelista"/>
        <w:numPr>
          <w:ilvl w:val="0"/>
          <w:numId w:val="8"/>
        </w:numPr>
      </w:pPr>
      <w:r>
        <w:t>La posibilidad de presentar reclamación ante el CTBG, aunque la Casa Real es uno de los órganos excluidos de esta posibilidad en función de lo dispuesto en el artículo 23.2 de la LTAIBG.</w:t>
      </w:r>
    </w:p>
    <w:p w:rsidR="00256215" w:rsidRDefault="00256215" w:rsidP="00256215"/>
    <w:p w:rsidR="00256215" w:rsidRDefault="00D60EAC"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CC57F4" w:rsidRDefault="00CC57F4" w:rsidP="009D36CF">
      <w:pPr>
        <w:pStyle w:val="Prrafodelista"/>
        <w:ind w:left="426"/>
        <w:jc w:val="both"/>
        <w:rPr>
          <w:bCs/>
        </w:rPr>
      </w:pPr>
    </w:p>
    <w:p w:rsidR="00CC57F4" w:rsidRPr="00CC57F4" w:rsidRDefault="00CC57F4" w:rsidP="00CC57F4">
      <w:pPr>
        <w:numPr>
          <w:ilvl w:val="0"/>
          <w:numId w:val="7"/>
        </w:numPr>
        <w:ind w:left="709"/>
        <w:contextualSpacing/>
        <w:rPr>
          <w:rFonts w:eastAsiaTheme="majorEastAsia" w:cstheme="majorBidi"/>
          <w:b/>
          <w:bCs/>
          <w:color w:val="00642D"/>
          <w:lang w:bidi="es-ES"/>
        </w:rPr>
      </w:pPr>
      <w:r w:rsidRPr="00CC57F4">
        <w:rPr>
          <w:rFonts w:eastAsiaTheme="majorEastAsia" w:cstheme="majorBidi"/>
          <w:b/>
          <w:bCs/>
          <w:color w:val="00642D"/>
          <w:lang w:bidi="es-ES"/>
        </w:rPr>
        <w:t>Respecto de la actividad generada por las solicitudes de acceso a información pública.</w:t>
      </w:r>
    </w:p>
    <w:p w:rsidR="00CC57F4" w:rsidRDefault="00CC57F4" w:rsidP="009D36CF">
      <w:pPr>
        <w:pStyle w:val="Prrafodelista"/>
        <w:ind w:left="426"/>
        <w:jc w:val="both"/>
        <w:rPr>
          <w:bCs/>
        </w:rPr>
      </w:pPr>
    </w:p>
    <w:p w:rsidR="009D36CF" w:rsidRDefault="005358B1" w:rsidP="009D36CF">
      <w:pPr>
        <w:pStyle w:val="Prrafodelista"/>
        <w:ind w:left="426"/>
        <w:jc w:val="both"/>
        <w:rPr>
          <w:bCs/>
        </w:rPr>
      </w:pPr>
      <w:r>
        <w:rPr>
          <w:bCs/>
        </w:rPr>
        <w:t>La Secretaría General de la Presidencia</w:t>
      </w:r>
      <w:r w:rsidR="009D36CF" w:rsidRPr="005358B1">
        <w:rPr>
          <w:bCs/>
        </w:rPr>
        <w:t xml:space="preserve"> tramita </w:t>
      </w:r>
      <w:r>
        <w:rPr>
          <w:bCs/>
        </w:rPr>
        <w:t>el 8</w:t>
      </w:r>
      <w:r w:rsidR="00A53AD8">
        <w:rPr>
          <w:bCs/>
        </w:rPr>
        <w:t>6</w:t>
      </w:r>
      <w:r>
        <w:rPr>
          <w:bCs/>
        </w:rPr>
        <w:t>%</w:t>
      </w:r>
      <w:r w:rsidR="009D36CF" w:rsidRPr="005358B1">
        <w:rPr>
          <w:bCs/>
        </w:rPr>
        <w:t xml:space="preserve"> de las solicitudes </w:t>
      </w:r>
      <w:r>
        <w:rPr>
          <w:bCs/>
        </w:rPr>
        <w:t xml:space="preserve">de información pública de la Casa Real </w:t>
      </w:r>
      <w:r w:rsidR="009D36CF" w:rsidRPr="005358B1">
        <w:rPr>
          <w:bCs/>
        </w:rPr>
        <w:t>que recibe</w:t>
      </w:r>
      <w:r>
        <w:rPr>
          <w:bCs/>
        </w:rPr>
        <w:t xml:space="preserve"> y</w:t>
      </w:r>
      <w:r w:rsidR="009D36CF" w:rsidRPr="005358B1">
        <w:rPr>
          <w:bCs/>
        </w:rPr>
        <w:t xml:space="preserve"> admite un poco más del </w:t>
      </w:r>
      <w:r>
        <w:rPr>
          <w:bCs/>
        </w:rPr>
        <w:t>57</w:t>
      </w:r>
      <w:r w:rsidR="009D36CF" w:rsidRPr="005358B1">
        <w:rPr>
          <w:bCs/>
        </w:rPr>
        <w:t>%</w:t>
      </w:r>
      <w:r>
        <w:rPr>
          <w:bCs/>
        </w:rPr>
        <w:t xml:space="preserve">. Una cuarta parte de las solicitudes son inadmitidas básicamente porque se considera la </w:t>
      </w:r>
      <w:r w:rsidR="004B0D4D">
        <w:rPr>
          <w:bCs/>
        </w:rPr>
        <w:t xml:space="preserve">solicitud de </w:t>
      </w:r>
      <w:r>
        <w:rPr>
          <w:bCs/>
        </w:rPr>
        <w:t>información repetitiva o abusiva – más del</w:t>
      </w:r>
      <w:r w:rsidR="00A53AD8">
        <w:rPr>
          <w:bCs/>
        </w:rPr>
        <w:t xml:space="preserve"> </w:t>
      </w:r>
      <w:r>
        <w:rPr>
          <w:bCs/>
        </w:rPr>
        <w:t xml:space="preserve">63% de las solicitudes inadmitidas – y en segundo término por otras causas de inadmisión no especificadas en la información sobre actividad en materia de derecho de acceso remitida a este Consejo. </w:t>
      </w:r>
      <w:r w:rsidR="004B0D4D">
        <w:rPr>
          <w:bCs/>
        </w:rPr>
        <w:t>Por otra parte</w:t>
      </w:r>
      <w:r w:rsidR="00A53AD8">
        <w:rPr>
          <w:bCs/>
        </w:rPr>
        <w:t>,</w:t>
      </w:r>
      <w:r w:rsidR="004B0D4D">
        <w:rPr>
          <w:bCs/>
        </w:rPr>
        <w:t xml:space="preserve"> aumenta</w:t>
      </w:r>
      <w:r w:rsidR="009D36CF" w:rsidRPr="005358B1">
        <w:rPr>
          <w:bCs/>
        </w:rPr>
        <w:t xml:space="preserve"> el número de solicitudes que quedan pendientes de tramitación al finalizar el año respecto de 2019</w:t>
      </w:r>
      <w:r w:rsidR="004B0D4D">
        <w:rPr>
          <w:bCs/>
        </w:rPr>
        <w:t xml:space="preserve"> pasando de 4 a 21</w:t>
      </w:r>
      <w:r w:rsidR="009D36CF" w:rsidRPr="005358B1">
        <w:rPr>
          <w:bCs/>
        </w:rPr>
        <w:t xml:space="preserve">.  </w:t>
      </w:r>
    </w:p>
    <w:p w:rsidR="004B0D4D" w:rsidRDefault="004B0D4D" w:rsidP="009D36CF">
      <w:pPr>
        <w:pStyle w:val="Prrafodelista"/>
        <w:ind w:left="426"/>
        <w:jc w:val="both"/>
        <w:rPr>
          <w:bCs/>
        </w:rPr>
      </w:pPr>
    </w:p>
    <w:p w:rsidR="004B0D4D" w:rsidRDefault="004B0D4D" w:rsidP="004B0D4D">
      <w:pPr>
        <w:pStyle w:val="Prrafodelista"/>
        <w:pBdr>
          <w:top w:val="single" w:sz="4" w:space="0" w:color="009242"/>
          <w:left w:val="single" w:sz="4" w:space="4" w:color="009242"/>
          <w:bottom w:val="single" w:sz="4" w:space="1" w:color="009242"/>
          <w:right w:val="single" w:sz="4" w:space="4" w:color="009242"/>
        </w:pBdr>
        <w:ind w:left="426"/>
        <w:jc w:val="both"/>
        <w:rPr>
          <w:bCs/>
        </w:rPr>
      </w:pPr>
      <w:r>
        <w:rPr>
          <w:bCs/>
        </w:rPr>
        <w:t>A la vista del volumen de solicitudes inadmitidas invocando como causa de inadmisión que se trata de solicitudes repetitivas o abusivas, este Consejo recuerda a la Secretaría General de la Presidencia los contenidos del</w:t>
      </w:r>
      <w:r w:rsidR="00D60EAC">
        <w:rPr>
          <w:bCs/>
        </w:rPr>
        <w:t xml:space="preserve"> Criterio Interpretativo 3/2016.</w:t>
      </w:r>
    </w:p>
    <w:p w:rsidR="004B0D4D" w:rsidRPr="005358B1" w:rsidRDefault="007960C3" w:rsidP="00A53AD8">
      <w:pPr>
        <w:pBdr>
          <w:top w:val="single" w:sz="4" w:space="0" w:color="009242"/>
          <w:left w:val="single" w:sz="4" w:space="4" w:color="009242"/>
          <w:bottom w:val="single" w:sz="4" w:space="1" w:color="009242"/>
          <w:right w:val="single" w:sz="4" w:space="4" w:color="009242"/>
        </w:pBdr>
        <w:ind w:left="426"/>
        <w:jc w:val="both"/>
        <w:rPr>
          <w:bCs/>
        </w:rPr>
      </w:pPr>
      <w:bookmarkStart w:id="0" w:name="_GoBack"/>
      <w:bookmarkEnd w:id="0"/>
      <w:r>
        <w:rPr>
          <w:bCs/>
        </w:rPr>
        <w:t xml:space="preserve">En todo caso, las causas de inadmisión deben aplicarse de manera restrictiva </w:t>
      </w:r>
      <w:r w:rsidR="00A53AD8">
        <w:rPr>
          <w:bCs/>
        </w:rPr>
        <w:t>y en este supuesto concreto de inadmisión han de concurrir dos requisitos: en el caso de la reiteración la solicitud debe ser manifiestamente reiterativa y en el caso de solicitudes abusivas además de ser cualitativamente abusiva</w:t>
      </w:r>
      <w:r w:rsidR="00A93A13">
        <w:rPr>
          <w:bCs/>
        </w:rPr>
        <w:t>s</w:t>
      </w:r>
      <w:r w:rsidR="00A53AD8">
        <w:rPr>
          <w:bCs/>
        </w:rPr>
        <w:t xml:space="preserve"> debe ser injustificadas con la finalidad de la LTAIBG.</w:t>
      </w:r>
    </w:p>
    <w:p w:rsidR="009D36CF" w:rsidRPr="005358B1" w:rsidRDefault="009D36CF" w:rsidP="009D36CF">
      <w:pPr>
        <w:pStyle w:val="Prrafodelista"/>
        <w:ind w:left="426"/>
        <w:jc w:val="both"/>
        <w:rPr>
          <w:bCs/>
        </w:rPr>
      </w:pPr>
    </w:p>
    <w:p w:rsidR="009D36CF" w:rsidRPr="005358B1" w:rsidRDefault="009D36CF" w:rsidP="009D36CF">
      <w:pPr>
        <w:pStyle w:val="Prrafodelista"/>
        <w:ind w:left="426"/>
        <w:jc w:val="both"/>
        <w:rPr>
          <w:bCs/>
        </w:rPr>
      </w:pPr>
      <w:r w:rsidRPr="005358B1">
        <w:rPr>
          <w:bCs/>
        </w:rPr>
        <w:t xml:space="preserve">Por lo que respecta a las resoluciones, </w:t>
      </w:r>
      <w:r w:rsidR="00A93A13">
        <w:rPr>
          <w:bCs/>
        </w:rPr>
        <w:t xml:space="preserve">se </w:t>
      </w:r>
      <w:r w:rsidRPr="005358B1">
        <w:rPr>
          <w:bCs/>
        </w:rPr>
        <w:t xml:space="preserve">emite resolución expresa para </w:t>
      </w:r>
      <w:r w:rsidR="00A53AD8">
        <w:rPr>
          <w:bCs/>
        </w:rPr>
        <w:t>la totalidad</w:t>
      </w:r>
      <w:r w:rsidRPr="005358B1">
        <w:rPr>
          <w:bCs/>
        </w:rPr>
        <w:t xml:space="preserve"> de las solicitudes admitidas, concediendo el acceso total a la información solicitada en el </w:t>
      </w:r>
      <w:r w:rsidR="00A53AD8">
        <w:rPr>
          <w:bCs/>
        </w:rPr>
        <w:t>97,30</w:t>
      </w:r>
      <w:r w:rsidRPr="005358B1">
        <w:rPr>
          <w:bCs/>
        </w:rPr>
        <w:t xml:space="preserve">% de los casos. Un </w:t>
      </w:r>
      <w:r w:rsidR="00A53AD8">
        <w:rPr>
          <w:bCs/>
        </w:rPr>
        <w:t>5,41</w:t>
      </w:r>
      <w:r w:rsidRPr="005358B1">
        <w:rPr>
          <w:bCs/>
        </w:rPr>
        <w:t xml:space="preserve">% de las resoluciones deniega la información aplicando los límites del artículo 14.1 de la LTAIBG. </w:t>
      </w:r>
      <w:r w:rsidR="00A53AD8">
        <w:rPr>
          <w:bCs/>
        </w:rPr>
        <w:t xml:space="preserve">Concretamente el límite invocado en </w:t>
      </w:r>
      <w:r w:rsidR="00A93A13">
        <w:rPr>
          <w:bCs/>
        </w:rPr>
        <w:t>t</w:t>
      </w:r>
      <w:r w:rsidR="00A53AD8">
        <w:rPr>
          <w:bCs/>
        </w:rPr>
        <w:t xml:space="preserve">res de las cuatro solicitudes denegatorias </w:t>
      </w:r>
      <w:r w:rsidRPr="005358B1">
        <w:rPr>
          <w:bCs/>
        </w:rPr>
        <w:t xml:space="preserve">fue la </w:t>
      </w:r>
      <w:r w:rsidR="00A53AD8">
        <w:rPr>
          <w:bCs/>
        </w:rPr>
        <w:t>seguridad nacional</w:t>
      </w:r>
      <w:r w:rsidRPr="005358B1">
        <w:rPr>
          <w:bCs/>
        </w:rPr>
        <w:t xml:space="preserve"> (letra </w:t>
      </w:r>
      <w:r w:rsidR="00A53AD8">
        <w:rPr>
          <w:bCs/>
        </w:rPr>
        <w:t>a</w:t>
      </w:r>
      <w:r w:rsidRPr="005358B1">
        <w:rPr>
          <w:bCs/>
        </w:rPr>
        <w:t xml:space="preserve">). </w:t>
      </w:r>
      <w:r w:rsidR="00A53AD8">
        <w:rPr>
          <w:bCs/>
        </w:rPr>
        <w:t>La cuarta solicitud denegada lo fue porque estaba referida a información no incluida en el ámbito de aplicación dela LTAIBG a la Casa Real.</w:t>
      </w:r>
    </w:p>
    <w:p w:rsidR="009D36CF" w:rsidRPr="005358B1" w:rsidRDefault="009D36CF" w:rsidP="009D36CF">
      <w:pPr>
        <w:pStyle w:val="Prrafodelista"/>
        <w:ind w:left="426"/>
        <w:jc w:val="both"/>
        <w:rPr>
          <w:bCs/>
        </w:rPr>
      </w:pPr>
    </w:p>
    <w:p w:rsidR="009D36CF" w:rsidRDefault="009D36CF" w:rsidP="009D36CF">
      <w:pPr>
        <w:pStyle w:val="Prrafodelista"/>
        <w:ind w:left="426"/>
        <w:jc w:val="both"/>
        <w:rPr>
          <w:bCs/>
        </w:rPr>
      </w:pPr>
      <w:r w:rsidRPr="005358B1">
        <w:rPr>
          <w:bCs/>
        </w:rPr>
        <w:lastRenderedPageBreak/>
        <w:t xml:space="preserve">Una cuestión adicional es que </w:t>
      </w:r>
      <w:r w:rsidR="00A53AD8">
        <w:rPr>
          <w:bCs/>
        </w:rPr>
        <w:t>se</w:t>
      </w:r>
      <w:r w:rsidRPr="005358B1">
        <w:rPr>
          <w:bCs/>
        </w:rPr>
        <w:t xml:space="preserve"> publica</w:t>
      </w:r>
      <w:r w:rsidR="00A53AD8">
        <w:rPr>
          <w:bCs/>
        </w:rPr>
        <w:t>n en el Portal de Transparencia de la AGE</w:t>
      </w:r>
      <w:r w:rsidRPr="005358B1">
        <w:rPr>
          <w:bCs/>
        </w:rPr>
        <w:t xml:space="preserve"> las resoluciones que deniegan el acceso a la información en aplicación de los límites del artículo 14.1, dando cumplimiento de esta forma a lo establecido en el artículo 14.3 de la norma.</w:t>
      </w:r>
      <w:r>
        <w:rPr>
          <w:bCs/>
        </w:rPr>
        <w:t xml:space="preserve"> </w:t>
      </w:r>
    </w:p>
    <w:p w:rsidR="009D36CF" w:rsidRDefault="009D36CF" w:rsidP="009D36CF">
      <w:pPr>
        <w:pStyle w:val="Prrafodelista"/>
        <w:ind w:left="426"/>
        <w:jc w:val="both"/>
        <w:rPr>
          <w:bCs/>
        </w:rPr>
      </w:pPr>
      <w:r>
        <w:rPr>
          <w:bCs/>
        </w:rPr>
        <w:t xml:space="preserve"> </w:t>
      </w:r>
    </w:p>
    <w:p w:rsidR="009D36CF" w:rsidRPr="001018C9" w:rsidRDefault="009D36CF" w:rsidP="009D36CF">
      <w:pPr>
        <w:pStyle w:val="Prrafodelista"/>
        <w:numPr>
          <w:ilvl w:val="0"/>
          <w:numId w:val="7"/>
        </w:numPr>
        <w:ind w:left="426"/>
      </w:pPr>
      <w:r w:rsidRPr="00B70DBD">
        <w:rPr>
          <w:rStyle w:val="Ttulo2Car"/>
          <w:color w:val="00642D"/>
          <w:sz w:val="22"/>
          <w:szCs w:val="22"/>
          <w:lang w:bidi="es-ES"/>
        </w:rPr>
        <w:t>Respecto de la localización de la información y facilidad de acceso al ejercicio del derecho.</w:t>
      </w:r>
    </w:p>
    <w:p w:rsidR="009D36CF" w:rsidRDefault="009D36CF" w:rsidP="009D36CF">
      <w:pPr>
        <w:pStyle w:val="Prrafodelista"/>
        <w:ind w:left="426"/>
      </w:pPr>
    </w:p>
    <w:p w:rsidR="009D36CF" w:rsidRDefault="009D36CF" w:rsidP="00714154">
      <w:pPr>
        <w:pStyle w:val="Prrafodelista"/>
        <w:ind w:left="426"/>
        <w:jc w:val="both"/>
      </w:pPr>
      <w:r>
        <w:t xml:space="preserve">Como se ha indicado, </w:t>
      </w:r>
      <w:r w:rsidR="00714154">
        <w:t>la Casa Real</w:t>
      </w:r>
      <w:r>
        <w:t xml:space="preserve"> ofrece un espacio en su Portal de Transparencia para la presentación de las solicitudes de acceso a información pública. </w:t>
      </w:r>
      <w:r w:rsidR="00714154">
        <w:t xml:space="preserve">En este espacio se informa que el órgano competente para tramitar y resolver las solicitudes de acceso a información pública es la Secretaría General de la Presidencia y que las solicitudes deben presentarse a través del Portal de Transparencia de la AGE ofreciendo un enlace a la página del Portal dedicada a </w:t>
      </w:r>
      <w:r w:rsidR="00B95D72">
        <w:t>esta cuestión</w:t>
      </w:r>
      <w:r w:rsidR="00714154">
        <w:t xml:space="preserve">. </w:t>
      </w:r>
    </w:p>
    <w:p w:rsidR="009D36CF" w:rsidRDefault="009D36CF" w:rsidP="009D36CF">
      <w:pPr>
        <w:pStyle w:val="Prrafodelista"/>
        <w:ind w:left="426"/>
        <w:jc w:val="both"/>
      </w:pPr>
      <w:r>
        <w:t xml:space="preserve"> </w:t>
      </w:r>
    </w:p>
    <w:p w:rsidR="009D36CF" w:rsidRPr="00B70DBD" w:rsidRDefault="009D36CF" w:rsidP="009D36CF">
      <w:pPr>
        <w:pStyle w:val="Prrafodelista"/>
        <w:numPr>
          <w:ilvl w:val="0"/>
          <w:numId w:val="6"/>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9D36CF" w:rsidRDefault="009D36CF" w:rsidP="009D36CF">
      <w:pPr>
        <w:pStyle w:val="Prrafodelista"/>
        <w:ind w:left="426"/>
        <w:jc w:val="both"/>
      </w:pPr>
    </w:p>
    <w:p w:rsidR="009D36CF" w:rsidRPr="00714154" w:rsidRDefault="009D36CF" w:rsidP="009D36CF">
      <w:pPr>
        <w:pStyle w:val="Prrafodelista"/>
        <w:ind w:left="426"/>
        <w:jc w:val="both"/>
      </w:pPr>
      <w:r w:rsidRPr="00714154">
        <w:t xml:space="preserve">La gestión de la solicitud de acceso presentada se ha ajustado al procedimiento establecido por la LTAIBG. </w:t>
      </w:r>
    </w:p>
    <w:p w:rsidR="009D36CF" w:rsidRPr="00714154" w:rsidRDefault="009D36CF" w:rsidP="009D36CF">
      <w:pPr>
        <w:pStyle w:val="Prrafodelista"/>
        <w:ind w:left="426"/>
        <w:jc w:val="both"/>
      </w:pPr>
    </w:p>
    <w:p w:rsidR="009D36CF" w:rsidRPr="00714154" w:rsidRDefault="009D36CF" w:rsidP="009D36CF">
      <w:pPr>
        <w:pStyle w:val="Prrafodelista"/>
        <w:ind w:left="426"/>
        <w:jc w:val="both"/>
      </w:pPr>
      <w:r w:rsidRPr="00714154">
        <w:t xml:space="preserve">La resolución emitida por la </w:t>
      </w:r>
      <w:r w:rsidR="00714154">
        <w:t>Secretaría General de la Presidencia</w:t>
      </w:r>
      <w:r w:rsidRPr="00714154">
        <w:t xml:space="preserve"> está motivada y correctamente estructurada, es clara y comprensible</w:t>
      </w:r>
      <w:r w:rsidR="00714154">
        <w:t xml:space="preserve"> e </w:t>
      </w:r>
      <w:r w:rsidR="005D6625">
        <w:t xml:space="preserve">incluye pie de recurso, informando sobre la posibilidad de reclamar ante el CTBG. </w:t>
      </w:r>
    </w:p>
    <w:p w:rsidR="009D36CF" w:rsidRPr="00714154" w:rsidRDefault="009D36CF" w:rsidP="009D36CF">
      <w:pPr>
        <w:pStyle w:val="Prrafodelista"/>
        <w:ind w:left="426"/>
        <w:jc w:val="both"/>
      </w:pPr>
    </w:p>
    <w:p w:rsidR="009D36CF" w:rsidRDefault="009D36CF" w:rsidP="009D36CF">
      <w:pPr>
        <w:pStyle w:val="Prrafodelista"/>
        <w:tabs>
          <w:tab w:val="left" w:pos="426"/>
        </w:tabs>
        <w:ind w:left="426"/>
        <w:jc w:val="both"/>
      </w:pPr>
      <w:r w:rsidRPr="00714154">
        <w:t>La notificación se efectúa por el medio solicitado y la información se proporciona en el momento de la notificación y en el formato indicado por el solicitante.</w:t>
      </w:r>
    </w:p>
    <w:p w:rsidR="00B40246" w:rsidRDefault="00B40246"/>
    <w:p w:rsidR="00B40246" w:rsidRDefault="00B40246"/>
    <w:sectPr w:rsidR="00B40246" w:rsidSect="00977D82">
      <w:footerReference w:type="default" r:id="rId13"/>
      <w:pgSz w:w="11906" w:h="16838"/>
      <w:pgMar w:top="426" w:right="720" w:bottom="184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E7" w:rsidRDefault="001D7CE7" w:rsidP="00932008">
      <w:pPr>
        <w:spacing w:after="0" w:line="240" w:lineRule="auto"/>
      </w:pPr>
      <w:r>
        <w:separator/>
      </w:r>
    </w:p>
  </w:endnote>
  <w:endnote w:type="continuationSeparator" w:id="0">
    <w:p w:rsidR="001D7CE7" w:rsidRDefault="001D7CE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830081"/>
      <w:docPartObj>
        <w:docPartGallery w:val="Page Numbers (Bottom of Page)"/>
        <w:docPartUnique/>
      </w:docPartObj>
    </w:sdtPr>
    <w:sdtEndPr>
      <w:rPr>
        <w:sz w:val="18"/>
        <w:szCs w:val="18"/>
      </w:rPr>
    </w:sdtEndPr>
    <w:sdtContent>
      <w:p w:rsidR="001D7CE7" w:rsidRPr="00582320" w:rsidRDefault="001D7CE7">
        <w:pPr>
          <w:pStyle w:val="Piedepgina"/>
          <w:jc w:val="right"/>
          <w:rPr>
            <w:sz w:val="18"/>
            <w:szCs w:val="18"/>
          </w:rPr>
        </w:pPr>
        <w:r w:rsidRPr="00582320">
          <w:rPr>
            <w:sz w:val="18"/>
            <w:szCs w:val="18"/>
          </w:rPr>
          <w:fldChar w:fldCharType="begin"/>
        </w:r>
        <w:r w:rsidRPr="00582320">
          <w:rPr>
            <w:sz w:val="18"/>
            <w:szCs w:val="18"/>
          </w:rPr>
          <w:instrText>PAGE   \* MERGEFORMAT</w:instrText>
        </w:r>
        <w:r w:rsidRPr="00582320">
          <w:rPr>
            <w:sz w:val="18"/>
            <w:szCs w:val="18"/>
          </w:rPr>
          <w:fldChar w:fldCharType="separate"/>
        </w:r>
        <w:r w:rsidR="00D60EAC">
          <w:rPr>
            <w:noProof/>
            <w:sz w:val="18"/>
            <w:szCs w:val="18"/>
          </w:rPr>
          <w:t>7</w:t>
        </w:r>
        <w:r w:rsidRPr="00582320">
          <w:rPr>
            <w:sz w:val="18"/>
            <w:szCs w:val="18"/>
          </w:rPr>
          <w:fldChar w:fldCharType="end"/>
        </w:r>
      </w:p>
    </w:sdtContent>
  </w:sdt>
  <w:p w:rsidR="001D7CE7" w:rsidRDefault="001D7C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E7" w:rsidRDefault="001D7CE7" w:rsidP="00932008">
      <w:pPr>
        <w:spacing w:after="0" w:line="240" w:lineRule="auto"/>
      </w:pPr>
      <w:r>
        <w:separator/>
      </w:r>
    </w:p>
  </w:footnote>
  <w:footnote w:type="continuationSeparator" w:id="0">
    <w:p w:rsidR="001D7CE7" w:rsidRDefault="001D7CE7" w:rsidP="00932008">
      <w:pPr>
        <w:spacing w:after="0" w:line="240" w:lineRule="auto"/>
      </w:pPr>
      <w:r>
        <w:continuationSeparator/>
      </w:r>
    </w:p>
  </w:footnote>
  <w:footnote w:id="1">
    <w:p w:rsidR="001D7CE7" w:rsidRDefault="001D7CE7" w:rsidP="00977D82">
      <w:pPr>
        <w:pStyle w:val="Textonotapie"/>
        <w:jc w:val="both"/>
      </w:pPr>
      <w:r>
        <w:rPr>
          <w:rStyle w:val="Refdenotaalpie"/>
        </w:rPr>
        <w:footnoteRef/>
      </w:r>
      <w:r>
        <w:t xml:space="preserve"> Se informa de 95 solicitudes de las cuales 21 corresponden a 2021 y por lo tanto no se han tenido en cuenta.</w:t>
      </w:r>
    </w:p>
  </w:footnote>
  <w:footnote w:id="2">
    <w:p w:rsidR="001D7CE7" w:rsidRDefault="001D7CE7" w:rsidP="00977D82">
      <w:pPr>
        <w:pStyle w:val="Textonotapie"/>
        <w:jc w:val="both"/>
      </w:pPr>
      <w:r>
        <w:rPr>
          <w:rStyle w:val="Refdenotaalpie"/>
        </w:rPr>
        <w:footnoteRef/>
      </w:r>
      <w:r>
        <w:t xml:space="preserve"> Se informa de 38 solicitudes inadmitidas de las cuales 5 corresponden a 2021 y no se han tenido en cuenta</w:t>
      </w:r>
    </w:p>
  </w:footnote>
  <w:footnote w:id="3">
    <w:p w:rsidR="001D7CE7" w:rsidRDefault="001D7CE7">
      <w:pPr>
        <w:pStyle w:val="Textonotapie"/>
      </w:pPr>
      <w:r>
        <w:rPr>
          <w:rStyle w:val="Refdenotaalpie"/>
        </w:rPr>
        <w:footnoteRef/>
      </w:r>
      <w:r>
        <w:t xml:space="preserve"> El porcentaje supera el 100% porque en la información proporcionada incluye solicitudes presentadas y tramitadas en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9pt;height:9pt" o:bullet="t">
        <v:imagedata r:id="rId1" o:title="BD14533_"/>
      </v:shape>
    </w:pict>
  </w:numPicBullet>
  <w:abstractNum w:abstractNumId="0">
    <w:nsid w:val="0C292B36"/>
    <w:multiLevelType w:val="hybridMultilevel"/>
    <w:tmpl w:val="E65A8708"/>
    <w:lvl w:ilvl="0" w:tplc="B7C2270E">
      <w:start w:val="1"/>
      <w:numFmt w:val="bullet"/>
      <w:lvlText w:val=""/>
      <w:lvlPicBulletId w:val="0"/>
      <w:lvlJc w:val="left"/>
      <w:pPr>
        <w:ind w:left="1200" w:hanging="360"/>
      </w:pPr>
      <w:rPr>
        <w:rFonts w:ascii="Symbol" w:hAnsi="Symbol" w:hint="default"/>
        <w:color w:val="auto"/>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3B49C6"/>
    <w:multiLevelType w:val="hybridMultilevel"/>
    <w:tmpl w:val="29C4BEA8"/>
    <w:lvl w:ilvl="0" w:tplc="08A4BC1C">
      <w:start w:val="2"/>
      <w:numFmt w:val="bullet"/>
      <w:lvlText w:val="-"/>
      <w:lvlJc w:val="left"/>
      <w:pPr>
        <w:ind w:left="786" w:hanging="360"/>
      </w:pPr>
      <w:rPr>
        <w:rFonts w:ascii="Century Gothic" w:eastAsiaTheme="minorEastAsia" w:hAnsi="Century Gothic"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3105E"/>
    <w:rsid w:val="00055B15"/>
    <w:rsid w:val="000965B3"/>
    <w:rsid w:val="000C6CFF"/>
    <w:rsid w:val="00102733"/>
    <w:rsid w:val="0012783F"/>
    <w:rsid w:val="001561A4"/>
    <w:rsid w:val="00176A94"/>
    <w:rsid w:val="00194000"/>
    <w:rsid w:val="001D6154"/>
    <w:rsid w:val="001D7CE7"/>
    <w:rsid w:val="001F251B"/>
    <w:rsid w:val="002019B0"/>
    <w:rsid w:val="002136E2"/>
    <w:rsid w:val="00241D7A"/>
    <w:rsid w:val="00256215"/>
    <w:rsid w:val="00263EE3"/>
    <w:rsid w:val="002A154B"/>
    <w:rsid w:val="00334115"/>
    <w:rsid w:val="003F271E"/>
    <w:rsid w:val="003F572A"/>
    <w:rsid w:val="0042112A"/>
    <w:rsid w:val="00427D91"/>
    <w:rsid w:val="004A123A"/>
    <w:rsid w:val="004A5653"/>
    <w:rsid w:val="004B0D4D"/>
    <w:rsid w:val="004D21BA"/>
    <w:rsid w:val="004D6E73"/>
    <w:rsid w:val="004F2655"/>
    <w:rsid w:val="005358B1"/>
    <w:rsid w:val="005446A8"/>
    <w:rsid w:val="00561402"/>
    <w:rsid w:val="0057532F"/>
    <w:rsid w:val="00582320"/>
    <w:rsid w:val="00595AAF"/>
    <w:rsid w:val="005B1F0E"/>
    <w:rsid w:val="005B3C15"/>
    <w:rsid w:val="005D6625"/>
    <w:rsid w:val="006A2766"/>
    <w:rsid w:val="006B04C1"/>
    <w:rsid w:val="006D635E"/>
    <w:rsid w:val="006F2923"/>
    <w:rsid w:val="00706E04"/>
    <w:rsid w:val="00707CFE"/>
    <w:rsid w:val="00710031"/>
    <w:rsid w:val="00714154"/>
    <w:rsid w:val="00727BA2"/>
    <w:rsid w:val="00743756"/>
    <w:rsid w:val="0076364F"/>
    <w:rsid w:val="00791F44"/>
    <w:rsid w:val="007960C3"/>
    <w:rsid w:val="007B0F99"/>
    <w:rsid w:val="007D6B40"/>
    <w:rsid w:val="00815659"/>
    <w:rsid w:val="008207D9"/>
    <w:rsid w:val="00844FA9"/>
    <w:rsid w:val="008C1E1E"/>
    <w:rsid w:val="009139B2"/>
    <w:rsid w:val="00923092"/>
    <w:rsid w:val="009239D9"/>
    <w:rsid w:val="00932008"/>
    <w:rsid w:val="009609E9"/>
    <w:rsid w:val="00977D82"/>
    <w:rsid w:val="0098135C"/>
    <w:rsid w:val="00983919"/>
    <w:rsid w:val="009A3497"/>
    <w:rsid w:val="009D36CF"/>
    <w:rsid w:val="00A41DD5"/>
    <w:rsid w:val="00A53AD8"/>
    <w:rsid w:val="00A53FB8"/>
    <w:rsid w:val="00A76CE1"/>
    <w:rsid w:val="00A93A13"/>
    <w:rsid w:val="00B40246"/>
    <w:rsid w:val="00B5583D"/>
    <w:rsid w:val="00B812AB"/>
    <w:rsid w:val="00B841AE"/>
    <w:rsid w:val="00B95D72"/>
    <w:rsid w:val="00BB6799"/>
    <w:rsid w:val="00BD4582"/>
    <w:rsid w:val="00BE6A46"/>
    <w:rsid w:val="00C22C27"/>
    <w:rsid w:val="00C33A23"/>
    <w:rsid w:val="00C34BB5"/>
    <w:rsid w:val="00C43069"/>
    <w:rsid w:val="00C4479B"/>
    <w:rsid w:val="00C5744D"/>
    <w:rsid w:val="00CB5511"/>
    <w:rsid w:val="00CC2049"/>
    <w:rsid w:val="00CC57F4"/>
    <w:rsid w:val="00CC587B"/>
    <w:rsid w:val="00D03159"/>
    <w:rsid w:val="00D445A7"/>
    <w:rsid w:val="00D52E43"/>
    <w:rsid w:val="00D60EAC"/>
    <w:rsid w:val="00D96F84"/>
    <w:rsid w:val="00DD3E02"/>
    <w:rsid w:val="00DE4AA9"/>
    <w:rsid w:val="00DF63E7"/>
    <w:rsid w:val="00E02430"/>
    <w:rsid w:val="00E3088D"/>
    <w:rsid w:val="00E34195"/>
    <w:rsid w:val="00E4565B"/>
    <w:rsid w:val="00E47613"/>
    <w:rsid w:val="00E569FD"/>
    <w:rsid w:val="00E87CF4"/>
    <w:rsid w:val="00EA6C75"/>
    <w:rsid w:val="00ED3BA6"/>
    <w:rsid w:val="00EE119A"/>
    <w:rsid w:val="00EE40C2"/>
    <w:rsid w:val="00EE5BDF"/>
    <w:rsid w:val="00F14DA4"/>
    <w:rsid w:val="00F47C3B"/>
    <w:rsid w:val="00F71D7D"/>
    <w:rsid w:val="00F7263F"/>
    <w:rsid w:val="00FD5B21"/>
    <w:rsid w:val="00FE0FC5"/>
    <w:rsid w:val="00FE3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6D635E"/>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977D82"/>
    <w:rPr>
      <w:sz w:val="16"/>
      <w:szCs w:val="16"/>
    </w:rPr>
  </w:style>
  <w:style w:type="paragraph" w:styleId="Textocomentario">
    <w:name w:val="annotation text"/>
    <w:basedOn w:val="Normal"/>
    <w:link w:val="TextocomentarioCar"/>
    <w:uiPriority w:val="99"/>
    <w:semiHidden/>
    <w:unhideWhenUsed/>
    <w:rsid w:val="00977D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7D8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977D82"/>
    <w:rPr>
      <w:b/>
      <w:bCs/>
    </w:rPr>
  </w:style>
  <w:style w:type="character" w:customStyle="1" w:styleId="AsuntodelcomentarioCar">
    <w:name w:val="Asunto del comentario Car"/>
    <w:basedOn w:val="TextocomentarioCar"/>
    <w:link w:val="Asuntodelcomentario"/>
    <w:uiPriority w:val="99"/>
    <w:semiHidden/>
    <w:rsid w:val="00977D82"/>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6D635E"/>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977D82"/>
    <w:rPr>
      <w:sz w:val="16"/>
      <w:szCs w:val="16"/>
    </w:rPr>
  </w:style>
  <w:style w:type="paragraph" w:styleId="Textocomentario">
    <w:name w:val="annotation text"/>
    <w:basedOn w:val="Normal"/>
    <w:link w:val="TextocomentarioCar"/>
    <w:uiPriority w:val="99"/>
    <w:semiHidden/>
    <w:unhideWhenUsed/>
    <w:rsid w:val="00977D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7D8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977D82"/>
    <w:rPr>
      <w:b/>
      <w:bCs/>
    </w:rPr>
  </w:style>
  <w:style w:type="character" w:customStyle="1" w:styleId="AsuntodelcomentarioCar">
    <w:name w:val="Asunto del comentario Car"/>
    <w:basedOn w:val="TextocomentarioCar"/>
    <w:link w:val="Asuntodelcomentario"/>
    <w:uiPriority w:val="99"/>
    <w:semiHidden/>
    <w:rsid w:val="00977D8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spPr>
            <a:solidFill>
              <a:srgbClr val="009644"/>
            </a:solidFill>
          </c:spPr>
          <c:invertIfNegative val="0"/>
          <c:dLbls>
            <c:showLegendKey val="0"/>
            <c:showVal val="1"/>
            <c:showCatName val="0"/>
            <c:showSerName val="0"/>
            <c:showPercent val="0"/>
            <c:showBubbleSize val="0"/>
            <c:showLeaderLines val="0"/>
          </c:dLbls>
          <c:cat>
            <c:strRef>
              <c:f>'Casa Real'!$E$2:$L$2</c:f>
              <c:strCache>
                <c:ptCount val="8"/>
                <c:pt idx="0">
                  <c:v> información en curso de elaboración o de publicación general</c:v>
                </c:pt>
                <c:pt idx="1">
                  <c:v> información auxiliar o de apoyo</c:v>
                </c:pt>
                <c:pt idx="2">
                  <c:v> acción previa de reelaboración</c:v>
                </c:pt>
                <c:pt idx="3">
                  <c:v> órgano no competente y desconocimiento del competente</c:v>
                </c:pt>
                <c:pt idx="4">
                  <c:v> solicitud repetitiva o abusiva</c:v>
                </c:pt>
                <c:pt idx="5">
                  <c:v> solicitudes de información de interesados en un procedimiento administrativo en curso sobre documentos que se integren en el mismo</c:v>
                </c:pt>
                <c:pt idx="6">
                  <c:v> solicitudes de información con un régimen específico de acceso a la información.</c:v>
                </c:pt>
                <c:pt idx="7">
                  <c:v> Otras causas.</c:v>
                </c:pt>
              </c:strCache>
            </c:strRef>
          </c:cat>
          <c:val>
            <c:numRef>
              <c:f>'Casa Real'!$E$4:$L$4</c:f>
              <c:numCache>
                <c:formatCode>0.0%</c:formatCode>
                <c:ptCount val="8"/>
                <c:pt idx="0">
                  <c:v>2.6315789473684209E-2</c:v>
                </c:pt>
                <c:pt idx="1">
                  <c:v>0</c:v>
                </c:pt>
                <c:pt idx="2">
                  <c:v>0</c:v>
                </c:pt>
                <c:pt idx="3">
                  <c:v>7.8947368421052627E-2</c:v>
                </c:pt>
                <c:pt idx="4">
                  <c:v>0.63157894736842102</c:v>
                </c:pt>
                <c:pt idx="5">
                  <c:v>0</c:v>
                </c:pt>
                <c:pt idx="6">
                  <c:v>0</c:v>
                </c:pt>
                <c:pt idx="7">
                  <c:v>0.26315789473684209</c:v>
                </c:pt>
              </c:numCache>
            </c:numRef>
          </c:val>
        </c:ser>
        <c:dLbls>
          <c:showLegendKey val="0"/>
          <c:showVal val="0"/>
          <c:showCatName val="0"/>
          <c:showSerName val="0"/>
          <c:showPercent val="0"/>
          <c:showBubbleSize val="0"/>
        </c:dLbls>
        <c:gapWidth val="150"/>
        <c:axId val="157765632"/>
        <c:axId val="157767168"/>
      </c:barChart>
      <c:catAx>
        <c:axId val="157765632"/>
        <c:scaling>
          <c:orientation val="minMax"/>
        </c:scaling>
        <c:delete val="0"/>
        <c:axPos val="b"/>
        <c:majorTickMark val="out"/>
        <c:minorTickMark val="none"/>
        <c:tickLblPos val="nextTo"/>
        <c:txPr>
          <a:bodyPr/>
          <a:lstStyle/>
          <a:p>
            <a:pPr>
              <a:defRPr sz="700"/>
            </a:pPr>
            <a:endParaRPr lang="es-ES"/>
          </a:p>
        </c:txPr>
        <c:crossAx val="157767168"/>
        <c:crosses val="autoZero"/>
        <c:auto val="1"/>
        <c:lblAlgn val="ctr"/>
        <c:lblOffset val="1000"/>
        <c:noMultiLvlLbl val="0"/>
      </c:catAx>
      <c:valAx>
        <c:axId val="157767168"/>
        <c:scaling>
          <c:orientation val="minMax"/>
          <c:max val="1"/>
        </c:scaling>
        <c:delete val="0"/>
        <c:axPos val="l"/>
        <c:numFmt formatCode="0%" sourceLinked="0"/>
        <c:majorTickMark val="out"/>
        <c:minorTickMark val="none"/>
        <c:tickLblPos val="nextTo"/>
        <c:crossAx val="157765632"/>
        <c:crosses val="autoZero"/>
        <c:crossBetween val="between"/>
        <c:majorUnit val="0.2"/>
      </c:valAx>
    </c:plotArea>
    <c:plotVisOnly val="1"/>
    <c:dispBlanksAs val="gap"/>
    <c:showDLblsOverMax val="0"/>
  </c:chart>
  <c:txPr>
    <a:bodyPr/>
    <a:lstStyle/>
    <a:p>
      <a:pPr>
        <a:defRPr sz="800"/>
      </a:pPr>
      <a:endParaRPr lang="es-E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644344"/>
    <w:rsid w:val="00742AB6"/>
    <w:rsid w:val="0082022D"/>
    <w:rsid w:val="00951979"/>
    <w:rsid w:val="00C26568"/>
    <w:rsid w:val="00D35513"/>
    <w:rsid w:val="00E147F2"/>
    <w:rsid w:val="00E16D50"/>
    <w:rsid w:val="00E5085E"/>
    <w:rsid w:val="00F2043D"/>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7499118-B6F9-446C-85C1-E19349F1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1297</TotalTime>
  <Pages>7</Pages>
  <Words>1894</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27</cp:revision>
  <cp:lastPrinted>2007-10-26T10:03:00Z</cp:lastPrinted>
  <dcterms:created xsi:type="dcterms:W3CDTF">2021-02-11T13:11:00Z</dcterms:created>
  <dcterms:modified xsi:type="dcterms:W3CDTF">2021-04-09T07:15:00Z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