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E44122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367665</wp:posOffset>
                </wp:positionV>
                <wp:extent cx="6464300" cy="14859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E44122" w:rsidRPr="00006957" w:rsidRDefault="00E4412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8.95pt;width:509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E44122" w:rsidRPr="00006957" w:rsidRDefault="00E4412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E44122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5E29D" wp14:editId="618375C7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4122" w:rsidRDefault="00E4412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B9028" wp14:editId="2BD63F4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756" w:rsidRDefault="00D15756" w:rsidP="00D15756"/>
                          <w:p w:rsidR="00D15756" w:rsidRDefault="00D15756" w:rsidP="00D15756"/>
                          <w:p w:rsidR="00D15756" w:rsidRDefault="00D15756" w:rsidP="00D15756"/>
                          <w:p w:rsidR="00D15756" w:rsidRPr="00D15756" w:rsidRDefault="00D15756" w:rsidP="00D1575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44122" w:rsidRDefault="00E4412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FB9028" wp14:editId="2BD63F4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5756" w:rsidRDefault="00D15756" w:rsidP="00D15756"/>
                    <w:p w:rsidR="00D15756" w:rsidRDefault="00D15756" w:rsidP="00D15756"/>
                    <w:p w:rsidR="00D15756" w:rsidRDefault="00D15756" w:rsidP="00D15756"/>
                    <w:p w:rsidR="00D15756" w:rsidRPr="00D15756" w:rsidRDefault="00D15756" w:rsidP="00D15756"/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E44122">
      <w:pPr>
        <w:spacing w:before="120" w:after="120" w:line="312" w:lineRule="auto"/>
      </w:pPr>
    </w:p>
    <w:p w:rsidR="00B40246" w:rsidRPr="00B1184C" w:rsidRDefault="00B40246" w:rsidP="00E44122">
      <w:pPr>
        <w:spacing w:before="120" w:after="120" w:line="312" w:lineRule="auto"/>
      </w:pPr>
    </w:p>
    <w:p w:rsidR="00B40246" w:rsidRPr="00B1184C" w:rsidRDefault="00B40246" w:rsidP="00E44122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E44122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A3DD8" wp14:editId="3A33462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 w:rsidP="00E44122">
      <w:pPr>
        <w:spacing w:before="120" w:after="120" w:line="312" w:lineRule="auto"/>
      </w:pPr>
    </w:p>
    <w:p w:rsidR="000C6CFF" w:rsidRDefault="000C6CFF" w:rsidP="00E44122">
      <w:pPr>
        <w:spacing w:before="120" w:after="120" w:line="312" w:lineRule="auto"/>
      </w:pPr>
    </w:p>
    <w:tbl>
      <w:tblPr>
        <w:tblStyle w:val="Tablaconcuadrcula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D15756" w:rsidRPr="00CB5511" w:rsidTr="003F5E8C">
        <w:tc>
          <w:tcPr>
            <w:tcW w:w="3652" w:type="dxa"/>
          </w:tcPr>
          <w:p w:rsidR="00D15756" w:rsidRPr="00E34195" w:rsidRDefault="00D15756" w:rsidP="003F5E8C">
            <w:pPr>
              <w:spacing w:line="312" w:lineRule="auto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D15756" w:rsidRPr="00CB5511" w:rsidRDefault="00D15756" w:rsidP="003F5E8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Congreso de los Diputados  </w:t>
            </w:r>
          </w:p>
        </w:tc>
      </w:tr>
      <w:tr w:rsidR="00D15756" w:rsidRPr="00CB5511" w:rsidTr="003F5E8C">
        <w:tc>
          <w:tcPr>
            <w:tcW w:w="3652" w:type="dxa"/>
          </w:tcPr>
          <w:p w:rsidR="00D15756" w:rsidRPr="00E34195" w:rsidRDefault="00D15756" w:rsidP="003F5E8C">
            <w:pPr>
              <w:spacing w:line="312" w:lineRule="auto"/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D15756" w:rsidRPr="00CB5511" w:rsidRDefault="00D15756" w:rsidP="003F5E8C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18/02/2021</w:t>
            </w:r>
          </w:p>
        </w:tc>
      </w:tr>
    </w:tbl>
    <w:p w:rsidR="00D15756" w:rsidRDefault="00D15756" w:rsidP="00E44122">
      <w:pPr>
        <w:spacing w:before="120" w:after="120" w:line="312" w:lineRule="auto"/>
      </w:pPr>
    </w:p>
    <w:p w:rsidR="00561402" w:rsidRPr="0012783F" w:rsidRDefault="00533472" w:rsidP="00E44122">
      <w:pPr>
        <w:spacing w:before="120" w:after="120" w:line="312" w:lineRule="auto"/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DB41CA" w:rsidRPr="00C32B5A" w:rsidRDefault="00DB41CA" w:rsidP="00E44122">
      <w:pPr>
        <w:spacing w:before="120" w:after="120" w:line="312" w:lineRule="auto"/>
        <w:ind w:left="284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E44122">
        <w:rPr>
          <w:rStyle w:val="Ttulo2Car"/>
          <w:b w:val="0"/>
          <w:color w:val="auto"/>
          <w:sz w:val="22"/>
          <w:szCs w:val="22"/>
          <w:lang w:bidi="es-ES"/>
        </w:rPr>
        <w:t xml:space="preserve">Congreso de los Diputados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ha asignado la gestión de las solicitudes de acceso a la Dirección </w:t>
      </w:r>
      <w:r w:rsidRPr="00DB41CA">
        <w:rPr>
          <w:rStyle w:val="Ttulo2Car"/>
          <w:b w:val="0"/>
          <w:color w:val="auto"/>
          <w:sz w:val="22"/>
          <w:szCs w:val="22"/>
          <w:lang w:bidi="es-ES"/>
        </w:rPr>
        <w:t>de Documentación, Biblioteca y Archivo</w:t>
      </w:r>
      <w:r w:rsidR="00E44122">
        <w:rPr>
          <w:rStyle w:val="Ttulo2Car"/>
          <w:b w:val="0"/>
          <w:color w:val="auto"/>
          <w:sz w:val="22"/>
          <w:szCs w:val="22"/>
          <w:lang w:bidi="es-ES"/>
        </w:rPr>
        <w:t>,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que cuenta con seis personas que compaginan la gestión de las solicitudes de acceso con o</w:t>
      </w:r>
      <w:bookmarkStart w:id="0" w:name="_GoBack"/>
      <w:bookmarkEnd w:id="0"/>
      <w:r>
        <w:rPr>
          <w:rStyle w:val="Ttulo2Car"/>
          <w:b w:val="0"/>
          <w:color w:val="auto"/>
          <w:sz w:val="22"/>
          <w:szCs w:val="22"/>
          <w:lang w:bidi="es-ES"/>
        </w:rPr>
        <w:t xml:space="preserve">tras actividades. </w:t>
      </w:r>
    </w:p>
    <w:p w:rsidR="0012783F" w:rsidRDefault="0012783F" w:rsidP="00E4412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12783F" w:rsidRDefault="00533472" w:rsidP="00DD3F73">
      <w:pPr>
        <w:spacing w:before="120" w:after="120" w:line="312" w:lineRule="auto"/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E44122">
            <w:rPr>
              <w:b/>
              <w:color w:val="00642D"/>
              <w:sz w:val="30"/>
              <w:szCs w:val="30"/>
            </w:rPr>
            <w:t xml:space="preserve">     </w:t>
          </w:r>
        </w:sdtContent>
      </w:sdt>
    </w:p>
    <w:p w:rsidR="00F1708D" w:rsidRDefault="00F1708D" w:rsidP="00E4412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Default="00A41DD5" w:rsidP="00E4412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 w:rsidR="00B812AB" w:rsidRPr="00B812AB">
        <w:rPr>
          <w:rStyle w:val="Ttulo2Car"/>
          <w:color w:val="00642D"/>
          <w:lang w:bidi="es-ES"/>
        </w:rPr>
        <w:t>Solicitudes gestionadas en 2020</w:t>
      </w:r>
    </w:p>
    <w:p w:rsidR="00DB41CA" w:rsidRDefault="00DB41CA" w:rsidP="00E44122">
      <w:pPr>
        <w:spacing w:before="120" w:after="120" w:line="312" w:lineRule="auto"/>
        <w:ind w:left="426"/>
        <w:jc w:val="both"/>
      </w:pPr>
      <w:r>
        <w:t xml:space="preserve">En 2020, </w:t>
      </w:r>
      <w:r w:rsidR="00E44122">
        <w:t>el</w:t>
      </w:r>
      <w:r>
        <w:t xml:space="preserve"> </w:t>
      </w:r>
      <w:r w:rsidR="00E44122">
        <w:t xml:space="preserve">Congreso de los Diputados </w:t>
      </w:r>
      <w:r>
        <w:t>recibió 125 solicitudes de acceso a información pública, a las que hay que añadir 1 que quedó pendiente a finales de 2019. De estas 126 solicitudes se tramitaron 125 a lo largo de 2020, quedando</w:t>
      </w:r>
      <w:r w:rsidR="00E44122">
        <w:t xml:space="preserve"> de nuevo </w:t>
      </w:r>
      <w:r>
        <w:t>pendiente a 31de diciembre de ese año 1 solicitud.</w:t>
      </w:r>
    </w:p>
    <w:p w:rsidR="00E44122" w:rsidRDefault="00E44122" w:rsidP="00E44122">
      <w:pPr>
        <w:spacing w:before="120" w:after="120" w:line="312" w:lineRule="auto"/>
        <w:ind w:left="426"/>
        <w:jc w:val="both"/>
      </w:pPr>
    </w:p>
    <w:p w:rsidR="00F7263F" w:rsidRDefault="00F7263F" w:rsidP="00E4412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2 Indicadores de tramitación </w:t>
      </w:r>
      <w:r w:rsidRPr="00B812AB">
        <w:rPr>
          <w:rStyle w:val="Ttulo2Car"/>
          <w:color w:val="00642D"/>
          <w:lang w:bidi="es-ES"/>
        </w:rPr>
        <w:t>en 2020</w:t>
      </w:r>
    </w:p>
    <w:p w:rsidR="00DB41CA" w:rsidRDefault="00DB41CA" w:rsidP="00E44122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 w:rsidRPr="00647481">
        <w:rPr>
          <w:rStyle w:val="Ttulo2Car"/>
          <w:b w:val="0"/>
          <w:color w:val="auto"/>
          <w:sz w:val="22"/>
          <w:szCs w:val="22"/>
          <w:lang w:bidi="es-ES"/>
        </w:rPr>
        <w:t>En 2020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, en promedio, cada una de las personas asignadas a la gestión de las solicitudes de acceso a información pública asumió 21 solicitudes de las cuales tramitó 20,83. </w:t>
      </w:r>
    </w:p>
    <w:p w:rsidR="00DB41CA" w:rsidRDefault="00DB41CA" w:rsidP="00E44122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 2020 se tramit</w:t>
      </w:r>
      <w:r w:rsidR="00E44122">
        <w:rPr>
          <w:rStyle w:val="Ttulo2Car"/>
          <w:b w:val="0"/>
          <w:color w:val="auto"/>
          <w:sz w:val="22"/>
          <w:szCs w:val="22"/>
          <w:lang w:bidi="es-ES"/>
        </w:rPr>
        <w:t>aron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más del 99% de las solicitudes, tanto entradas en el año como pendientes a finales de2019, situándose la tasa de pendencia en 0,80. </w:t>
      </w:r>
    </w:p>
    <w:p w:rsidR="00DB41CA" w:rsidRDefault="00DB41CA" w:rsidP="00E44122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El tiempo medio estimado para la tramitación de las solicitudes pendientes es de 2,92 días naturales.</w:t>
      </w:r>
    </w:p>
    <w:p w:rsidR="00E44122" w:rsidRDefault="00E44122" w:rsidP="00E44122">
      <w:pPr>
        <w:spacing w:before="120" w:after="120" w:line="312" w:lineRule="auto"/>
        <w:ind w:left="426"/>
        <w:jc w:val="both"/>
      </w:pPr>
      <w:r>
        <w:t>La totalidad de estas 125 solicitudes se admitieron a trámite.</w:t>
      </w:r>
    </w:p>
    <w:p w:rsidR="00C50F60" w:rsidRPr="00647481" w:rsidRDefault="00C50F60" w:rsidP="00E44122">
      <w:pPr>
        <w:pStyle w:val="Epgrafe"/>
        <w:keepNext/>
        <w:spacing w:before="120" w:after="120" w:line="312" w:lineRule="auto"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64748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noProof/>
          <w:color w:val="00642D"/>
          <w:sz w:val="22"/>
          <w:szCs w:val="22"/>
          <w:lang w:bidi="es-ES"/>
        </w:rPr>
        <w:t>1</w:t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647481">
        <w:rPr>
          <w:rStyle w:val="Ttulo2Car"/>
          <w:b/>
          <w:color w:val="00642D"/>
          <w:sz w:val="22"/>
          <w:szCs w:val="22"/>
          <w:lang w:bidi="es-ES"/>
        </w:rPr>
        <w:t>: Indicadores de tramitación 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5F6BE5" w:rsidRPr="00706E04" w:rsidTr="00C50F60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tramitación</w:t>
            </w: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Solicitudes/persona UIT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21,00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Solicitudes tramitadas/persona UIT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20,83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Tramitación (tramitadas/(pendientes a 31/12/2019 + recibidas 2020))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99,21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pendencia (pendientes a 31/12/2020 / tramitadas)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,80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resolución en la tramitación (tramitadas/entradas en 2020)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100,00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congestión ((pendientes a 31/12/2019 + entradas 2020) / tramitadas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100,80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 xml:space="preserve">Tiempo medio estimado para la tramitación de las solicitudes pendientes ((pendientes a 31/12/2020 / tramitadas)*365 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2,92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admisión (admitidas/tramitadas)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100,00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inadmisión (inadmitidas/ tramitadas)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,00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archivo (archivadas/tramitadas)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,00</w:t>
            </w:r>
          </w:p>
        </w:tc>
      </w:tr>
    </w:tbl>
    <w:p w:rsidR="00B812AB" w:rsidRDefault="00B812AB" w:rsidP="00E44122">
      <w:pPr>
        <w:spacing w:before="120" w:after="120" w:line="312" w:lineRule="auto"/>
      </w:pPr>
    </w:p>
    <w:p w:rsidR="00055B15" w:rsidRDefault="00055B15" w:rsidP="00E4412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3</w:t>
      </w:r>
      <w:r>
        <w:rPr>
          <w:rStyle w:val="Ttulo2Car"/>
          <w:color w:val="00642D"/>
          <w:lang w:bidi="es-ES"/>
        </w:rPr>
        <w:t xml:space="preserve"> </w:t>
      </w:r>
      <w:r w:rsidRPr="00055B15">
        <w:rPr>
          <w:rStyle w:val="Ttulo2Car"/>
          <w:color w:val="00642D"/>
          <w:lang w:bidi="es-ES"/>
        </w:rPr>
        <w:t>Resoluciones emitidas en 2020</w:t>
      </w:r>
    </w:p>
    <w:p w:rsidR="00526089" w:rsidRDefault="00526089" w:rsidP="00E44122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C50F60" w:rsidRPr="009079EA" w:rsidRDefault="00C50F60" w:rsidP="00E44122">
      <w:pPr>
        <w:spacing w:before="120" w:after="120" w:line="312" w:lineRule="auto"/>
        <w:ind w:left="426"/>
        <w:jc w:val="both"/>
        <w:rPr>
          <w:rStyle w:val="Ttulo2Car"/>
          <w:color w:val="00642D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cuanto a las resoluciones emitidas en 2020, 62 concedieron la información, de las cuales 45 dieron acceso total y 17 parcial. Fueron denegadas 39 solicitudes, y otras 24 finalizaron por desistimiento u otras causas.</w:t>
      </w:r>
    </w:p>
    <w:p w:rsidR="00DD3F73" w:rsidRPr="00DD3F73" w:rsidRDefault="00C50F60" w:rsidP="00E44122">
      <w:pPr>
        <w:pStyle w:val="Cuerpodelboletn"/>
        <w:spacing w:before="120" w:after="120" w:line="312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E44122">
        <w:rPr>
          <w:rStyle w:val="Ttulo2Car"/>
          <w:b w:val="0"/>
          <w:color w:val="auto"/>
          <w:sz w:val="22"/>
          <w:szCs w:val="22"/>
          <w:lang w:bidi="es-ES"/>
        </w:rPr>
        <w:t>Congres</w:t>
      </w:r>
      <w:r w:rsidR="00E44122" w:rsidRPr="00DD3F73">
        <w:rPr>
          <w:rStyle w:val="Ttulo2Car"/>
          <w:b w:val="0"/>
          <w:color w:val="auto"/>
          <w:sz w:val="22"/>
          <w:szCs w:val="22"/>
          <w:lang w:bidi="es-ES"/>
        </w:rPr>
        <w:t xml:space="preserve">o de los Diputados </w:t>
      </w:r>
      <w:r w:rsidRPr="00DD3F73">
        <w:rPr>
          <w:rStyle w:val="Ttulo2Car"/>
          <w:b w:val="0"/>
          <w:color w:val="auto"/>
          <w:sz w:val="22"/>
          <w:szCs w:val="22"/>
          <w:lang w:bidi="es-ES"/>
        </w:rPr>
        <w:t xml:space="preserve"> publica las resoluciones relativas a la totalidad de los recursos interpuestos ante la Mesa por denegación de solicitudes de acceso o por disconformidad con la información proporcionada</w:t>
      </w:r>
      <w:r w:rsidR="00FE06AD" w:rsidRPr="00DD3F73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</w:p>
    <w:p w:rsidR="00DD3F73" w:rsidRPr="00DD3F73" w:rsidRDefault="00DD3F73" w:rsidP="00E44122">
      <w:pPr>
        <w:pStyle w:val="Cuerpodelboletn"/>
        <w:spacing w:before="120" w:after="120" w:line="312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DD3F73">
        <w:rPr>
          <w:rStyle w:val="Ttulo2Car"/>
          <w:b w:val="0"/>
          <w:color w:val="auto"/>
          <w:sz w:val="22"/>
          <w:szCs w:val="22"/>
          <w:lang w:bidi="es-ES"/>
        </w:rPr>
        <w:t>S</w:t>
      </w:r>
      <w:r w:rsidR="00FE06AD" w:rsidRPr="00DD3F73">
        <w:rPr>
          <w:rStyle w:val="Ttulo2Car"/>
          <w:b w:val="0"/>
          <w:color w:val="auto"/>
          <w:sz w:val="22"/>
          <w:szCs w:val="22"/>
          <w:lang w:bidi="es-ES"/>
        </w:rPr>
        <w:t>in embargo</w:t>
      </w:r>
      <w:r w:rsidRPr="00DD3F73">
        <w:rPr>
          <w:rStyle w:val="Ttulo2Car"/>
          <w:b w:val="0"/>
          <w:color w:val="auto"/>
          <w:sz w:val="22"/>
          <w:szCs w:val="22"/>
          <w:lang w:bidi="es-ES"/>
        </w:rPr>
        <w:t>, se ha constatado que no publica las resoluciones denegatorias por aplicación de los límites del artículo 14 de la LTAIBG.</w:t>
      </w:r>
    </w:p>
    <w:p w:rsidR="00F1708D" w:rsidRDefault="00E44122" w:rsidP="00DD3F73">
      <w:pPr>
        <w:pStyle w:val="Cuerpodelboletn"/>
        <w:spacing w:before="120" w:after="120" w:line="312" w:lineRule="auto"/>
        <w:ind w:left="426"/>
        <w:rPr>
          <w:rStyle w:val="Ttulo2Car"/>
          <w:color w:val="00642D"/>
          <w:lang w:bidi="es-ES"/>
        </w:rPr>
      </w:pPr>
      <w:r w:rsidRPr="00DD3F73">
        <w:rPr>
          <w:rStyle w:val="Ttulo2Car"/>
          <w:b w:val="0"/>
          <w:color w:val="auto"/>
          <w:sz w:val="22"/>
          <w:szCs w:val="22"/>
          <w:lang w:bidi="es-ES"/>
        </w:rPr>
        <w:t xml:space="preserve">   </w:t>
      </w:r>
    </w:p>
    <w:p w:rsidR="00F7263F" w:rsidRDefault="00F7263F" w:rsidP="00E44122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 w:rsidR="00C34BB5">
        <w:rPr>
          <w:rStyle w:val="Ttulo2Car"/>
          <w:color w:val="00642D"/>
          <w:lang w:bidi="es-ES"/>
        </w:rPr>
        <w:t>4</w:t>
      </w:r>
      <w:r>
        <w:rPr>
          <w:rStyle w:val="Ttulo2Car"/>
          <w:color w:val="00642D"/>
          <w:lang w:bidi="es-ES"/>
        </w:rPr>
        <w:t xml:space="preserve"> Indicadores de resolución en 2020 </w:t>
      </w:r>
    </w:p>
    <w:p w:rsidR="00526089" w:rsidRDefault="00526089" w:rsidP="00E44122">
      <w:pPr>
        <w:spacing w:before="120" w:after="120" w:line="312" w:lineRule="auto"/>
        <w:ind w:left="426"/>
        <w:jc w:val="both"/>
      </w:pPr>
    </w:p>
    <w:p w:rsidR="00C50F60" w:rsidRDefault="00C50F60" w:rsidP="00E44122">
      <w:pPr>
        <w:spacing w:before="120" w:after="120" w:line="312" w:lineRule="auto"/>
        <w:ind w:left="426"/>
        <w:jc w:val="both"/>
      </w:pPr>
      <w:r>
        <w:t xml:space="preserve">El </w:t>
      </w:r>
      <w:r w:rsidR="00E44122">
        <w:t xml:space="preserve">Congreso de los Diputados </w:t>
      </w:r>
      <w:r>
        <w:t>emite resoluciones expresas para la totalidad de las solicitudes admitidas. Ninguna solicitud ha sido desestimada por silencio administrativo.</w:t>
      </w:r>
    </w:p>
    <w:p w:rsidR="00C50F60" w:rsidRDefault="00C50F60" w:rsidP="00E44122">
      <w:pPr>
        <w:spacing w:before="120" w:after="120" w:line="312" w:lineRule="auto"/>
        <w:ind w:left="426"/>
        <w:jc w:val="both"/>
      </w:pPr>
      <w:r>
        <w:lastRenderedPageBreak/>
        <w:t xml:space="preserve">Un 49,60% de las </w:t>
      </w:r>
      <w:r w:rsidR="00F1708D">
        <w:t>r</w:t>
      </w:r>
      <w:r>
        <w:t>esoluciones concede el acceso a la información. De ellas, el 72,58% concede acceso total y el 27,42% acceso parcial. Un 31,20% deniega la información y el 19,20% adicional, determina la finalización del procedimiento por desistimiento y otras causas.</w:t>
      </w:r>
    </w:p>
    <w:p w:rsidR="00C50F60" w:rsidRDefault="00DF0B97" w:rsidP="00E44122">
      <w:pPr>
        <w:spacing w:before="120" w:after="120" w:line="312" w:lineRule="auto"/>
        <w:ind w:left="426"/>
        <w:jc w:val="both"/>
      </w:pPr>
      <w:r>
        <w:t>E</w:t>
      </w:r>
      <w:r w:rsidR="00C50F60">
        <w:t xml:space="preserve">l </w:t>
      </w:r>
      <w:r w:rsidR="00E44122">
        <w:t xml:space="preserve">Congreso de los Diputados </w:t>
      </w:r>
      <w:r w:rsidR="00C50F60">
        <w:t xml:space="preserve">no informa sobre las causas en las que se basan las resoluciones denegatorias, </w:t>
      </w:r>
      <w:r w:rsidR="00555E80">
        <w:t>si publica las resoluciones relativas a los recursos interpuestos ante la Mesa. C</w:t>
      </w:r>
      <w:r w:rsidR="00B235C8">
        <w:t xml:space="preserve">onsultadas algunas de estas </w:t>
      </w:r>
      <w:r w:rsidR="00555E80">
        <w:t xml:space="preserve">últimas </w:t>
      </w:r>
      <w:r w:rsidR="00B235C8">
        <w:t xml:space="preserve">resoluciones, </w:t>
      </w:r>
      <w:r w:rsidR="00555E80">
        <w:t xml:space="preserve">parece que </w:t>
      </w:r>
      <w:r w:rsidR="00B235C8">
        <w:t>la causa de denegación</w:t>
      </w:r>
      <w:r w:rsidR="00555E80">
        <w:t xml:space="preserve"> – al menos en las que han sido recurridas - </w:t>
      </w:r>
      <w:r w:rsidR="00B235C8">
        <w:t xml:space="preserve"> </w:t>
      </w:r>
      <w:r w:rsidR="00555E80">
        <w:t>se fundamenta</w:t>
      </w:r>
      <w:r w:rsidR="00B235C8">
        <w:t xml:space="preserve"> en que la información solicitada no estaba relacionada con las actividades del </w:t>
      </w:r>
      <w:r w:rsidR="00E44122">
        <w:t xml:space="preserve">Congreso de los Diputados </w:t>
      </w:r>
      <w:r w:rsidR="00262557">
        <w:t>sujetas a derecho administrativo, ámbito en el que es de aplicación la LTAIBG.</w:t>
      </w:r>
    </w:p>
    <w:p w:rsidR="00C33949" w:rsidRDefault="00C33949" w:rsidP="00E44122">
      <w:pPr>
        <w:spacing w:before="120" w:after="120" w:line="312" w:lineRule="auto"/>
        <w:ind w:left="426"/>
        <w:jc w:val="both"/>
      </w:pPr>
    </w:p>
    <w:p w:rsidR="00C50F60" w:rsidRPr="009079EA" w:rsidRDefault="00C50F60" w:rsidP="00E44122">
      <w:pPr>
        <w:pStyle w:val="Epgrafe"/>
        <w:keepNext/>
        <w:spacing w:before="120" w:after="120" w:line="312" w:lineRule="auto"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9079EA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begin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instrText xml:space="preserve"> SEQ Tabla \* ARABIC </w:instrTex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separate"/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fldChar w:fldCharType="end"/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: Indicadores de Resolución</w:t>
      </w:r>
      <w:r w:rsidR="00E44122">
        <w:rPr>
          <w:rStyle w:val="Ttulo2Car"/>
          <w:b/>
          <w:color w:val="00642D"/>
          <w:sz w:val="22"/>
          <w:szCs w:val="22"/>
          <w:lang w:bidi="es-ES"/>
        </w:rPr>
        <w:t xml:space="preserve">     </w:t>
      </w:r>
      <w:r w:rsidRPr="009079EA">
        <w:rPr>
          <w:rStyle w:val="Ttulo2Car"/>
          <w:b/>
          <w:color w:val="00642D"/>
          <w:sz w:val="22"/>
          <w:szCs w:val="22"/>
          <w:lang w:bidi="es-ES"/>
        </w:rPr>
        <w:t>2020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5F6BE5" w:rsidRPr="00706E04" w:rsidTr="00C50F60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  <w:r w:rsidRPr="005B3C15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100,00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49,60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27,42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72,58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31,20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,00</w:t>
            </w:r>
          </w:p>
        </w:tc>
      </w:tr>
      <w:tr w:rsidR="005F6BE5" w:rsidRPr="00706E04" w:rsidTr="00C50F60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5F6BE5" w:rsidRPr="005B3C15" w:rsidRDefault="005F6BE5" w:rsidP="00E44122">
            <w:pPr>
              <w:spacing w:before="120" w:after="120" w:line="312" w:lineRule="auto"/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5F6BE5" w:rsidRPr="00C33949" w:rsidRDefault="005F6BE5" w:rsidP="00E44122">
            <w:pPr>
              <w:spacing w:line="312" w:lineRule="auto"/>
              <w:rPr>
                <w:sz w:val="20"/>
                <w:szCs w:val="20"/>
              </w:rPr>
            </w:pPr>
            <w:r w:rsidRPr="00C33949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</w:tcPr>
          <w:p w:rsidR="005F6BE5" w:rsidRPr="005F6BE5" w:rsidRDefault="005F6BE5" w:rsidP="00E44122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5F6BE5">
              <w:rPr>
                <w:sz w:val="20"/>
                <w:szCs w:val="20"/>
              </w:rPr>
              <w:t>19,20</w:t>
            </w:r>
          </w:p>
        </w:tc>
      </w:tr>
    </w:tbl>
    <w:p w:rsidR="00055B15" w:rsidRDefault="00055B15" w:rsidP="00E44122">
      <w:pPr>
        <w:spacing w:before="120" w:after="120" w:line="312" w:lineRule="auto"/>
      </w:pPr>
    </w:p>
    <w:p w:rsidR="00055B15" w:rsidRDefault="00055B15" w:rsidP="00E44122">
      <w:pPr>
        <w:spacing w:before="120" w:after="120" w:line="312" w:lineRule="auto"/>
      </w:pPr>
    </w:p>
    <w:p w:rsidR="00B812AB" w:rsidRPr="00E34195" w:rsidRDefault="00533472" w:rsidP="00E44122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E44122">
            <w:rPr>
              <w:rFonts w:ascii="Century Gothic" w:hAnsi="Century Gothic"/>
              <w:color w:val="00642D"/>
              <w:sz w:val="30"/>
              <w:szCs w:val="30"/>
            </w:rPr>
            <w:t xml:space="preserve">    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DB3F10" w:rsidRDefault="00DB3F10" w:rsidP="00E44122">
      <w:pPr>
        <w:spacing w:before="120" w:after="120" w:line="312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B3F10" w:rsidRDefault="00526089" w:rsidP="00E44122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DB3F10">
        <w:rPr>
          <w:rStyle w:val="Ttulo2Car"/>
          <w:b w:val="0"/>
          <w:color w:val="auto"/>
          <w:sz w:val="22"/>
          <w:szCs w:val="22"/>
          <w:lang w:bidi="es-ES"/>
        </w:rPr>
        <w:t xml:space="preserve">l </w:t>
      </w:r>
      <w:r w:rsidR="00E44122">
        <w:rPr>
          <w:rStyle w:val="Ttulo2Car"/>
          <w:b w:val="0"/>
          <w:color w:val="auto"/>
          <w:sz w:val="22"/>
          <w:szCs w:val="22"/>
          <w:lang w:bidi="es-ES"/>
        </w:rPr>
        <w:t xml:space="preserve">Congreso de los Diputados </w:t>
      </w:r>
      <w:r w:rsidR="00DB3F10">
        <w:rPr>
          <w:rStyle w:val="Ttulo2Car"/>
          <w:b w:val="0"/>
          <w:color w:val="auto"/>
          <w:sz w:val="22"/>
          <w:szCs w:val="22"/>
          <w:lang w:bidi="es-ES"/>
        </w:rPr>
        <w:t>ha habilitado un</w:t>
      </w:r>
      <w:r w:rsidR="00DB3F10" w:rsidRPr="00A26009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</w:t>
      </w: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Pr="00526089">
        <w:rPr>
          <w:rStyle w:val="Ttulo2Car"/>
          <w:b w:val="0"/>
          <w:color w:val="auto"/>
          <w:sz w:val="22"/>
          <w:szCs w:val="22"/>
          <w:lang w:bidi="es-ES"/>
        </w:rPr>
        <w:t xml:space="preserve">n el Portal de Transparencia, </w:t>
      </w:r>
      <w:r w:rsidR="00DB3F10">
        <w:rPr>
          <w:rStyle w:val="Ttulo2Car"/>
          <w:b w:val="0"/>
          <w:color w:val="auto"/>
          <w:sz w:val="22"/>
          <w:szCs w:val="22"/>
          <w:lang w:bidi="es-ES"/>
        </w:rPr>
        <w:t xml:space="preserve">dedicado al ejercicio del derecho de acceso a la información pública. </w:t>
      </w:r>
    </w:p>
    <w:p w:rsidR="00DB3F10" w:rsidRDefault="00DB3F10" w:rsidP="00E44122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este espacio se hace referencia expresa a</w:t>
      </w:r>
      <w:r w:rsidRPr="00A26009">
        <w:rPr>
          <w:rStyle w:val="Ttulo2Car"/>
          <w:b w:val="0"/>
          <w:color w:val="auto"/>
          <w:sz w:val="22"/>
          <w:szCs w:val="22"/>
          <w:lang w:bidi="es-ES"/>
        </w:rPr>
        <w:t xml:space="preserve"> la posibilidad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que tiene la ciudadanía </w:t>
      </w:r>
      <w:r w:rsidRPr="00A26009">
        <w:rPr>
          <w:rStyle w:val="Ttulo2Car"/>
          <w:b w:val="0"/>
          <w:color w:val="auto"/>
          <w:sz w:val="22"/>
          <w:szCs w:val="22"/>
          <w:lang w:bidi="es-ES"/>
        </w:rPr>
        <w:t>de solicitar información pública de acuerdo con la Ley de Transparencia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DB3F10" w:rsidRDefault="00DB3F10" w:rsidP="00E44122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También se informa sobre los medios disponibles para la presentación de las solicitudes de acceso: </w:t>
      </w:r>
      <w:r w:rsidRPr="00DB3F10">
        <w:rPr>
          <w:rStyle w:val="Ttulo2Car"/>
          <w:b w:val="0"/>
          <w:color w:val="auto"/>
          <w:sz w:val="22"/>
          <w:szCs w:val="22"/>
          <w:lang w:bidi="es-ES"/>
        </w:rPr>
        <w:t>1) Por correo electrónico, 2) de modo presencial, en el Registro General de la Secretaría General de la Cámara</w:t>
      </w:r>
      <w:r w:rsidR="00526089">
        <w:rPr>
          <w:rStyle w:val="Ttulo2Car"/>
          <w:b w:val="0"/>
          <w:color w:val="auto"/>
          <w:sz w:val="22"/>
          <w:szCs w:val="22"/>
          <w:lang w:bidi="es-ES"/>
        </w:rPr>
        <w:t xml:space="preserve"> –también s</w:t>
      </w:r>
      <w:r w:rsidRPr="00DB3F10">
        <w:rPr>
          <w:rStyle w:val="Ttulo2Car"/>
          <w:b w:val="0"/>
          <w:color w:val="auto"/>
          <w:sz w:val="22"/>
          <w:szCs w:val="22"/>
          <w:lang w:bidi="es-ES"/>
        </w:rPr>
        <w:t>e informa sobre su horario</w:t>
      </w:r>
      <w:r w:rsidR="00526089">
        <w:rPr>
          <w:rStyle w:val="Ttulo2Car"/>
          <w:b w:val="0"/>
          <w:color w:val="auto"/>
          <w:sz w:val="22"/>
          <w:szCs w:val="22"/>
          <w:lang w:bidi="es-ES"/>
        </w:rPr>
        <w:t xml:space="preserve"> -</w:t>
      </w:r>
      <w:r w:rsidRPr="00DB3F10">
        <w:rPr>
          <w:rStyle w:val="Ttulo2Car"/>
          <w:b w:val="0"/>
          <w:color w:val="auto"/>
          <w:sz w:val="22"/>
          <w:szCs w:val="22"/>
          <w:lang w:bidi="es-ES"/>
        </w:rPr>
        <w:t xml:space="preserve"> y 3) a través de la Unidad de Atención al Ciudadano</w:t>
      </w:r>
      <w:r w:rsidR="00526089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DB3F10">
        <w:rPr>
          <w:rStyle w:val="Ttulo2Car"/>
          <w:b w:val="0"/>
          <w:color w:val="auto"/>
          <w:sz w:val="22"/>
          <w:szCs w:val="22"/>
          <w:lang w:bidi="es-ES"/>
        </w:rPr>
        <w:t>(atención telefónica, por fax, correo electrónico y</w:t>
      </w:r>
      <w:r w:rsidR="00E44122">
        <w:rPr>
          <w:rStyle w:val="Ttulo2Car"/>
          <w:b w:val="0"/>
          <w:color w:val="auto"/>
          <w:sz w:val="22"/>
          <w:szCs w:val="22"/>
          <w:lang w:bidi="es-ES"/>
        </w:rPr>
        <w:t xml:space="preserve">     </w:t>
      </w:r>
      <w:r w:rsidRPr="00DB3F10">
        <w:rPr>
          <w:rStyle w:val="Ttulo2Car"/>
          <w:b w:val="0"/>
          <w:color w:val="auto"/>
          <w:sz w:val="22"/>
          <w:szCs w:val="22"/>
          <w:lang w:bidi="es-ES"/>
        </w:rPr>
        <w:t>presencial)</w:t>
      </w:r>
    </w:p>
    <w:p w:rsidR="00DB3F10" w:rsidRDefault="00DB3F10" w:rsidP="00E44122">
      <w:pPr>
        <w:spacing w:before="120" w:after="120" w:line="312" w:lineRule="auto"/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Igualmente se informa sobre los requisitos establecidos para la presentación de las solicitudes: identificación</w:t>
      </w:r>
      <w:r w:rsidRPr="00DB3F10">
        <w:rPr>
          <w:rStyle w:val="Ttulo2Car"/>
          <w:b w:val="0"/>
          <w:color w:val="auto"/>
          <w:sz w:val="22"/>
          <w:szCs w:val="22"/>
          <w:lang w:bidi="es-ES"/>
        </w:rPr>
        <w:t>, documento de identidad, correo electrónico, solicitud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y</w:t>
      </w:r>
      <w:r w:rsidRPr="00DB3F1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aceptación de la</w:t>
      </w:r>
      <w:r w:rsidRPr="00DB3F10">
        <w:rPr>
          <w:rStyle w:val="Ttulo2Car"/>
          <w:b w:val="0"/>
          <w:color w:val="auto"/>
          <w:sz w:val="22"/>
          <w:szCs w:val="22"/>
          <w:lang w:bidi="es-ES"/>
        </w:rPr>
        <w:t xml:space="preserve"> política de privacidad.</w:t>
      </w:r>
    </w:p>
    <w:p w:rsidR="00DB3F10" w:rsidRDefault="00B33F33" w:rsidP="00E44122">
      <w:pPr>
        <w:spacing w:before="120" w:after="120" w:line="312" w:lineRule="auto"/>
        <w:ind w:left="426"/>
        <w:jc w:val="both"/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E44122">
        <w:rPr>
          <w:rStyle w:val="Ttulo2Car"/>
          <w:b w:val="0"/>
          <w:color w:val="auto"/>
          <w:sz w:val="22"/>
          <w:szCs w:val="22"/>
          <w:lang w:bidi="es-ES"/>
        </w:rPr>
        <w:t>Congreso de los Diputados</w:t>
      </w:r>
      <w:r>
        <w:rPr>
          <w:rStyle w:val="Ttulo2Car"/>
          <w:b w:val="0"/>
          <w:color w:val="auto"/>
          <w:sz w:val="22"/>
          <w:szCs w:val="22"/>
          <w:lang w:bidi="es-ES"/>
        </w:rPr>
        <w:t>, además</w:t>
      </w:r>
      <w:r w:rsidR="00E44122">
        <w:rPr>
          <w:rStyle w:val="Ttulo2Car"/>
          <w:b w:val="0"/>
          <w:color w:val="auto"/>
          <w:sz w:val="22"/>
          <w:szCs w:val="22"/>
          <w:lang w:bidi="es-ES"/>
        </w:rPr>
        <w:t>,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proporciona un formulario para la presentación de las solicitudes, </w:t>
      </w:r>
      <w:r w:rsidRPr="00B33F33">
        <w:rPr>
          <w:rStyle w:val="Ttulo2Car"/>
          <w:b w:val="0"/>
          <w:color w:val="auto"/>
          <w:sz w:val="22"/>
          <w:szCs w:val="22"/>
          <w:lang w:bidi="es-ES"/>
        </w:rPr>
        <w:t>explicaciones sobre la manera de pr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oceder para ejercer el derecho y la </w:t>
      </w:r>
      <w:r w:rsidRPr="00B33F33">
        <w:rPr>
          <w:rStyle w:val="Ttulo2Car"/>
          <w:b w:val="0"/>
          <w:color w:val="auto"/>
          <w:sz w:val="22"/>
          <w:szCs w:val="22"/>
          <w:lang w:bidi="es-ES"/>
        </w:rPr>
        <w:t>posibilidad de consultar el estado de tramitación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de la solicitud.</w:t>
      </w:r>
    </w:p>
    <w:p w:rsidR="00561402" w:rsidRDefault="00561402" w:rsidP="00E44122">
      <w:pPr>
        <w:spacing w:before="120" w:after="120" w:line="312" w:lineRule="auto"/>
        <w:rPr>
          <w:b/>
          <w:color w:val="00642D"/>
          <w:sz w:val="30"/>
          <w:szCs w:val="30"/>
        </w:rPr>
      </w:pPr>
    </w:p>
    <w:p w:rsidR="00B40246" w:rsidRPr="00E34195" w:rsidRDefault="00533472" w:rsidP="00E44122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932008" w:rsidRDefault="00E3088D" w:rsidP="00E44122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B33F33" w:rsidRDefault="00B33F33" w:rsidP="00E4412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B33F33" w:rsidRDefault="00B33F33" w:rsidP="00E4412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>
        <w:rPr>
          <w:color w:val="auto"/>
          <w:lang w:bidi="es-ES"/>
        </w:rPr>
        <w:t xml:space="preserve">18/02/2021 se presentó mediante el formulario habilitado en el Portal de Transparencia, una solicitud de acceso a información pública dirigida al </w:t>
      </w:r>
      <w:r w:rsidR="00E44122">
        <w:rPr>
          <w:color w:val="auto"/>
          <w:lang w:bidi="es-ES"/>
        </w:rPr>
        <w:t>Congreso de los Diputados</w:t>
      </w:r>
      <w:r>
        <w:rPr>
          <w:color w:val="auto"/>
          <w:lang w:bidi="es-ES"/>
        </w:rPr>
        <w:t xml:space="preserve">. La información solicitada presentaba una incidencia – no indicaba el formato de entrega de la información demandada –. </w:t>
      </w:r>
    </w:p>
    <w:p w:rsidR="00B33F33" w:rsidRDefault="00B33F33" w:rsidP="00E4412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F1708D">
        <w:rPr>
          <w:color w:val="auto"/>
          <w:lang w:bidi="es-ES"/>
        </w:rPr>
        <w:t>No se recibió un acuse de recibo</w:t>
      </w:r>
      <w:r w:rsidRPr="004C074C">
        <w:rPr>
          <w:color w:val="auto"/>
          <w:lang w:bidi="es-ES"/>
        </w:rPr>
        <w:t xml:space="preserve"> o comunicación al solicitante de la recepción de la solicitud de información.</w:t>
      </w:r>
      <w:r>
        <w:rPr>
          <w:color w:val="auto"/>
          <w:lang w:bidi="es-ES"/>
        </w:rPr>
        <w:t xml:space="preserve"> </w:t>
      </w:r>
    </w:p>
    <w:p w:rsidR="00B33F33" w:rsidRDefault="00B33F33" w:rsidP="00E4412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B33F33" w:rsidRPr="004C074C" w:rsidRDefault="00B33F33" w:rsidP="00E4412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F1708D">
        <w:rPr>
          <w:color w:val="auto"/>
          <w:lang w:bidi="es-ES"/>
        </w:rPr>
        <w:t>No se recibe una comunicación de inicio</w:t>
      </w:r>
      <w:r w:rsidRPr="004C074C">
        <w:rPr>
          <w:color w:val="auto"/>
          <w:lang w:bidi="es-ES"/>
        </w:rPr>
        <w:t xml:space="preserve"> de la tramitación de la solicitud. </w:t>
      </w:r>
    </w:p>
    <w:p w:rsidR="00B33F33" w:rsidRDefault="00B33F33" w:rsidP="00E4412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F1708D">
        <w:rPr>
          <w:color w:val="auto"/>
          <w:lang w:bidi="es-ES"/>
        </w:rPr>
        <w:t>No se ha solicitado subsanación</w:t>
      </w:r>
      <w:r w:rsidRPr="004C074C">
        <w:rPr>
          <w:color w:val="auto"/>
          <w:lang w:bidi="es-ES"/>
        </w:rPr>
        <w:t xml:space="preserve"> a pesar de que como se ha indicado, no se especificaba el formato en el q</w:t>
      </w:r>
      <w:r w:rsidR="00526089" w:rsidRPr="004C074C">
        <w:rPr>
          <w:color w:val="auto"/>
          <w:lang w:bidi="es-ES"/>
        </w:rPr>
        <w:t>u</w:t>
      </w:r>
      <w:r w:rsidRPr="004C074C">
        <w:rPr>
          <w:color w:val="auto"/>
          <w:lang w:bidi="es-ES"/>
        </w:rPr>
        <w:t>e se solicitaba la información.</w:t>
      </w:r>
    </w:p>
    <w:p w:rsidR="00B33F33" w:rsidRDefault="00B33F33" w:rsidP="00E44122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B33F33" w:rsidRDefault="00B33F33" w:rsidP="00E44122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Se dicta resolución expresa con fecha 16/03/2021 – por lo tanto dentro de plazo – como pie de firma aparece Secretaría General.</w:t>
      </w:r>
    </w:p>
    <w:p w:rsidR="00B33F33" w:rsidRDefault="00B33F33" w:rsidP="00E44122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está incluida en el cuerpo del correo electrónico mediante el que se </w:t>
      </w:r>
      <w:r w:rsidR="00526089">
        <w:rPr>
          <w:color w:val="auto"/>
          <w:lang w:bidi="es-ES"/>
        </w:rPr>
        <w:t>notifica</w:t>
      </w:r>
      <w:r>
        <w:rPr>
          <w:color w:val="auto"/>
          <w:lang w:bidi="es-ES"/>
        </w:rPr>
        <w:t>.</w:t>
      </w:r>
    </w:p>
    <w:p w:rsidR="00B33F33" w:rsidRDefault="00B33F33" w:rsidP="00E44122">
      <w:pPr>
        <w:pStyle w:val="Prrafodelista"/>
        <w:numPr>
          <w:ilvl w:val="0"/>
          <w:numId w:val="5"/>
        </w:numPr>
        <w:spacing w:before="120" w:after="120" w:line="312" w:lineRule="auto"/>
        <w:contextualSpacing w:val="0"/>
        <w:jc w:val="both"/>
      </w:pPr>
      <w:r>
        <w:rPr>
          <w:lang w:bidi="es-ES"/>
        </w:rPr>
        <w:t xml:space="preserve">La resolución no responde a la totalidad de la información solicitada, aunque se informa de las razones por las que no se suministran determinados datos. También se proporcionan ayudas </w:t>
      </w:r>
      <w:r w:rsidR="00731678">
        <w:rPr>
          <w:lang w:bidi="es-ES"/>
        </w:rPr>
        <w:t xml:space="preserve">para facilitar la </w:t>
      </w:r>
      <w:r w:rsidR="00526089">
        <w:rPr>
          <w:lang w:bidi="es-ES"/>
        </w:rPr>
        <w:t>comprensión y equivalencia entre</w:t>
      </w:r>
      <w:r w:rsidR="00731678">
        <w:rPr>
          <w:lang w:bidi="es-ES"/>
        </w:rPr>
        <w:t xml:space="preserve"> la información</w:t>
      </w:r>
      <w:r w:rsidR="00E44122">
        <w:rPr>
          <w:lang w:bidi="es-ES"/>
        </w:rPr>
        <w:t xml:space="preserve">     </w:t>
      </w:r>
      <w:r w:rsidR="00731678">
        <w:rPr>
          <w:lang w:bidi="es-ES"/>
        </w:rPr>
        <w:t xml:space="preserve">solicitada y la proporcionada. </w:t>
      </w:r>
    </w:p>
    <w:p w:rsidR="00731678" w:rsidRDefault="00731678" w:rsidP="00E44122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 w:rsidRPr="00731678">
        <w:rPr>
          <w:color w:val="auto"/>
          <w:lang w:bidi="es-ES"/>
        </w:rPr>
        <w:t>La resolución es clara y</w:t>
      </w:r>
      <w:r w:rsidR="00B33F33" w:rsidRPr="00731678">
        <w:rPr>
          <w:color w:val="auto"/>
          <w:lang w:bidi="es-ES"/>
        </w:rPr>
        <w:t xml:space="preserve"> comprensible</w:t>
      </w:r>
      <w:r w:rsidRPr="00731678">
        <w:rPr>
          <w:color w:val="auto"/>
          <w:lang w:bidi="es-ES"/>
        </w:rPr>
        <w:t xml:space="preserve">. </w:t>
      </w:r>
    </w:p>
    <w:p w:rsidR="00B33F33" w:rsidRPr="00731678" w:rsidRDefault="00B33F33" w:rsidP="00E44122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 w:rsidRPr="00731678">
        <w:rPr>
          <w:color w:val="auto"/>
          <w:lang w:bidi="es-ES"/>
        </w:rPr>
        <w:t xml:space="preserve">Incluye pie de recurso indicando los recursos que pueden interponerse, el órgano competente para resolverlos y el plazo para su interposición. </w:t>
      </w:r>
    </w:p>
    <w:p w:rsidR="00B33F33" w:rsidRDefault="00B33F33" w:rsidP="00E44122">
      <w:pPr>
        <w:pStyle w:val="Cuerpodelboletn"/>
        <w:numPr>
          <w:ilvl w:val="0"/>
          <w:numId w:val="5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La resolución se notifica </w:t>
      </w:r>
      <w:r w:rsidR="00FE06AD">
        <w:rPr>
          <w:color w:val="auto"/>
          <w:lang w:bidi="es-ES"/>
        </w:rPr>
        <w:t>por correo</w:t>
      </w:r>
      <w:r>
        <w:rPr>
          <w:color w:val="auto"/>
          <w:lang w:bidi="es-ES"/>
        </w:rPr>
        <w:t xml:space="preserve"> electrónico, lo que </w:t>
      </w:r>
      <w:r w:rsidRPr="00340AD6">
        <w:rPr>
          <w:color w:val="auto"/>
          <w:lang w:bidi="es-ES"/>
        </w:rPr>
        <w:t xml:space="preserve">concuerda </w:t>
      </w:r>
      <w:r>
        <w:rPr>
          <w:color w:val="auto"/>
          <w:lang w:bidi="es-ES"/>
        </w:rPr>
        <w:t>con</w:t>
      </w:r>
      <w:r w:rsidRPr="00340AD6">
        <w:rPr>
          <w:color w:val="auto"/>
          <w:lang w:bidi="es-ES"/>
        </w:rPr>
        <w:t xml:space="preserve"> la forma </w:t>
      </w:r>
      <w:r>
        <w:rPr>
          <w:color w:val="auto"/>
          <w:lang w:bidi="es-ES"/>
        </w:rPr>
        <w:t>de presentación de la solicitud.</w:t>
      </w:r>
    </w:p>
    <w:p w:rsidR="00B33F33" w:rsidRPr="00731678" w:rsidRDefault="00B33F33" w:rsidP="00E44122">
      <w:pPr>
        <w:pStyle w:val="Cuerpodelboletn"/>
        <w:numPr>
          <w:ilvl w:val="0"/>
          <w:numId w:val="5"/>
        </w:numPr>
        <w:spacing w:before="120" w:after="120" w:line="312" w:lineRule="auto"/>
        <w:ind w:left="1134"/>
        <w:rPr>
          <w:color w:val="00642D"/>
          <w:lang w:bidi="es-ES"/>
        </w:rPr>
      </w:pPr>
      <w:r w:rsidRPr="00731678">
        <w:rPr>
          <w:color w:val="auto"/>
          <w:lang w:bidi="es-ES"/>
        </w:rPr>
        <w:lastRenderedPageBreak/>
        <w:t>Se facilita el acceso a la información en el momento de la notificación de la resolución</w:t>
      </w:r>
      <w:r w:rsidR="00731678" w:rsidRPr="00731678">
        <w:rPr>
          <w:color w:val="auto"/>
          <w:lang w:bidi="es-ES"/>
        </w:rPr>
        <w:t>. La información solicitada se incluye en el cuerpo del correo electrónico mediante el que se notifica la resolución de concesión.</w:t>
      </w:r>
      <w:r w:rsidR="00E44122">
        <w:rPr>
          <w:color w:val="auto"/>
          <w:lang w:bidi="es-ES"/>
        </w:rPr>
        <w:t xml:space="preserve">     </w:t>
      </w:r>
    </w:p>
    <w:p w:rsidR="00FE06AD" w:rsidRDefault="00FE06AD" w:rsidP="00E44122">
      <w:pPr>
        <w:pStyle w:val="Cuerpodelboletn"/>
        <w:spacing w:before="120" w:after="120" w:line="312" w:lineRule="auto"/>
        <w:ind w:left="720"/>
        <w:rPr>
          <w:b/>
          <w:color w:val="00642D"/>
          <w:sz w:val="32"/>
        </w:rPr>
      </w:pPr>
    </w:p>
    <w:p w:rsidR="001F251B" w:rsidRPr="00256215" w:rsidRDefault="00533472" w:rsidP="00E44122">
      <w:pPr>
        <w:pStyle w:val="Cuerpodelboletn"/>
        <w:spacing w:before="120" w:after="120" w:line="312" w:lineRule="auto"/>
        <w:ind w:left="284" w:hanging="142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31678" w:rsidRDefault="00731678" w:rsidP="00E44122">
      <w:pPr>
        <w:spacing w:before="120" w:after="120" w:line="312" w:lineRule="auto"/>
        <w:ind w:left="426"/>
      </w:pPr>
    </w:p>
    <w:p w:rsidR="00256215" w:rsidRDefault="00731678" w:rsidP="00E44122">
      <w:pPr>
        <w:spacing w:before="120" w:after="120" w:line="312" w:lineRule="auto"/>
        <w:ind w:left="426"/>
        <w:jc w:val="both"/>
      </w:pPr>
      <w:r>
        <w:t xml:space="preserve">La gestión del derecho de acceso a la información pública por parte del </w:t>
      </w:r>
      <w:r w:rsidR="00E44122">
        <w:t xml:space="preserve">Congreso de los Diputados </w:t>
      </w:r>
      <w:r>
        <w:t xml:space="preserve"> presenta un conjunto de buenas prácticas que podrían ser aplicadas por otras organizaciones públicas. En este sentido cabe destacar:</w:t>
      </w:r>
    </w:p>
    <w:p w:rsidR="00731678" w:rsidRDefault="00731678" w:rsidP="00E44122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</w:pPr>
      <w:r>
        <w:t>La habilitación de múltiples canales para la presentación de las solicitudes.</w:t>
      </w:r>
    </w:p>
    <w:p w:rsidR="00731678" w:rsidRDefault="00731678" w:rsidP="00E44122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</w:pPr>
      <w:r>
        <w:t>La disponibilidad de un formulario web para la presentación de las solicitudes.</w:t>
      </w:r>
    </w:p>
    <w:p w:rsidR="00731678" w:rsidRDefault="00731678" w:rsidP="00E44122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</w:pPr>
      <w:r>
        <w:t>La posibilidad de efectuar la solicitud sin más requisitos que la identificación y un correo electrónico.</w:t>
      </w:r>
    </w:p>
    <w:p w:rsidR="00731678" w:rsidRDefault="00731678" w:rsidP="00E44122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</w:pPr>
      <w:r>
        <w:t>La existencia de instrucciones y ayudas para facilitar el ejercicio del derecho.</w:t>
      </w:r>
    </w:p>
    <w:p w:rsidR="00731678" w:rsidRDefault="00731678" w:rsidP="00E44122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</w:pPr>
      <w:r>
        <w:t>La habilitación de un canal para consultar el estado de tramitación de la solicitud.</w:t>
      </w:r>
    </w:p>
    <w:p w:rsidR="00526089" w:rsidRDefault="00526089" w:rsidP="00E44122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</w:pPr>
      <w:r>
        <w:t xml:space="preserve">La incorporación de información sobre la información demandada más frecuentemente. </w:t>
      </w:r>
    </w:p>
    <w:p w:rsidR="00F600AE" w:rsidRDefault="00F600AE" w:rsidP="00E44122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</w:pPr>
      <w:r>
        <w:t>La inclusión en la resolución de las razones por la que no se entrega determinada información y de ayudas para comprender la equivalencia entre la información solicitada y la remitida.</w:t>
      </w:r>
    </w:p>
    <w:p w:rsidR="00F600AE" w:rsidRDefault="00F600AE" w:rsidP="00E44122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</w:pPr>
      <w:r>
        <w:t xml:space="preserve">La incorporación de información adicional en la resolución como un enlace a los datos estadísticos sobre derecho de acceso en el </w:t>
      </w:r>
      <w:r w:rsidR="00E44122">
        <w:t xml:space="preserve">Congreso de los Diputados </w:t>
      </w:r>
      <w:r>
        <w:t xml:space="preserve"> y a las resoluciones de los recursos presentados ante la Mesa.</w:t>
      </w:r>
    </w:p>
    <w:p w:rsidR="00256215" w:rsidRDefault="00E44122" w:rsidP="00FE06AD">
      <w:pPr>
        <w:pStyle w:val="Prrafodelista"/>
        <w:numPr>
          <w:ilvl w:val="0"/>
          <w:numId w:val="6"/>
        </w:numPr>
        <w:spacing w:before="120" w:after="120" w:line="312" w:lineRule="auto"/>
        <w:contextualSpacing w:val="0"/>
        <w:jc w:val="both"/>
      </w:pPr>
      <w:r>
        <w:t xml:space="preserve">La posibilidad  de recurrir ante la Mesa del Congreso con carácter previo y potestativo  a la </w:t>
      </w:r>
      <w:r w:rsidR="00FE06AD">
        <w:t>vía</w:t>
      </w:r>
      <w:r>
        <w:t xml:space="preserve"> judicial</w:t>
      </w:r>
    </w:p>
    <w:p w:rsidR="009C2363" w:rsidRDefault="009C2363" w:rsidP="009C2363">
      <w:pPr>
        <w:spacing w:before="120" w:after="120" w:line="312" w:lineRule="auto"/>
        <w:ind w:left="786"/>
        <w:jc w:val="both"/>
      </w:pPr>
    </w:p>
    <w:p w:rsidR="00256215" w:rsidRDefault="00533472" w:rsidP="00E44122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F600AE" w:rsidRDefault="00F600AE" w:rsidP="00E44122">
      <w:pPr>
        <w:pStyle w:val="Prrafodelista"/>
        <w:spacing w:before="120" w:after="120" w:line="312" w:lineRule="auto"/>
        <w:ind w:left="709"/>
        <w:contextualSpacing w:val="0"/>
        <w:rPr>
          <w:rStyle w:val="Ttulo2Car"/>
          <w:color w:val="00642D"/>
          <w:sz w:val="22"/>
          <w:szCs w:val="22"/>
          <w:lang w:bidi="es-ES"/>
        </w:rPr>
      </w:pPr>
    </w:p>
    <w:p w:rsidR="00F600AE" w:rsidRPr="00B70DBD" w:rsidRDefault="00F600AE" w:rsidP="00E44122">
      <w:pPr>
        <w:pStyle w:val="Prrafodelista"/>
        <w:numPr>
          <w:ilvl w:val="0"/>
          <w:numId w:val="8"/>
        </w:numPr>
        <w:spacing w:before="120" w:after="120" w:line="312" w:lineRule="auto"/>
        <w:ind w:left="709"/>
        <w:contextualSpacing w:val="0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600AE" w:rsidRDefault="00F600AE" w:rsidP="00E44122">
      <w:pPr>
        <w:pStyle w:val="Prrafodelista"/>
        <w:spacing w:before="120" w:after="120" w:line="312" w:lineRule="auto"/>
        <w:ind w:left="644"/>
        <w:contextualSpacing w:val="0"/>
        <w:rPr>
          <w:rStyle w:val="Ttulo2Car"/>
          <w:color w:val="00642D"/>
          <w:sz w:val="22"/>
          <w:szCs w:val="22"/>
          <w:lang w:bidi="es-ES"/>
        </w:rPr>
      </w:pPr>
    </w:p>
    <w:p w:rsidR="00F600AE" w:rsidRDefault="00F600AE" w:rsidP="00DD3F73">
      <w:pPr>
        <w:pStyle w:val="Prrafodelista"/>
        <w:spacing w:before="120" w:after="120" w:line="312" w:lineRule="auto"/>
        <w:ind w:left="644"/>
        <w:contextualSpacing w:val="0"/>
        <w:jc w:val="both"/>
        <w:rPr>
          <w:bCs/>
        </w:rPr>
      </w:pPr>
      <w:r>
        <w:rPr>
          <w:bCs/>
        </w:rPr>
        <w:t xml:space="preserve">El </w:t>
      </w:r>
      <w:r w:rsidR="00E44122">
        <w:rPr>
          <w:bCs/>
        </w:rPr>
        <w:t xml:space="preserve">Congreso de los Diputados </w:t>
      </w:r>
      <w:r>
        <w:rPr>
          <w:bCs/>
        </w:rPr>
        <w:t xml:space="preserve"> tramita prácticamente el 100% de las solicitudes que recibe y admite la totalidad de ellas. La información aportada indica que se emite resolución expresa para el 100% de las solicitudes admitidas. Un 49,60% de estas resoluciones concede el acceso a la información, de ellas el 72,58 concede acceso total. </w:t>
      </w:r>
    </w:p>
    <w:p w:rsidR="00F600AE" w:rsidRDefault="00F600AE" w:rsidP="00DD3F73">
      <w:pPr>
        <w:pStyle w:val="Prrafodelista"/>
        <w:spacing w:before="120" w:after="120" w:line="312" w:lineRule="auto"/>
        <w:ind w:left="644"/>
        <w:contextualSpacing w:val="0"/>
        <w:jc w:val="both"/>
        <w:rPr>
          <w:bCs/>
        </w:rPr>
      </w:pPr>
    </w:p>
    <w:p w:rsidR="00F600AE" w:rsidRDefault="00F600AE" w:rsidP="00DD3F73">
      <w:pPr>
        <w:pStyle w:val="Prrafodelista"/>
        <w:spacing w:before="120" w:after="120" w:line="312" w:lineRule="auto"/>
        <w:ind w:left="644"/>
        <w:contextualSpacing w:val="0"/>
        <w:jc w:val="both"/>
        <w:rPr>
          <w:bCs/>
        </w:rPr>
      </w:pPr>
      <w:r>
        <w:rPr>
          <w:bCs/>
        </w:rPr>
        <w:t>Un 31,20% de las resoluciones deniega el acceso a la información y aunque no se proporciona información sobre las causas de denegación, de la lectura de</w:t>
      </w:r>
      <w:r w:rsidR="00C316A0">
        <w:rPr>
          <w:bCs/>
        </w:rPr>
        <w:t xml:space="preserve"> </w:t>
      </w:r>
      <w:r>
        <w:rPr>
          <w:bCs/>
        </w:rPr>
        <w:t xml:space="preserve">las resoluciones a los recursos interpuestos ante la Mesa del </w:t>
      </w:r>
      <w:r w:rsidR="00E44122">
        <w:rPr>
          <w:bCs/>
        </w:rPr>
        <w:t>Congreso de los Diputados</w:t>
      </w:r>
      <w:r>
        <w:rPr>
          <w:bCs/>
        </w:rPr>
        <w:t xml:space="preserve">, parece deducirse que estas denegaciones se producen porque la información solicitada no </w:t>
      </w:r>
      <w:r w:rsidR="00C316A0">
        <w:rPr>
          <w:bCs/>
        </w:rPr>
        <w:t>est</w:t>
      </w:r>
      <w:r w:rsidR="00EA6424">
        <w:rPr>
          <w:bCs/>
        </w:rPr>
        <w:t xml:space="preserve">á </w:t>
      </w:r>
      <w:r w:rsidR="00C316A0">
        <w:rPr>
          <w:bCs/>
        </w:rPr>
        <w:t xml:space="preserve">relacionada con las actividades del </w:t>
      </w:r>
      <w:r w:rsidR="00E44122">
        <w:rPr>
          <w:bCs/>
        </w:rPr>
        <w:t xml:space="preserve">Congreso de los Diputados </w:t>
      </w:r>
      <w:r w:rsidR="00C316A0">
        <w:rPr>
          <w:bCs/>
        </w:rPr>
        <w:t>sujetas a derecho administrativo.</w:t>
      </w:r>
    </w:p>
    <w:p w:rsidR="00DD3F73" w:rsidRDefault="00DD3F73" w:rsidP="00DD3F73">
      <w:pPr>
        <w:pStyle w:val="Prrafodelista"/>
        <w:spacing w:before="120" w:after="120"/>
        <w:ind w:left="644"/>
        <w:contextualSpacing w:val="0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Por otra parte se ha constatado que el </w:t>
      </w:r>
      <w:r>
        <w:rPr>
          <w:bCs/>
        </w:rPr>
        <w:t>Congreso de los Diputados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no publica las resoluciones denegatorias de acceso a la información por aplicación de los límites del artículo 14 de la Ley 19/2013.</w:t>
      </w:r>
    </w:p>
    <w:p w:rsidR="00DD3F73" w:rsidRDefault="00DD3F73" w:rsidP="00DD3F73">
      <w:pPr>
        <w:pStyle w:val="Prrafodelista"/>
        <w:spacing w:before="120" w:after="120"/>
        <w:ind w:left="644"/>
        <w:contextualSpacing w:val="0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DD3F73" w:rsidRPr="008648E8" w:rsidRDefault="00DD3F73" w:rsidP="00DD3F7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El Congreso de los Diputados debería publicar en su Portal de Transparencia las resoluciones que deniegan el acceso a la información por aplicación de los límites del artículo 14, según lo dispuesto por el artículo 14.3 de la LTAIBG.</w:t>
      </w:r>
    </w:p>
    <w:p w:rsidR="00DD3F73" w:rsidRPr="00532640" w:rsidRDefault="00DD3F73" w:rsidP="00DD3F73">
      <w:pPr>
        <w:pStyle w:val="Prrafodelista"/>
        <w:spacing w:before="120" w:after="120"/>
        <w:ind w:left="426"/>
        <w:contextualSpacing w:val="0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</w:p>
    <w:p w:rsidR="00F600AE" w:rsidRDefault="00DD3F73" w:rsidP="00E44122">
      <w:pPr>
        <w:pStyle w:val="Prrafodelista"/>
        <w:spacing w:before="120" w:after="120" w:line="312" w:lineRule="auto"/>
        <w:ind w:left="644"/>
        <w:contextualSpacing w:val="0"/>
        <w:jc w:val="both"/>
        <w:rPr>
          <w:bCs/>
        </w:rPr>
      </w:pPr>
      <w:r>
        <w:rPr>
          <w:bCs/>
        </w:rPr>
        <w:t>Sin embargo, se comprueba</w:t>
      </w:r>
      <w:r w:rsidR="00F600AE" w:rsidRPr="00D74E79">
        <w:rPr>
          <w:bCs/>
        </w:rPr>
        <w:t xml:space="preserve"> que se publican las resoluciones </w:t>
      </w:r>
      <w:r w:rsidR="00F600AE">
        <w:rPr>
          <w:bCs/>
        </w:rPr>
        <w:t xml:space="preserve">relativas a los recursos interpuestos ante la Mesa del </w:t>
      </w:r>
      <w:r w:rsidR="00E44122">
        <w:rPr>
          <w:bCs/>
        </w:rPr>
        <w:t xml:space="preserve">Congreso de los Diputados </w:t>
      </w:r>
      <w:r w:rsidR="00F600AE">
        <w:rPr>
          <w:bCs/>
        </w:rPr>
        <w:t xml:space="preserve"> por denegación de solicitudes de acceso o disconformidad con las mismas.</w:t>
      </w:r>
    </w:p>
    <w:p w:rsidR="00F600AE" w:rsidRDefault="00F600AE" w:rsidP="00E44122">
      <w:pPr>
        <w:pStyle w:val="Prrafodelista"/>
        <w:spacing w:before="120" w:after="120" w:line="312" w:lineRule="auto"/>
        <w:ind w:left="644"/>
        <w:contextualSpacing w:val="0"/>
      </w:pPr>
    </w:p>
    <w:p w:rsidR="00F600AE" w:rsidRPr="001018C9" w:rsidRDefault="00F600AE" w:rsidP="00E44122">
      <w:pPr>
        <w:pStyle w:val="Prrafodelista"/>
        <w:numPr>
          <w:ilvl w:val="0"/>
          <w:numId w:val="8"/>
        </w:numPr>
        <w:spacing w:before="120" w:after="120" w:line="312" w:lineRule="auto"/>
        <w:ind w:left="709"/>
        <w:contextualSpacing w:val="0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600AE" w:rsidRDefault="00F600AE" w:rsidP="00E44122">
      <w:pPr>
        <w:pStyle w:val="Prrafodelista"/>
        <w:spacing w:before="120" w:after="120" w:line="312" w:lineRule="auto"/>
        <w:ind w:left="644"/>
        <w:contextualSpacing w:val="0"/>
      </w:pPr>
    </w:p>
    <w:p w:rsidR="00F600AE" w:rsidRDefault="00F600AE" w:rsidP="00E44122">
      <w:pPr>
        <w:pStyle w:val="Prrafodelista"/>
        <w:spacing w:before="120" w:after="120" w:line="312" w:lineRule="auto"/>
        <w:ind w:left="644"/>
        <w:contextualSpacing w:val="0"/>
        <w:jc w:val="both"/>
      </w:pPr>
      <w:r>
        <w:t xml:space="preserve">Como se ha indicado, </w:t>
      </w:r>
      <w:r w:rsidR="00C316A0">
        <w:t xml:space="preserve">el </w:t>
      </w:r>
      <w:r w:rsidR="00E44122">
        <w:t xml:space="preserve">Congreso de los Diputados </w:t>
      </w:r>
      <w:r>
        <w:t xml:space="preserve"> dispone de un espacio en su Portal de Transparencia que ofrece información sobre la posibilidad de que los ciudadanos efectúen solicitudes de acceso a información pública dirigidas a la </w:t>
      </w:r>
      <w:r w:rsidR="00C316A0">
        <w:t>institución</w:t>
      </w:r>
      <w:r>
        <w:t xml:space="preserve">. También proporciona un formulario web y ha habilitado diversos canales para la presentación de las solicitudes. </w:t>
      </w:r>
    </w:p>
    <w:p w:rsidR="00F600AE" w:rsidRDefault="00F600AE" w:rsidP="00E44122">
      <w:pPr>
        <w:pStyle w:val="Prrafodelista"/>
        <w:spacing w:before="120" w:after="120" w:line="312" w:lineRule="auto"/>
        <w:ind w:left="644"/>
        <w:contextualSpacing w:val="0"/>
        <w:jc w:val="both"/>
      </w:pPr>
    </w:p>
    <w:p w:rsidR="00F600AE" w:rsidRDefault="00C316A0" w:rsidP="00E44122">
      <w:pPr>
        <w:pStyle w:val="Prrafodelista"/>
        <w:spacing w:before="120" w:after="120" w:line="312" w:lineRule="auto"/>
        <w:ind w:left="644"/>
        <w:contextualSpacing w:val="0"/>
        <w:jc w:val="both"/>
      </w:pPr>
      <w:r>
        <w:t>Para ello só</w:t>
      </w:r>
      <w:r w:rsidR="00F600AE">
        <w:t xml:space="preserve">lo se exige la identificación del solicitante, una dirección de </w:t>
      </w:r>
      <w:r>
        <w:t xml:space="preserve">correo </w:t>
      </w:r>
      <w:r w:rsidR="00F600AE">
        <w:t>electrónic</w:t>
      </w:r>
      <w:r>
        <w:t>o</w:t>
      </w:r>
      <w:r w:rsidR="00F600AE">
        <w:t xml:space="preserve"> y la aceptación </w:t>
      </w:r>
      <w:r>
        <w:t>de la política de privacidad</w:t>
      </w:r>
      <w:r w:rsidR="00DD3F73">
        <w:t>, l</w:t>
      </w:r>
      <w:r w:rsidR="00F600AE">
        <w:t>o que facilita la accesibilidad al ejercicio del derecho.</w:t>
      </w:r>
    </w:p>
    <w:p w:rsidR="00F600AE" w:rsidRDefault="00F600AE" w:rsidP="00E44122">
      <w:pPr>
        <w:pStyle w:val="Prrafodelista"/>
        <w:spacing w:before="120" w:after="120" w:line="312" w:lineRule="auto"/>
        <w:ind w:left="644"/>
        <w:contextualSpacing w:val="0"/>
        <w:jc w:val="both"/>
      </w:pPr>
    </w:p>
    <w:p w:rsidR="00F600AE" w:rsidRPr="00B70DBD" w:rsidRDefault="00F600AE" w:rsidP="00E44122">
      <w:pPr>
        <w:pStyle w:val="Prrafodelista"/>
        <w:numPr>
          <w:ilvl w:val="0"/>
          <w:numId w:val="7"/>
        </w:numPr>
        <w:spacing w:before="120" w:after="120" w:line="312" w:lineRule="auto"/>
        <w:ind w:left="709"/>
        <w:contextualSpacing w:val="0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600AE" w:rsidRDefault="00F600AE" w:rsidP="00E44122">
      <w:pPr>
        <w:pStyle w:val="Prrafodelista"/>
        <w:spacing w:before="120" w:after="120" w:line="312" w:lineRule="auto"/>
        <w:ind w:left="644"/>
        <w:contextualSpacing w:val="0"/>
        <w:jc w:val="both"/>
      </w:pPr>
    </w:p>
    <w:p w:rsidR="00C316A0" w:rsidRDefault="00C316A0" w:rsidP="00B67056">
      <w:pPr>
        <w:pStyle w:val="Prrafodelista"/>
        <w:spacing w:before="120" w:after="120" w:line="312" w:lineRule="auto"/>
        <w:ind w:left="644"/>
        <w:contextualSpacing w:val="0"/>
        <w:jc w:val="both"/>
      </w:pPr>
      <w:r>
        <w:t xml:space="preserve">La gestión de la solicitud de acceso presentada se ha ajustado al procedimiento establecido por la LTAIBG, con la única excepción de que no se solicitó subsanación a pesar de que no se había definido el formato en el que se solicitaba la información. </w:t>
      </w:r>
    </w:p>
    <w:p w:rsidR="00C316A0" w:rsidRDefault="00C316A0" w:rsidP="00B67056">
      <w:pPr>
        <w:pStyle w:val="Prrafodelista"/>
        <w:spacing w:before="120" w:after="120" w:line="312" w:lineRule="auto"/>
        <w:ind w:left="644"/>
        <w:contextualSpacing w:val="0"/>
        <w:jc w:val="both"/>
      </w:pPr>
    </w:p>
    <w:p w:rsidR="00C316A0" w:rsidRDefault="00C316A0" w:rsidP="00B67056">
      <w:pPr>
        <w:pStyle w:val="Prrafodelista"/>
        <w:spacing w:before="120" w:after="120" w:line="312" w:lineRule="auto"/>
        <w:ind w:left="644"/>
        <w:contextualSpacing w:val="0"/>
        <w:jc w:val="both"/>
      </w:pPr>
      <w:r>
        <w:lastRenderedPageBreak/>
        <w:t xml:space="preserve">La resolución emitida por el </w:t>
      </w:r>
      <w:r w:rsidR="00E44122">
        <w:t xml:space="preserve">Congreso de los Diputados </w:t>
      </w:r>
      <w:r>
        <w:t xml:space="preserve"> está correctamente estructurada, es clara y comprensible, incluye pie de recurso y además proporciona explicaciones– razones por las que no se proporciona determinada información, identificación de los datos que aparecen con una denominación diferente de la utilizada en la solicitud – e incorpora información adicional de utilidad para los solicitantes.</w:t>
      </w:r>
    </w:p>
    <w:p w:rsidR="00C316A0" w:rsidRDefault="00C316A0" w:rsidP="00B67056">
      <w:pPr>
        <w:pStyle w:val="Prrafodelista"/>
        <w:spacing w:before="120" w:after="120" w:line="312" w:lineRule="auto"/>
        <w:ind w:left="644"/>
        <w:contextualSpacing w:val="0"/>
        <w:jc w:val="both"/>
      </w:pPr>
    </w:p>
    <w:p w:rsidR="00C316A0" w:rsidRDefault="00C316A0" w:rsidP="00B67056">
      <w:pPr>
        <w:pStyle w:val="Prrafodelista"/>
        <w:spacing w:before="120" w:after="120" w:line="312" w:lineRule="auto"/>
        <w:ind w:left="644"/>
        <w:contextualSpacing w:val="0"/>
        <w:jc w:val="both"/>
      </w:pPr>
      <w:r>
        <w:t xml:space="preserve">La notificación se efectúa por el medio solicitado y la información se proporciona en el momento de la notificación. En cuanto al formato en el que se entrega la información, que no había sido especificado en la solicitud, el </w:t>
      </w:r>
      <w:r w:rsidR="00E44122">
        <w:t xml:space="preserve">Congreso de los Diputados </w:t>
      </w:r>
      <w:r>
        <w:t xml:space="preserve"> opta por incluirla en el cuerpo del correo electrónico mediante el que se notifica la resolución.</w:t>
      </w:r>
    </w:p>
    <w:p w:rsidR="00B40246" w:rsidRDefault="00B40246" w:rsidP="00E44122">
      <w:pPr>
        <w:spacing w:before="120" w:after="120" w:line="312" w:lineRule="auto"/>
      </w:pPr>
    </w:p>
    <w:p w:rsidR="00B40246" w:rsidRDefault="00B40246" w:rsidP="00E44122">
      <w:pPr>
        <w:spacing w:before="120" w:after="120" w:line="312" w:lineRule="auto"/>
      </w:pPr>
    </w:p>
    <w:sectPr w:rsidR="00B40246" w:rsidSect="00DD3F73">
      <w:footerReference w:type="default" r:id="rId12"/>
      <w:pgSz w:w="11906" w:h="16838"/>
      <w:pgMar w:top="709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22" w:rsidRDefault="00E44122" w:rsidP="00932008">
      <w:pPr>
        <w:spacing w:after="0" w:line="240" w:lineRule="auto"/>
      </w:pPr>
      <w:r>
        <w:separator/>
      </w:r>
    </w:p>
  </w:endnote>
  <w:endnote w:type="continuationSeparator" w:id="0">
    <w:p w:rsidR="00E44122" w:rsidRDefault="00E4412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3304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C2363" w:rsidRPr="009C2363" w:rsidRDefault="009C2363">
        <w:pPr>
          <w:pStyle w:val="Piedepgina"/>
          <w:jc w:val="right"/>
          <w:rPr>
            <w:sz w:val="20"/>
            <w:szCs w:val="20"/>
          </w:rPr>
        </w:pPr>
        <w:r w:rsidRPr="009C2363">
          <w:rPr>
            <w:sz w:val="20"/>
            <w:szCs w:val="20"/>
          </w:rPr>
          <w:fldChar w:fldCharType="begin"/>
        </w:r>
        <w:r w:rsidRPr="009C2363">
          <w:rPr>
            <w:sz w:val="20"/>
            <w:szCs w:val="20"/>
          </w:rPr>
          <w:instrText>PAGE   \* MERGEFORMAT</w:instrText>
        </w:r>
        <w:r w:rsidRPr="009C2363">
          <w:rPr>
            <w:sz w:val="20"/>
            <w:szCs w:val="20"/>
          </w:rPr>
          <w:fldChar w:fldCharType="separate"/>
        </w:r>
        <w:r w:rsidR="00533472">
          <w:rPr>
            <w:noProof/>
            <w:sz w:val="20"/>
            <w:szCs w:val="20"/>
          </w:rPr>
          <w:t>2</w:t>
        </w:r>
        <w:r w:rsidRPr="009C2363">
          <w:rPr>
            <w:sz w:val="20"/>
            <w:szCs w:val="20"/>
          </w:rPr>
          <w:fldChar w:fldCharType="end"/>
        </w:r>
      </w:p>
    </w:sdtContent>
  </w:sdt>
  <w:p w:rsidR="009C2363" w:rsidRPr="009C2363" w:rsidRDefault="009C2363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22" w:rsidRDefault="00E44122" w:rsidP="00932008">
      <w:pPr>
        <w:spacing w:after="0" w:line="240" w:lineRule="auto"/>
      </w:pPr>
      <w:r>
        <w:separator/>
      </w:r>
    </w:p>
  </w:footnote>
  <w:footnote w:type="continuationSeparator" w:id="0">
    <w:p w:rsidR="00E44122" w:rsidRDefault="00E4412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8623E"/>
    <w:multiLevelType w:val="hybridMultilevel"/>
    <w:tmpl w:val="3A66DCAE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55B15"/>
    <w:rsid w:val="000965B3"/>
    <w:rsid w:val="000C6CFF"/>
    <w:rsid w:val="00102733"/>
    <w:rsid w:val="0012783F"/>
    <w:rsid w:val="001561A4"/>
    <w:rsid w:val="00176A94"/>
    <w:rsid w:val="00194000"/>
    <w:rsid w:val="001F251B"/>
    <w:rsid w:val="002019B0"/>
    <w:rsid w:val="00241D7A"/>
    <w:rsid w:val="00256215"/>
    <w:rsid w:val="00262557"/>
    <w:rsid w:val="002A154B"/>
    <w:rsid w:val="00334115"/>
    <w:rsid w:val="003F271E"/>
    <w:rsid w:val="003F572A"/>
    <w:rsid w:val="0045138B"/>
    <w:rsid w:val="004A123A"/>
    <w:rsid w:val="004C074C"/>
    <w:rsid w:val="004D6E73"/>
    <w:rsid w:val="004F2655"/>
    <w:rsid w:val="00526089"/>
    <w:rsid w:val="00533472"/>
    <w:rsid w:val="005446A8"/>
    <w:rsid w:val="00555E80"/>
    <w:rsid w:val="00561402"/>
    <w:rsid w:val="0057532F"/>
    <w:rsid w:val="00595AAF"/>
    <w:rsid w:val="00596FDE"/>
    <w:rsid w:val="005B1F0E"/>
    <w:rsid w:val="005B3C15"/>
    <w:rsid w:val="005F6BE5"/>
    <w:rsid w:val="006A2766"/>
    <w:rsid w:val="00706E04"/>
    <w:rsid w:val="00707CFE"/>
    <w:rsid w:val="00710031"/>
    <w:rsid w:val="00727BA2"/>
    <w:rsid w:val="00731678"/>
    <w:rsid w:val="00743756"/>
    <w:rsid w:val="007B0F99"/>
    <w:rsid w:val="007D6B40"/>
    <w:rsid w:val="00815659"/>
    <w:rsid w:val="008207D9"/>
    <w:rsid w:val="008418DF"/>
    <w:rsid w:val="00844FA9"/>
    <w:rsid w:val="008A140B"/>
    <w:rsid w:val="008C1E1E"/>
    <w:rsid w:val="00923092"/>
    <w:rsid w:val="009239D9"/>
    <w:rsid w:val="00932008"/>
    <w:rsid w:val="009609E9"/>
    <w:rsid w:val="00983919"/>
    <w:rsid w:val="009C2363"/>
    <w:rsid w:val="00A41DD5"/>
    <w:rsid w:val="00A76CE1"/>
    <w:rsid w:val="00AC5306"/>
    <w:rsid w:val="00B235C8"/>
    <w:rsid w:val="00B33F33"/>
    <w:rsid w:val="00B40246"/>
    <w:rsid w:val="00B5583D"/>
    <w:rsid w:val="00B67056"/>
    <w:rsid w:val="00B812AB"/>
    <w:rsid w:val="00B841AE"/>
    <w:rsid w:val="00BB6799"/>
    <w:rsid w:val="00BD4582"/>
    <w:rsid w:val="00BE6A46"/>
    <w:rsid w:val="00C316A0"/>
    <w:rsid w:val="00C33949"/>
    <w:rsid w:val="00C33A23"/>
    <w:rsid w:val="00C34BB5"/>
    <w:rsid w:val="00C4479B"/>
    <w:rsid w:val="00C50F60"/>
    <w:rsid w:val="00C5744D"/>
    <w:rsid w:val="00CB5511"/>
    <w:rsid w:val="00CC2049"/>
    <w:rsid w:val="00CC587B"/>
    <w:rsid w:val="00D15756"/>
    <w:rsid w:val="00D445A7"/>
    <w:rsid w:val="00D52E43"/>
    <w:rsid w:val="00D96F84"/>
    <w:rsid w:val="00DB3F10"/>
    <w:rsid w:val="00DB41CA"/>
    <w:rsid w:val="00DD3E02"/>
    <w:rsid w:val="00DD3F73"/>
    <w:rsid w:val="00DE4AA9"/>
    <w:rsid w:val="00DF0B97"/>
    <w:rsid w:val="00DF63E7"/>
    <w:rsid w:val="00E3088D"/>
    <w:rsid w:val="00E34195"/>
    <w:rsid w:val="00E44122"/>
    <w:rsid w:val="00E47613"/>
    <w:rsid w:val="00E569FD"/>
    <w:rsid w:val="00EA6424"/>
    <w:rsid w:val="00EE5BDF"/>
    <w:rsid w:val="00F14DA4"/>
    <w:rsid w:val="00F1708D"/>
    <w:rsid w:val="00F47C3B"/>
    <w:rsid w:val="00F600AE"/>
    <w:rsid w:val="00F71D7D"/>
    <w:rsid w:val="00F7263F"/>
    <w:rsid w:val="00FD5B21"/>
    <w:rsid w:val="00FE06A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C50F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441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41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4122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41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4122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C50F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441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41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4122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41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4122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0293F"/>
    <w:rsid w:val="000A0CA2"/>
    <w:rsid w:val="0013771E"/>
    <w:rsid w:val="002C7AFA"/>
    <w:rsid w:val="003D088C"/>
    <w:rsid w:val="00C26568"/>
    <w:rsid w:val="00C667E1"/>
    <w:rsid w:val="00D35513"/>
    <w:rsid w:val="00E147F2"/>
    <w:rsid w:val="00E16D50"/>
    <w:rsid w:val="00E5085E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85E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E6A06-66F9-4E34-A9A4-1117719F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7</Pages>
  <Words>1826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2021-04-06T11:44:00Z</dcterms:created>
  <dcterms:modified xsi:type="dcterms:W3CDTF">2021-04-06T11:44:00Z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