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 w:rsidP="0052192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5EE86" wp14:editId="49CC6F15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616812" w:rsidRPr="00006957" w:rsidRDefault="0061681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616812" w:rsidRPr="00006957" w:rsidRDefault="0061681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521927">
      <w:pPr>
        <w:spacing w:before="120" w:after="120" w:line="312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49E7A" wp14:editId="02C06459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6812" w:rsidRDefault="0061681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A60081" wp14:editId="276E15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left:0;text-align:left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16812" w:rsidRDefault="0061681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A60081" wp14:editId="276E15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521927">
      <w:pPr>
        <w:spacing w:before="120" w:after="120" w:line="312" w:lineRule="auto"/>
        <w:jc w:val="both"/>
      </w:pPr>
    </w:p>
    <w:p w:rsidR="00B40246" w:rsidRPr="00B1184C" w:rsidRDefault="00B40246" w:rsidP="00521927">
      <w:pPr>
        <w:spacing w:before="120" w:after="120" w:line="312" w:lineRule="auto"/>
        <w:jc w:val="both"/>
      </w:pPr>
    </w:p>
    <w:p w:rsidR="00B40246" w:rsidRPr="00B1184C" w:rsidRDefault="00B40246" w:rsidP="00521927">
      <w:pPr>
        <w:spacing w:before="120" w:after="120" w:line="312" w:lineRule="auto"/>
        <w:jc w:val="both"/>
        <w:rPr>
          <w:rFonts w:ascii="Arial" w:hAnsi="Arial"/>
          <w:b/>
          <w:sz w:val="36"/>
        </w:rPr>
      </w:pPr>
    </w:p>
    <w:p w:rsidR="00B40246" w:rsidRPr="0063780B" w:rsidRDefault="00D96F84" w:rsidP="00521927">
      <w:pPr>
        <w:spacing w:before="120" w:after="120" w:line="312" w:lineRule="auto"/>
        <w:jc w:val="both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65C63" wp14:editId="1FA30255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 w:rsidP="00521927">
      <w:pPr>
        <w:jc w:val="both"/>
      </w:pPr>
    </w:p>
    <w:p w:rsidR="000C6CFF" w:rsidRDefault="000C6CFF" w:rsidP="0052192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21927" w:rsidRPr="00CB5511" w:rsidTr="00E26306">
        <w:tc>
          <w:tcPr>
            <w:tcW w:w="3652" w:type="dxa"/>
          </w:tcPr>
          <w:p w:rsidR="00521927" w:rsidRPr="00E34195" w:rsidRDefault="00521927" w:rsidP="00E26306">
            <w:pPr>
              <w:jc w:val="both"/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21927" w:rsidRPr="00CB5511" w:rsidRDefault="00521927" w:rsidP="00E26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Defensor del Pueblo</w:t>
            </w:r>
          </w:p>
        </w:tc>
      </w:tr>
      <w:tr w:rsidR="00521927" w:rsidRPr="00CB5511" w:rsidTr="00E26306">
        <w:tc>
          <w:tcPr>
            <w:tcW w:w="3652" w:type="dxa"/>
          </w:tcPr>
          <w:p w:rsidR="00521927" w:rsidRPr="00E34195" w:rsidRDefault="00521927" w:rsidP="00E26306">
            <w:pPr>
              <w:jc w:val="both"/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21927" w:rsidRPr="00CB5511" w:rsidRDefault="00521927" w:rsidP="00E26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18/02/2021</w:t>
            </w:r>
          </w:p>
        </w:tc>
      </w:tr>
    </w:tbl>
    <w:p w:rsidR="00521927" w:rsidRDefault="00521927" w:rsidP="00521927">
      <w:pPr>
        <w:jc w:val="both"/>
      </w:pPr>
    </w:p>
    <w:p w:rsidR="00561402" w:rsidRPr="0012783F" w:rsidRDefault="00A436AB" w:rsidP="00521927">
      <w:pPr>
        <w:jc w:val="both"/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12783F" w:rsidRDefault="00885E3D" w:rsidP="00521927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  <w:r w:rsidRPr="00885E3D">
        <w:rPr>
          <w:rStyle w:val="Ttulo2Car"/>
          <w:b w:val="0"/>
          <w:color w:val="auto"/>
          <w:sz w:val="22"/>
          <w:szCs w:val="22"/>
          <w:lang w:bidi="es-ES"/>
        </w:rPr>
        <w:t xml:space="preserve">La gestión de las solicitudes de acceso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a la información pública del Defensor es competencia de la Secretaría General, para lo que cuenta con cuatro personas que compatibilizan la tramitación de las solicitudes con otras tareas. </w:t>
      </w:r>
    </w:p>
    <w:p w:rsidR="00192E79" w:rsidRPr="00885E3D" w:rsidRDefault="00192E79" w:rsidP="00521927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12783F" w:rsidRDefault="00A436AB" w:rsidP="00521927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21927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8D1450" w:rsidRPr="008D1450" w:rsidRDefault="008D1450" w:rsidP="00521927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  <w:r w:rsidRPr="008D1450">
        <w:rPr>
          <w:rStyle w:val="Ttulo2Car"/>
          <w:b w:val="0"/>
          <w:color w:val="auto"/>
          <w:sz w:val="22"/>
          <w:szCs w:val="22"/>
          <w:lang w:bidi="es-ES"/>
        </w:rPr>
        <w:t>El Defenso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r del Pueblo informa que no ha </w:t>
      </w:r>
      <w:r w:rsidRPr="008D1450">
        <w:rPr>
          <w:rStyle w:val="Ttulo2Car"/>
          <w:b w:val="0"/>
          <w:color w:val="auto"/>
          <w:sz w:val="22"/>
          <w:szCs w:val="22"/>
          <w:lang w:bidi="es-ES"/>
        </w:rPr>
        <w:t xml:space="preserve">recibido </w:t>
      </w:r>
      <w:r>
        <w:rPr>
          <w:rStyle w:val="Ttulo2Car"/>
          <w:b w:val="0"/>
          <w:color w:val="auto"/>
          <w:sz w:val="22"/>
          <w:szCs w:val="22"/>
          <w:lang w:bidi="es-ES"/>
        </w:rPr>
        <w:t>ninguna solicitud de acceso a la información pública en 2020.</w:t>
      </w:r>
    </w:p>
    <w:p w:rsidR="008D1450" w:rsidRPr="008D1450" w:rsidRDefault="008D1450" w:rsidP="00521927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  <w:r w:rsidRPr="008D1450">
        <w:rPr>
          <w:rStyle w:val="Ttulo2Car"/>
          <w:b w:val="0"/>
          <w:color w:val="auto"/>
          <w:sz w:val="22"/>
          <w:szCs w:val="22"/>
          <w:lang w:bidi="es-ES"/>
        </w:rPr>
        <w:t>Por otra parte</w:t>
      </w:r>
      <w:r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Pr="008D145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521927">
        <w:rPr>
          <w:rStyle w:val="Ttulo2Car"/>
          <w:b w:val="0"/>
          <w:color w:val="auto"/>
          <w:sz w:val="22"/>
          <w:szCs w:val="22"/>
          <w:lang w:bidi="es-ES"/>
        </w:rPr>
        <w:t xml:space="preserve">parece se </w:t>
      </w:r>
      <w:r>
        <w:rPr>
          <w:rStyle w:val="Ttulo2Car"/>
          <w:b w:val="0"/>
          <w:color w:val="auto"/>
          <w:sz w:val="22"/>
          <w:szCs w:val="22"/>
          <w:lang w:bidi="es-ES"/>
        </w:rPr>
        <w:t>publi</w:t>
      </w:r>
      <w:r w:rsidR="00521927">
        <w:rPr>
          <w:rStyle w:val="Ttulo2Car"/>
          <w:b w:val="0"/>
          <w:color w:val="auto"/>
          <w:sz w:val="22"/>
          <w:szCs w:val="22"/>
          <w:lang w:bidi="es-ES"/>
        </w:rPr>
        <w:t>quen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en la web del Defensor del Pueblo las resoluciones denegatorias por aplicación de los límites del artículo 14 de la LTAIBG</w:t>
      </w:r>
      <w:r w:rsidR="00616812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8D145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616812">
        <w:rPr>
          <w:rStyle w:val="Ttulo2Car"/>
          <w:b w:val="0"/>
          <w:color w:val="auto"/>
          <w:sz w:val="22"/>
          <w:szCs w:val="22"/>
          <w:lang w:bidi="es-ES"/>
        </w:rPr>
        <w:t xml:space="preserve">Al menos, para el año 2020 la razón de su falta de publicación es clara: la inexistencia de solicitudes que resolver. </w:t>
      </w:r>
    </w:p>
    <w:p w:rsidR="009239D9" w:rsidRDefault="009239D9" w:rsidP="00521927">
      <w:pPr>
        <w:jc w:val="both"/>
      </w:pPr>
    </w:p>
    <w:p w:rsidR="00B812AB" w:rsidRPr="00E34195" w:rsidRDefault="00A436AB" w:rsidP="00521927">
      <w:pPr>
        <w:pStyle w:val="Titulardelboletn"/>
        <w:spacing w:before="120" w:after="120" w:line="312" w:lineRule="auto"/>
        <w:ind w:left="720" w:hanging="360"/>
        <w:jc w:val="both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</w:t>
          </w:r>
          <w:r w:rsidR="00055B15" w:rsidRPr="00521927">
            <w:rPr>
              <w:rFonts w:ascii="Century Gothic" w:hAnsi="Century Gothic"/>
              <w:color w:val="00642D"/>
              <w:sz w:val="30"/>
              <w:szCs w:val="30"/>
            </w:rPr>
            <w:t>l e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jercicio del derecho de acceso</w:t>
          </w:r>
        </w:sdtContent>
      </w:sdt>
    </w:p>
    <w:p w:rsidR="00DB7943" w:rsidRDefault="00DB7943" w:rsidP="00521927">
      <w:pPr>
        <w:ind w:left="426"/>
        <w:jc w:val="both"/>
      </w:pPr>
      <w:r>
        <w:t xml:space="preserve">El Defensor dispone en su Portal de Transparencia de un espacio específico para el ejercicio del derecho de acceso a la información pública de la institución localizable </w:t>
      </w:r>
      <w:r w:rsidRPr="00DB7943">
        <w:t xml:space="preserve">en el lateral izquierdo del Portal de Transparencia </w:t>
      </w:r>
      <w:r>
        <w:t>y al que se accede a través</w:t>
      </w:r>
      <w:r w:rsidRPr="00DB7943">
        <w:t xml:space="preserve"> </w:t>
      </w:r>
      <w:r>
        <w:t>del</w:t>
      </w:r>
      <w:r w:rsidRPr="00DB7943">
        <w:t xml:space="preserve"> enlace “Derecho de acceso a la información pública”</w:t>
      </w:r>
      <w:r>
        <w:t xml:space="preserve">. </w:t>
      </w:r>
    </w:p>
    <w:p w:rsidR="00DB7943" w:rsidRDefault="00DB7943" w:rsidP="00521927">
      <w:pPr>
        <w:ind w:left="426"/>
        <w:jc w:val="both"/>
      </w:pPr>
      <w:r>
        <w:t xml:space="preserve">En este espacio se hace expresa referencia </w:t>
      </w:r>
      <w:r w:rsidRPr="00DB7943">
        <w:t>a la posibilidad de solicitar información pública de acuerdo con la Ley de Transparencia</w:t>
      </w:r>
      <w:r>
        <w:t>.</w:t>
      </w:r>
    </w:p>
    <w:p w:rsidR="00DB7943" w:rsidRDefault="00DB7943" w:rsidP="00521927">
      <w:pPr>
        <w:ind w:left="426"/>
        <w:jc w:val="both"/>
      </w:pPr>
      <w:r>
        <w:lastRenderedPageBreak/>
        <w:t xml:space="preserve">El Defensor </w:t>
      </w:r>
      <w:r w:rsidR="00616812">
        <w:t xml:space="preserve">del Pueblo </w:t>
      </w:r>
      <w:r>
        <w:t>ha habilitado diversos medios para la presentación de solicitudes de acceso:</w:t>
      </w:r>
      <w:r w:rsidRPr="001B7C0A">
        <w:t xml:space="preserve"> </w:t>
      </w:r>
      <w:r w:rsidRPr="00DB7943">
        <w:t>web, presencial, correo electrónico y correo postal</w:t>
      </w:r>
      <w:r>
        <w:t>.</w:t>
      </w:r>
    </w:p>
    <w:p w:rsidR="00DB7943" w:rsidRDefault="00DB7943" w:rsidP="00521927">
      <w:pPr>
        <w:ind w:left="426"/>
        <w:jc w:val="both"/>
      </w:pPr>
      <w:r>
        <w:t>Son requisitos obligatorios para la presentación de las solicitudes la i</w:t>
      </w:r>
      <w:r w:rsidRPr="00DB7943">
        <w:t>denti</w:t>
      </w:r>
      <w:r>
        <w:t>ficación</w:t>
      </w:r>
      <w:r w:rsidRPr="00DB7943">
        <w:t xml:space="preserve"> del solicitante,</w:t>
      </w:r>
      <w:r>
        <w:t xml:space="preserve"> la </w:t>
      </w:r>
      <w:r w:rsidRPr="00DB7943">
        <w:t xml:space="preserve">información solicitada y </w:t>
      </w:r>
      <w:r>
        <w:t xml:space="preserve">una </w:t>
      </w:r>
      <w:r w:rsidRPr="00DB7943">
        <w:t>dirección de contacto preferiblemente electrónica</w:t>
      </w:r>
      <w:r>
        <w:t>.</w:t>
      </w:r>
    </w:p>
    <w:p w:rsidR="00DB7943" w:rsidRDefault="00DB7943" w:rsidP="00521927">
      <w:pPr>
        <w:ind w:left="426"/>
        <w:jc w:val="both"/>
      </w:pPr>
      <w:r>
        <w:t xml:space="preserve">El Defensor dispone además de un formulario web para la presentación de las solicitudes de acceso y se informa de los plazos para la resolución de las solicitudes. </w:t>
      </w:r>
      <w:r w:rsidR="00570D87">
        <w:t>También se informa de que l</w:t>
      </w:r>
      <w:r w:rsidR="00570D87" w:rsidRPr="00570D87">
        <w:t xml:space="preserve">a resolución </w:t>
      </w:r>
      <w:r w:rsidR="00570D87">
        <w:t>de</w:t>
      </w:r>
      <w:r w:rsidR="00570D87" w:rsidRPr="00570D87">
        <w:t xml:space="preserve"> la solicitud de acceso </w:t>
      </w:r>
      <w:r w:rsidR="00570D87">
        <w:t xml:space="preserve">en el supuesto de que se solicite información ya publicada en su web </w:t>
      </w:r>
      <w:r w:rsidR="00570D87" w:rsidRPr="00570D87">
        <w:t>podrá limitarse a indicar al solicitante cómo acceder a ella</w:t>
      </w:r>
      <w:r w:rsidR="00570D87">
        <w:t>.</w:t>
      </w:r>
    </w:p>
    <w:p w:rsidR="00561402" w:rsidRPr="00BB6799" w:rsidRDefault="00561402" w:rsidP="00521927">
      <w:pPr>
        <w:jc w:val="both"/>
        <w:rPr>
          <w:b/>
          <w:color w:val="00642D"/>
          <w:sz w:val="30"/>
          <w:szCs w:val="30"/>
        </w:rPr>
      </w:pPr>
    </w:p>
    <w:p w:rsidR="00B40246" w:rsidRPr="00E34195" w:rsidRDefault="00A436AB" w:rsidP="00521927">
      <w:pPr>
        <w:pStyle w:val="Titulardelboletn"/>
        <w:spacing w:before="120" w:after="120" w:line="312" w:lineRule="auto"/>
        <w:ind w:left="720" w:hanging="360"/>
        <w:jc w:val="both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932008" w:rsidRDefault="00E3088D" w:rsidP="00521927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B60B3E" w:rsidRDefault="00B60B3E" w:rsidP="00521927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B60B3E" w:rsidRDefault="00B60B3E" w:rsidP="00521927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>
        <w:rPr>
          <w:color w:val="auto"/>
          <w:lang w:bidi="es-ES"/>
        </w:rPr>
        <w:t xml:space="preserve">18/02/2021 se presentó por correo electrónico una solicitud de acceso a información pública dirigida al Defensor. La solicitud presentaba una incidencia al no señalarse el formato de entrega de la información. </w:t>
      </w:r>
    </w:p>
    <w:p w:rsidR="00B60B3E" w:rsidRDefault="00B60B3E" w:rsidP="00521927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B60B3E" w:rsidRDefault="00B60B3E" w:rsidP="00521927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ha recibido comunicación de inicio de la tramitación.</w:t>
      </w:r>
    </w:p>
    <w:p w:rsidR="00B60B3E" w:rsidRDefault="00B60B3E" w:rsidP="00521927">
      <w:pPr>
        <w:pStyle w:val="Cuerpodelboletn"/>
        <w:spacing w:before="120" w:after="120" w:line="312" w:lineRule="auto"/>
        <w:ind w:left="426"/>
        <w:rPr>
          <w:rStyle w:val="Ttulo2Car"/>
          <w:sz w:val="22"/>
          <w:szCs w:val="22"/>
        </w:rPr>
      </w:pPr>
      <w:r>
        <w:rPr>
          <w:rStyle w:val="Ttulo2Car"/>
          <w:sz w:val="22"/>
          <w:szCs w:val="22"/>
        </w:rPr>
        <w:t>Resolución</w:t>
      </w:r>
    </w:p>
    <w:p w:rsidR="00B60B3E" w:rsidRDefault="00B60B3E" w:rsidP="00521927">
      <w:pPr>
        <w:pStyle w:val="Cuerpodelboletn"/>
        <w:spacing w:before="120" w:after="120" w:line="312" w:lineRule="auto"/>
        <w:ind w:left="426"/>
        <w:rPr>
          <w:bCs/>
          <w:color w:val="auto"/>
          <w:lang w:bidi="es-ES"/>
        </w:rPr>
      </w:pPr>
      <w:r w:rsidRPr="0066248D">
        <w:rPr>
          <w:bCs/>
          <w:color w:val="auto"/>
          <w:lang w:bidi="es-ES"/>
        </w:rPr>
        <w:t xml:space="preserve">No </w:t>
      </w:r>
      <w:r>
        <w:rPr>
          <w:bCs/>
          <w:color w:val="auto"/>
          <w:lang w:bidi="es-ES"/>
        </w:rPr>
        <w:t>consta que se haya emitido</w:t>
      </w:r>
      <w:r w:rsidRPr="0066248D">
        <w:rPr>
          <w:bCs/>
          <w:color w:val="auto"/>
          <w:lang w:bidi="es-ES"/>
        </w:rPr>
        <w:t xml:space="preserve"> </w:t>
      </w:r>
      <w:r>
        <w:rPr>
          <w:bCs/>
          <w:color w:val="auto"/>
          <w:lang w:bidi="es-ES"/>
        </w:rPr>
        <w:t>r</w:t>
      </w:r>
      <w:r w:rsidRPr="0066248D">
        <w:rPr>
          <w:bCs/>
          <w:color w:val="auto"/>
          <w:lang w:bidi="es-ES"/>
        </w:rPr>
        <w:t>esolución</w:t>
      </w:r>
      <w:r>
        <w:rPr>
          <w:bCs/>
          <w:color w:val="auto"/>
          <w:lang w:bidi="es-ES"/>
        </w:rPr>
        <w:t>. Por tanto, hay que entender que la solicitud ha sido denegada por silencio administrativo</w:t>
      </w:r>
      <w:r w:rsidR="00616812">
        <w:rPr>
          <w:bCs/>
          <w:color w:val="auto"/>
          <w:lang w:bidi="es-ES"/>
        </w:rPr>
        <w:t xml:space="preserve"> al haber transcurrido el plazo de un mes sin obtener respuesta </w:t>
      </w:r>
      <w:r>
        <w:rPr>
          <w:bCs/>
          <w:color w:val="auto"/>
          <w:lang w:bidi="es-ES"/>
        </w:rPr>
        <w:t>.</w:t>
      </w:r>
    </w:p>
    <w:p w:rsidR="00B60B3E" w:rsidRDefault="00B60B3E" w:rsidP="00521927">
      <w:pPr>
        <w:pStyle w:val="Cuerpodelboletn"/>
        <w:spacing w:before="120" w:after="120" w:line="312" w:lineRule="auto"/>
        <w:ind w:left="426"/>
        <w:rPr>
          <w:bCs/>
          <w:color w:val="auto"/>
          <w:lang w:bidi="es-ES"/>
        </w:rPr>
      </w:pPr>
    </w:p>
    <w:p w:rsidR="001F251B" w:rsidRPr="00256215" w:rsidRDefault="00A436AB" w:rsidP="00521927">
      <w:pPr>
        <w:pStyle w:val="Cuerpodelboletn"/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256215" w:rsidRDefault="00256215" w:rsidP="00521927">
      <w:pPr>
        <w:jc w:val="both"/>
      </w:pPr>
    </w:p>
    <w:p w:rsidR="00570D87" w:rsidRDefault="00570D87" w:rsidP="00521927">
      <w:pPr>
        <w:spacing w:before="120" w:after="120"/>
        <w:ind w:left="426"/>
        <w:jc w:val="both"/>
      </w:pPr>
      <w:r>
        <w:t>El Defensor presenta en la gestión de las solicitudes de acceso a información pública buenas prácticas que podrían ser aplicadas por otras instituciones y organizaciones públicas. Entre ellas cabe destacar:</w:t>
      </w:r>
    </w:p>
    <w:p w:rsidR="00570D87" w:rsidRDefault="00570D87" w:rsidP="00521927">
      <w:pPr>
        <w:pStyle w:val="Prrafodelista"/>
        <w:numPr>
          <w:ilvl w:val="0"/>
          <w:numId w:val="6"/>
        </w:numPr>
        <w:spacing w:before="120" w:after="120"/>
        <w:ind w:left="1134"/>
        <w:contextualSpacing w:val="0"/>
        <w:jc w:val="both"/>
      </w:pPr>
      <w:r>
        <w:t>El hecho de que no se exija identificación electrónica para la presentación de las solicitudes.</w:t>
      </w:r>
    </w:p>
    <w:p w:rsidR="00570D87" w:rsidRPr="004A5655" w:rsidRDefault="00570D87" w:rsidP="00521927">
      <w:pPr>
        <w:pStyle w:val="Prrafodelista"/>
        <w:numPr>
          <w:ilvl w:val="0"/>
          <w:numId w:val="6"/>
        </w:numPr>
        <w:spacing w:before="120" w:after="120"/>
        <w:ind w:left="1134"/>
        <w:contextualSpacing w:val="0"/>
        <w:jc w:val="both"/>
      </w:pPr>
      <w:r>
        <w:t xml:space="preserve">La disponibilidad de un formulario web que facilita la presentación de las solicitudes </w:t>
      </w:r>
      <w:r w:rsidRPr="004A5655">
        <w:t>por correo electrónico.</w:t>
      </w:r>
    </w:p>
    <w:p w:rsidR="00570D87" w:rsidRDefault="00570D87" w:rsidP="00521927">
      <w:pPr>
        <w:pStyle w:val="Prrafodelista"/>
        <w:numPr>
          <w:ilvl w:val="0"/>
          <w:numId w:val="6"/>
        </w:numPr>
        <w:spacing w:before="120" w:after="120"/>
        <w:ind w:left="1134"/>
        <w:contextualSpacing w:val="0"/>
        <w:jc w:val="both"/>
      </w:pPr>
      <w:r w:rsidRPr="004A5655">
        <w:t xml:space="preserve">Las diversas vías habilitadas para formular solicitudes de información pública </w:t>
      </w:r>
    </w:p>
    <w:p w:rsidR="00570D87" w:rsidRPr="004A5655" w:rsidRDefault="00570D87" w:rsidP="00521927">
      <w:pPr>
        <w:pStyle w:val="Prrafodelista"/>
        <w:numPr>
          <w:ilvl w:val="0"/>
          <w:numId w:val="6"/>
        </w:numPr>
        <w:spacing w:before="120" w:after="120"/>
        <w:ind w:left="1134"/>
        <w:contextualSpacing w:val="0"/>
        <w:jc w:val="both"/>
      </w:pPr>
      <w:r>
        <w:t>La aportación de información adicional sobre los plazos de resolución y sobre el contenido de resoluciones correspondientes a solicitudes de información publicada en la web.</w:t>
      </w:r>
    </w:p>
    <w:p w:rsidR="00256215" w:rsidRDefault="00A436AB" w:rsidP="00521927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 w:rsidP="00521927">
      <w:pPr>
        <w:jc w:val="both"/>
      </w:pPr>
    </w:p>
    <w:p w:rsidR="00570D87" w:rsidRPr="00B70DBD" w:rsidRDefault="00570D87" w:rsidP="00521927">
      <w:pPr>
        <w:pStyle w:val="Prrafodelista"/>
        <w:numPr>
          <w:ilvl w:val="0"/>
          <w:numId w:val="8"/>
        </w:numPr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570D87" w:rsidRDefault="00570D87" w:rsidP="00521927">
      <w:pPr>
        <w:pStyle w:val="Prrafodelista"/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</w:p>
    <w:p w:rsidR="00570D87" w:rsidRDefault="00570D87" w:rsidP="00521927">
      <w:pPr>
        <w:pStyle w:val="Prrafodelista"/>
        <w:spacing w:before="120" w:after="120"/>
        <w:ind w:left="426"/>
        <w:contextualSpacing w:val="0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532640"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>
        <w:rPr>
          <w:rStyle w:val="Ttulo2Car"/>
          <w:b w:val="0"/>
          <w:color w:val="auto"/>
          <w:sz w:val="22"/>
          <w:szCs w:val="22"/>
          <w:lang w:bidi="es-ES"/>
        </w:rPr>
        <w:t>Defensor informa que no ha recibido ninguna solicitud</w:t>
      </w:r>
      <w:r w:rsidR="001300D2">
        <w:rPr>
          <w:rStyle w:val="Ttulo2Car"/>
          <w:b w:val="0"/>
          <w:color w:val="auto"/>
          <w:sz w:val="22"/>
          <w:szCs w:val="22"/>
          <w:lang w:bidi="es-ES"/>
        </w:rPr>
        <w:t xml:space="preserve"> de acceso a información por lo que no cabe ninguna conclusión en este ámbito.</w:t>
      </w:r>
      <w:r w:rsidR="0052192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1300D2" w:rsidRPr="001300D2" w:rsidRDefault="00616812" w:rsidP="00521927">
      <w:pPr>
        <w:ind w:left="426"/>
        <w:jc w:val="both"/>
        <w:rPr>
          <w:bCs/>
        </w:rPr>
      </w:pPr>
      <w:r>
        <w:rPr>
          <w:bCs/>
        </w:rPr>
        <w:t xml:space="preserve">No se ha localizado la publicación de las </w:t>
      </w:r>
      <w:r w:rsidR="001300D2" w:rsidRPr="001300D2">
        <w:rPr>
          <w:bCs/>
        </w:rPr>
        <w:t>resoluciones que</w:t>
      </w:r>
      <w:r>
        <w:rPr>
          <w:bCs/>
        </w:rPr>
        <w:t xml:space="preserve"> </w:t>
      </w:r>
      <w:r w:rsidR="001300D2" w:rsidRPr="001300D2">
        <w:rPr>
          <w:bCs/>
        </w:rPr>
        <w:t>deniegan el acceso a la información en aplicación de los límites del artículo 14.</w:t>
      </w:r>
    </w:p>
    <w:p w:rsidR="001300D2" w:rsidRDefault="001300D2" w:rsidP="00521927">
      <w:pPr>
        <w:pStyle w:val="Prrafodelista"/>
        <w:ind w:left="644"/>
        <w:jc w:val="both"/>
        <w:rPr>
          <w:bCs/>
        </w:rPr>
      </w:pPr>
    </w:p>
    <w:p w:rsidR="001300D2" w:rsidRPr="008648E8" w:rsidRDefault="00616812" w:rsidP="0052192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  <w:rPr>
          <w:bCs/>
        </w:rPr>
      </w:pPr>
      <w:r>
        <w:rPr>
          <w:bCs/>
        </w:rPr>
        <w:t>Para el supuesto que se hubieran dictado resoluciones que deniegan el acceso a la información por aplicación de los límites del artículo 14, el</w:t>
      </w:r>
      <w:r w:rsidR="001300D2">
        <w:rPr>
          <w:bCs/>
        </w:rPr>
        <w:t xml:space="preserve"> Defensor </w:t>
      </w:r>
      <w:r w:rsidR="00521927">
        <w:rPr>
          <w:bCs/>
        </w:rPr>
        <w:t>del Pueblo debería publicarlas</w:t>
      </w:r>
      <w:r w:rsidR="001300D2">
        <w:rPr>
          <w:bCs/>
        </w:rPr>
        <w:t xml:space="preserve"> en su Portal de </w:t>
      </w:r>
      <w:r w:rsidR="00D85285">
        <w:rPr>
          <w:bCs/>
        </w:rPr>
        <w:t>Transparencia,</w:t>
      </w:r>
      <w:r w:rsidR="001300D2">
        <w:rPr>
          <w:bCs/>
        </w:rPr>
        <w:t xml:space="preserve"> </w:t>
      </w:r>
      <w:r>
        <w:rPr>
          <w:bCs/>
        </w:rPr>
        <w:t xml:space="preserve">en cumplimiento de lo </w:t>
      </w:r>
      <w:r w:rsidR="001300D2">
        <w:rPr>
          <w:bCs/>
        </w:rPr>
        <w:t>dispuesto por el artículo 14.3 de la LTAIBG.</w:t>
      </w:r>
    </w:p>
    <w:p w:rsidR="001300D2" w:rsidRDefault="001300D2" w:rsidP="00521927">
      <w:pPr>
        <w:pStyle w:val="Prrafodelista"/>
        <w:ind w:left="644"/>
        <w:jc w:val="both"/>
      </w:pPr>
    </w:p>
    <w:p w:rsidR="001300D2" w:rsidRDefault="001300D2" w:rsidP="00521927">
      <w:pPr>
        <w:pStyle w:val="Prrafodelista"/>
        <w:spacing w:before="120" w:after="120"/>
        <w:ind w:left="426"/>
        <w:contextualSpacing w:val="0"/>
        <w:jc w:val="both"/>
        <w:rPr>
          <w:bCs/>
        </w:rPr>
      </w:pPr>
    </w:p>
    <w:p w:rsidR="00570D87" w:rsidRPr="001018C9" w:rsidRDefault="00570D87" w:rsidP="00521927">
      <w:pPr>
        <w:pStyle w:val="Prrafodelista"/>
        <w:numPr>
          <w:ilvl w:val="0"/>
          <w:numId w:val="8"/>
        </w:numPr>
        <w:spacing w:before="120" w:after="120"/>
        <w:ind w:left="426"/>
        <w:contextualSpacing w:val="0"/>
        <w:jc w:val="both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570D87" w:rsidRDefault="00570D87" w:rsidP="00521927">
      <w:pPr>
        <w:pStyle w:val="Prrafodelista"/>
        <w:spacing w:before="120" w:after="120"/>
        <w:ind w:left="426"/>
        <w:contextualSpacing w:val="0"/>
        <w:jc w:val="both"/>
      </w:pPr>
    </w:p>
    <w:p w:rsidR="00570D87" w:rsidRPr="00B60B3E" w:rsidRDefault="00570D87" w:rsidP="00521927">
      <w:pPr>
        <w:pStyle w:val="Prrafodelista"/>
        <w:spacing w:before="120" w:after="120"/>
        <w:ind w:left="426"/>
        <w:contextualSpacing w:val="0"/>
        <w:jc w:val="both"/>
      </w:pPr>
      <w:r w:rsidRPr="00B60B3E">
        <w:t xml:space="preserve">Como se ha indicado, el </w:t>
      </w:r>
      <w:r w:rsidR="00B60B3E">
        <w:t>Defensor</w:t>
      </w:r>
      <w:r w:rsidRPr="00B60B3E">
        <w:t xml:space="preserve"> ofrece un espacio en su Portal de Transparencia para la presentación de las solicitudes de acceso a información pública, en el que </w:t>
      </w:r>
      <w:r w:rsidR="00B60B3E">
        <w:t>informa</w:t>
      </w:r>
      <w:r w:rsidRPr="00B60B3E">
        <w:t xml:space="preserve"> sobre los medios habilitados y sobre los requisitos necesarios para la pr</w:t>
      </w:r>
      <w:r w:rsidR="00192E79">
        <w:t>esentación de estas solicitudes y otra información adicional.</w:t>
      </w:r>
      <w:r w:rsidRPr="00B60B3E">
        <w:t xml:space="preserve"> </w:t>
      </w:r>
      <w:r w:rsidR="00192E79">
        <w:t xml:space="preserve">También facilita la presentación de las solicitudes de acceso al ofertar un </w:t>
      </w:r>
      <w:r w:rsidRPr="00B60B3E">
        <w:t>formulario en su web, dentro del Portal de Transparencia</w:t>
      </w:r>
      <w:r w:rsidR="00192E79">
        <w:t>.</w:t>
      </w:r>
    </w:p>
    <w:p w:rsidR="00570D87" w:rsidRPr="001300D2" w:rsidRDefault="00570D87" w:rsidP="00521927">
      <w:pPr>
        <w:pStyle w:val="Prrafodelista"/>
        <w:spacing w:before="120" w:after="120"/>
        <w:ind w:left="426"/>
        <w:contextualSpacing w:val="0"/>
        <w:jc w:val="both"/>
        <w:rPr>
          <w:highlight w:val="yellow"/>
        </w:rPr>
      </w:pPr>
    </w:p>
    <w:p w:rsidR="00570D87" w:rsidRPr="00192E79" w:rsidRDefault="00570D87" w:rsidP="00521927">
      <w:pPr>
        <w:pStyle w:val="Prrafodelista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192E79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570D87" w:rsidRPr="00192E79" w:rsidRDefault="00570D87" w:rsidP="00521927">
      <w:pPr>
        <w:pStyle w:val="Prrafodelista"/>
        <w:spacing w:before="120" w:after="120"/>
        <w:ind w:left="426"/>
        <w:contextualSpacing w:val="0"/>
        <w:jc w:val="both"/>
      </w:pPr>
    </w:p>
    <w:p w:rsidR="00192E79" w:rsidRDefault="00192E79" w:rsidP="00521927">
      <w:pPr>
        <w:pStyle w:val="Prrafodelista"/>
        <w:ind w:left="426"/>
        <w:jc w:val="both"/>
      </w:pPr>
      <w:r>
        <w:t xml:space="preserve">Como se ha indicado, la solicitud de información se realizó por correo electrónico a través del </w:t>
      </w:r>
      <w:r w:rsidR="0059635E">
        <w:t>buzón</w:t>
      </w:r>
      <w:r>
        <w:t xml:space="preserve"> disponible en el Portal de Transparencia del Defensor. No se ha emitido resolución por lo que la solicitud ha de entenderse desestimada por silencio administrativo</w:t>
      </w:r>
      <w:r w:rsidR="00616812">
        <w:t xml:space="preserve">. </w:t>
      </w:r>
    </w:p>
    <w:p w:rsidR="00616812" w:rsidRDefault="00616812" w:rsidP="00521927">
      <w:pPr>
        <w:pStyle w:val="Prrafodelista"/>
        <w:ind w:left="426"/>
        <w:jc w:val="both"/>
      </w:pPr>
    </w:p>
    <w:p w:rsidR="00192E79" w:rsidRDefault="00192E79" w:rsidP="0052192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</w:pPr>
      <w:r>
        <w:t xml:space="preserve">Aunque </w:t>
      </w:r>
      <w:r w:rsidR="00521927">
        <w:t>se</w:t>
      </w:r>
      <w:r>
        <w:t xml:space="preserve"> contempl</w:t>
      </w:r>
      <w:r w:rsidR="00521927">
        <w:t>e</w:t>
      </w:r>
      <w:r>
        <w:t xml:space="preserve"> la posibilidad de desestimación de solicitudes de información </w:t>
      </w:r>
      <w:r w:rsidR="003D668B">
        <w:t xml:space="preserve">por </w:t>
      </w:r>
      <w:r>
        <w:t xml:space="preserve">silencio administrativo, sería deseable que el Defensor </w:t>
      </w:r>
      <w:r w:rsidR="003D668B">
        <w:t>del Pueblo</w:t>
      </w:r>
      <w:r w:rsidR="00521927">
        <w:t xml:space="preserve"> </w:t>
      </w:r>
      <w:r w:rsidR="003D668B">
        <w:t xml:space="preserve">hubiera emitido </w:t>
      </w:r>
      <w:r>
        <w:t xml:space="preserve">resolución expresa que </w:t>
      </w:r>
      <w:r w:rsidR="00616812">
        <w:t>d</w:t>
      </w:r>
      <w:r w:rsidR="003D668B">
        <w:t xml:space="preserve">iera </w:t>
      </w:r>
      <w:r w:rsidR="00616812">
        <w:t>cumplida respuesta a la solicitud</w:t>
      </w:r>
      <w:r w:rsidR="00521927">
        <w:t>,</w:t>
      </w:r>
      <w:r w:rsidR="00616812">
        <w:t xml:space="preserve"> </w:t>
      </w:r>
      <w:r w:rsidR="003D668B">
        <w:t xml:space="preserve">con indicación de los </w:t>
      </w:r>
      <w:r>
        <w:t xml:space="preserve">recursos que contra la misma procedan, órgano ante el que presentarlos y el plazo para interponerlos. </w:t>
      </w:r>
    </w:p>
    <w:p w:rsidR="003D668B" w:rsidRDefault="003D668B" w:rsidP="0052192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</w:pPr>
      <w:r>
        <w:t xml:space="preserve">En este caso, extraña la ausencia de resolución expresa, que puede obedecer a un error en la tramitación de la solicitud u otra </w:t>
      </w:r>
      <w:r w:rsidR="00D85285">
        <w:t>causa</w:t>
      </w:r>
      <w:r>
        <w:t xml:space="preserve"> que se desconoce. </w:t>
      </w:r>
    </w:p>
    <w:sectPr w:rsidR="003D668B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12" w:rsidRDefault="00616812" w:rsidP="00932008">
      <w:pPr>
        <w:spacing w:after="0" w:line="240" w:lineRule="auto"/>
      </w:pPr>
      <w:r>
        <w:separator/>
      </w:r>
    </w:p>
  </w:endnote>
  <w:endnote w:type="continuationSeparator" w:id="0">
    <w:p w:rsidR="00616812" w:rsidRDefault="0061681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3130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21927" w:rsidRPr="00521927" w:rsidRDefault="00521927">
        <w:pPr>
          <w:pStyle w:val="Piedepgina"/>
          <w:jc w:val="right"/>
          <w:rPr>
            <w:sz w:val="20"/>
            <w:szCs w:val="20"/>
          </w:rPr>
        </w:pPr>
        <w:r w:rsidRPr="00521927">
          <w:rPr>
            <w:sz w:val="20"/>
            <w:szCs w:val="20"/>
          </w:rPr>
          <w:fldChar w:fldCharType="begin"/>
        </w:r>
        <w:r w:rsidRPr="00521927">
          <w:rPr>
            <w:sz w:val="20"/>
            <w:szCs w:val="20"/>
          </w:rPr>
          <w:instrText>PAGE   \* MERGEFORMAT</w:instrText>
        </w:r>
        <w:r w:rsidRPr="00521927">
          <w:rPr>
            <w:sz w:val="20"/>
            <w:szCs w:val="20"/>
          </w:rPr>
          <w:fldChar w:fldCharType="separate"/>
        </w:r>
        <w:r w:rsidR="00A436AB">
          <w:rPr>
            <w:noProof/>
            <w:sz w:val="20"/>
            <w:szCs w:val="20"/>
          </w:rPr>
          <w:t>2</w:t>
        </w:r>
        <w:r w:rsidRPr="00521927">
          <w:rPr>
            <w:sz w:val="20"/>
            <w:szCs w:val="20"/>
          </w:rPr>
          <w:fldChar w:fldCharType="end"/>
        </w:r>
      </w:p>
    </w:sdtContent>
  </w:sdt>
  <w:p w:rsidR="00521927" w:rsidRDefault="00521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12" w:rsidRDefault="00616812" w:rsidP="00932008">
      <w:pPr>
        <w:spacing w:after="0" w:line="240" w:lineRule="auto"/>
      </w:pPr>
      <w:r>
        <w:separator/>
      </w:r>
    </w:p>
  </w:footnote>
  <w:footnote w:type="continuationSeparator" w:id="0">
    <w:p w:rsidR="00616812" w:rsidRDefault="0061681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55B15"/>
    <w:rsid w:val="000965B3"/>
    <w:rsid w:val="000C6CFF"/>
    <w:rsid w:val="00102733"/>
    <w:rsid w:val="0012783F"/>
    <w:rsid w:val="001300D2"/>
    <w:rsid w:val="001561A4"/>
    <w:rsid w:val="00176A94"/>
    <w:rsid w:val="00192E79"/>
    <w:rsid w:val="00194000"/>
    <w:rsid w:val="001F251B"/>
    <w:rsid w:val="002019B0"/>
    <w:rsid w:val="00241D7A"/>
    <w:rsid w:val="00256215"/>
    <w:rsid w:val="002A154B"/>
    <w:rsid w:val="00334115"/>
    <w:rsid w:val="003D668B"/>
    <w:rsid w:val="003D6DF9"/>
    <w:rsid w:val="003F271E"/>
    <w:rsid w:val="003F572A"/>
    <w:rsid w:val="004A123A"/>
    <w:rsid w:val="004D6E73"/>
    <w:rsid w:val="004F2655"/>
    <w:rsid w:val="00521927"/>
    <w:rsid w:val="005446A8"/>
    <w:rsid w:val="00561402"/>
    <w:rsid w:val="00570D87"/>
    <w:rsid w:val="0057532F"/>
    <w:rsid w:val="00595AAF"/>
    <w:rsid w:val="0059635E"/>
    <w:rsid w:val="00596FDE"/>
    <w:rsid w:val="005B1F0E"/>
    <w:rsid w:val="005B3C15"/>
    <w:rsid w:val="00616812"/>
    <w:rsid w:val="006A2766"/>
    <w:rsid w:val="00706E04"/>
    <w:rsid w:val="00707CFE"/>
    <w:rsid w:val="00710031"/>
    <w:rsid w:val="00727BA2"/>
    <w:rsid w:val="00743756"/>
    <w:rsid w:val="007B0F99"/>
    <w:rsid w:val="007D6B40"/>
    <w:rsid w:val="00815659"/>
    <w:rsid w:val="008207D9"/>
    <w:rsid w:val="00844FA9"/>
    <w:rsid w:val="00885E3D"/>
    <w:rsid w:val="00895267"/>
    <w:rsid w:val="008C1E1E"/>
    <w:rsid w:val="008D1450"/>
    <w:rsid w:val="00923092"/>
    <w:rsid w:val="009239D9"/>
    <w:rsid w:val="00932008"/>
    <w:rsid w:val="00935E6A"/>
    <w:rsid w:val="009609E9"/>
    <w:rsid w:val="00983919"/>
    <w:rsid w:val="00A41DD5"/>
    <w:rsid w:val="00A436AB"/>
    <w:rsid w:val="00A76CE1"/>
    <w:rsid w:val="00AC5306"/>
    <w:rsid w:val="00B40246"/>
    <w:rsid w:val="00B5583D"/>
    <w:rsid w:val="00B60B3E"/>
    <w:rsid w:val="00B812AB"/>
    <w:rsid w:val="00B841AE"/>
    <w:rsid w:val="00BB6799"/>
    <w:rsid w:val="00BD4582"/>
    <w:rsid w:val="00BE6A46"/>
    <w:rsid w:val="00C33A23"/>
    <w:rsid w:val="00C34BB5"/>
    <w:rsid w:val="00C4479B"/>
    <w:rsid w:val="00C5744D"/>
    <w:rsid w:val="00C65054"/>
    <w:rsid w:val="00C668A9"/>
    <w:rsid w:val="00CA2D21"/>
    <w:rsid w:val="00CB5511"/>
    <w:rsid w:val="00CC2049"/>
    <w:rsid w:val="00CC587B"/>
    <w:rsid w:val="00D20A70"/>
    <w:rsid w:val="00D445A7"/>
    <w:rsid w:val="00D52E43"/>
    <w:rsid w:val="00D85285"/>
    <w:rsid w:val="00D96F84"/>
    <w:rsid w:val="00DB7943"/>
    <w:rsid w:val="00DD3E02"/>
    <w:rsid w:val="00DE4AA9"/>
    <w:rsid w:val="00DF63E7"/>
    <w:rsid w:val="00E3088D"/>
    <w:rsid w:val="00E34195"/>
    <w:rsid w:val="00E47613"/>
    <w:rsid w:val="00E569FD"/>
    <w:rsid w:val="00EE5BDF"/>
    <w:rsid w:val="00F14DA4"/>
    <w:rsid w:val="00F47C3B"/>
    <w:rsid w:val="00F71D7D"/>
    <w:rsid w:val="00F7263F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D6D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D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DF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D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DF9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D6D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D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DF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D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DF9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C7AFA"/>
    <w:rsid w:val="003D088C"/>
    <w:rsid w:val="00981471"/>
    <w:rsid w:val="009877AE"/>
    <w:rsid w:val="00C26568"/>
    <w:rsid w:val="00C76307"/>
    <w:rsid w:val="00D35513"/>
    <w:rsid w:val="00E147F2"/>
    <w:rsid w:val="00E16D50"/>
    <w:rsid w:val="00E5085E"/>
    <w:rsid w:val="00F02A0C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88B4C-186E-4495-AEE0-5D35687E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3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2021-04-06T11:48:00Z</dcterms:created>
  <dcterms:modified xsi:type="dcterms:W3CDTF">2021-04-06T11:48:00Z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