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4E39A0" w:rsidRPr="00006957" w:rsidRDefault="004E39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E39A0" w:rsidRPr="00006957" w:rsidRDefault="004E39A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E39A0" w:rsidRDefault="004E39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E39A0" w:rsidRDefault="004E39A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E26306">
        <w:tc>
          <w:tcPr>
            <w:tcW w:w="3652" w:type="dxa"/>
          </w:tcPr>
          <w:p w:rsidR="00A47ADC" w:rsidRPr="00E34195" w:rsidRDefault="00A47ADC" w:rsidP="00E26306">
            <w:pPr>
              <w:rPr>
                <w:b/>
                <w:color w:val="00642D"/>
                <w:sz w:val="24"/>
                <w:szCs w:val="24"/>
              </w:rPr>
            </w:pPr>
            <w:r w:rsidRPr="00E34195">
              <w:rPr>
                <w:b/>
                <w:color w:val="00642D"/>
                <w:sz w:val="24"/>
                <w:szCs w:val="24"/>
              </w:rPr>
              <w:t>Entidad evaluada</w:t>
            </w:r>
          </w:p>
        </w:tc>
        <w:tc>
          <w:tcPr>
            <w:tcW w:w="6954" w:type="dxa"/>
          </w:tcPr>
          <w:p w:rsidR="00A47ADC" w:rsidRPr="00CB5511" w:rsidRDefault="00A47ADC" w:rsidP="00E26306">
            <w:pPr>
              <w:rPr>
                <w:sz w:val="24"/>
                <w:szCs w:val="24"/>
              </w:rPr>
            </w:pPr>
            <w:r>
              <w:rPr>
                <w:sz w:val="24"/>
                <w:szCs w:val="24"/>
              </w:rPr>
              <w:t>Senado</w:t>
            </w:r>
          </w:p>
        </w:tc>
      </w:tr>
      <w:tr w:rsidR="00A47ADC" w:rsidRPr="00CB5511" w:rsidTr="00E26306">
        <w:tc>
          <w:tcPr>
            <w:tcW w:w="3652" w:type="dxa"/>
          </w:tcPr>
          <w:p w:rsidR="00A47ADC" w:rsidRPr="00E34195" w:rsidRDefault="00A47ADC" w:rsidP="00E26306">
            <w:pPr>
              <w:rPr>
                <w:b/>
                <w:color w:val="00642D"/>
                <w:sz w:val="24"/>
                <w:szCs w:val="24"/>
              </w:rPr>
            </w:pPr>
            <w:r w:rsidRPr="00E34195">
              <w:rPr>
                <w:b/>
                <w:color w:val="00642D"/>
                <w:sz w:val="24"/>
                <w:szCs w:val="24"/>
              </w:rPr>
              <w:t>Fecha de la evaluación</w:t>
            </w:r>
          </w:p>
        </w:tc>
        <w:tc>
          <w:tcPr>
            <w:tcW w:w="6954" w:type="dxa"/>
          </w:tcPr>
          <w:p w:rsidR="00A47ADC" w:rsidRPr="00CB5511" w:rsidRDefault="00A47ADC" w:rsidP="00E26306">
            <w:pPr>
              <w:rPr>
                <w:sz w:val="24"/>
                <w:szCs w:val="24"/>
              </w:rPr>
            </w:pPr>
            <w:r>
              <w:rPr>
                <w:sz w:val="24"/>
                <w:szCs w:val="24"/>
              </w:rPr>
              <w:t>18/02/2021</w:t>
            </w:r>
          </w:p>
        </w:tc>
      </w:tr>
    </w:tbl>
    <w:p w:rsidR="0039794E" w:rsidRDefault="0039794E"/>
    <w:p w:rsidR="00A47ADC" w:rsidRDefault="00A47ADC"/>
    <w:p w:rsidR="00561402" w:rsidRPr="0012783F" w:rsidRDefault="00BD787A">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3301B4" w:rsidP="00A47ADC">
      <w:pPr>
        <w:ind w:left="284"/>
        <w:jc w:val="both"/>
      </w:pPr>
      <w:r>
        <w:t>El Departamento de Información de la Dirección de Relaciones Institucionales de la Secretaría General del Senado, es la unidad designada para la tramitación de las solicitudes de acceso a información pública del Senado aunque según lo dispuesto en su normativa específica el órgano competente para resolver las solicitudes es la Mesa del Senado. Para ello cuenta con dos personas de las cuales una se dedica en exclusiva a esta actividad.</w:t>
      </w:r>
    </w:p>
    <w:p w:rsidR="00A945B5" w:rsidRDefault="00A945B5" w:rsidP="00A47ADC">
      <w:pPr>
        <w:jc w:val="both"/>
      </w:pPr>
    </w:p>
    <w:p w:rsidR="00B812AB" w:rsidRPr="0012783F" w:rsidRDefault="00BD787A"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A47ADC">
            <w:rPr>
              <w:b/>
              <w:color w:val="00642D"/>
              <w:sz w:val="30"/>
              <w:szCs w:val="30"/>
            </w:rPr>
            <w:t xml:space="preserve"> </w:t>
          </w:r>
        </w:sdtContent>
      </w:sdt>
    </w:p>
    <w:p w:rsidR="00E857EA" w:rsidRDefault="00E857EA" w:rsidP="00A47ADC">
      <w:pPr>
        <w:pStyle w:val="Cuerpodelboletn"/>
        <w:spacing w:before="120" w:after="120" w:line="312" w:lineRule="auto"/>
        <w:ind w:left="360"/>
        <w:rPr>
          <w:rStyle w:val="Ttulo2Car"/>
          <w:color w:val="00642D"/>
          <w:lang w:bidi="es-ES"/>
        </w:rPr>
      </w:pPr>
    </w:p>
    <w:p w:rsidR="00B812AB" w:rsidRDefault="00A41DD5" w:rsidP="00A47ADC">
      <w:pPr>
        <w:pStyle w:val="Cuerpodelboletn"/>
        <w:spacing w:before="120" w:after="120" w:line="312" w:lineRule="auto"/>
        <w:ind w:left="360"/>
        <w:rPr>
          <w:rStyle w:val="Ttulo2Car"/>
          <w:color w:val="00642D"/>
          <w:lang w:bidi="es-ES"/>
        </w:rPr>
      </w:pPr>
      <w:r w:rsidRPr="00A41DD5">
        <w:rPr>
          <w:rStyle w:val="Ttulo2Car"/>
          <w:color w:val="00642D"/>
          <w:lang w:bidi="es-ES"/>
        </w:rPr>
        <w:t>II.1</w:t>
      </w:r>
      <w:r w:rsidR="00B812AB" w:rsidRPr="00B812AB">
        <w:rPr>
          <w:rStyle w:val="Ttulo2Car"/>
          <w:color w:val="00642D"/>
          <w:lang w:bidi="es-ES"/>
        </w:rPr>
        <w:t>Solicitudes gestionadas en 2020</w:t>
      </w:r>
    </w:p>
    <w:p w:rsidR="003301B4" w:rsidRDefault="003301B4" w:rsidP="00A47ADC">
      <w:pPr>
        <w:ind w:left="426"/>
        <w:jc w:val="both"/>
      </w:pPr>
      <w:r>
        <w:t xml:space="preserve">En 2020, el Senado recibió 82 solicitudes, de estas 82 solicitudes se tramitaron 80 a lo largo de 2020, quedando </w:t>
      </w:r>
      <w:r w:rsidR="00DC4007">
        <w:t xml:space="preserve">dos </w:t>
      </w:r>
      <w:r>
        <w:t>pendientes a 31de diciembre de ese año</w:t>
      </w:r>
      <w:r w:rsidR="00DC4007">
        <w:t>.</w:t>
      </w:r>
    </w:p>
    <w:p w:rsidR="00F60274" w:rsidRDefault="003301B4" w:rsidP="00A47ADC">
      <w:pPr>
        <w:ind w:left="426"/>
        <w:jc w:val="both"/>
      </w:pPr>
      <w:r>
        <w:t>De las 80 solicitudes tramitadas, 74 fueron admitidas</w:t>
      </w:r>
      <w:r w:rsidR="00F4013B">
        <w:t xml:space="preserve"> – dos de ellas parcialmente -</w:t>
      </w:r>
      <w:r>
        <w:t xml:space="preserve">, </w:t>
      </w:r>
      <w:r w:rsidR="00DC4007">
        <w:t>y 1</w:t>
      </w:r>
      <w:r>
        <w:t xml:space="preserve"> inadmitida, según indica el Senado</w:t>
      </w:r>
      <w:r w:rsidR="00DC4007">
        <w:t>,</w:t>
      </w:r>
      <w:r>
        <w:t xml:space="preserve"> porque la solicitud no requería “</w:t>
      </w:r>
      <w:r w:rsidRPr="003301B4">
        <w:rPr>
          <w:i/>
        </w:rPr>
        <w:t>información pública del Senado y por solicitar una acción de la Cámara, objeto más propio del derecho de petición</w:t>
      </w:r>
      <w:r>
        <w:t>”.</w:t>
      </w:r>
      <w:r w:rsidR="00A47ADC">
        <w:t xml:space="preserve"> </w:t>
      </w:r>
      <w:r>
        <w:t xml:space="preserve">Cinco solicitudes fueron archivadas. </w:t>
      </w:r>
    </w:p>
    <w:p w:rsidR="00E857EA" w:rsidRDefault="00E857EA" w:rsidP="00A47ADC">
      <w:pPr>
        <w:pStyle w:val="Cuerpodelboletn"/>
        <w:spacing w:before="120" w:after="120" w:line="312" w:lineRule="auto"/>
        <w:ind w:left="360"/>
        <w:rPr>
          <w:rStyle w:val="Ttulo2Car"/>
          <w:color w:val="00642D"/>
          <w:lang w:bidi="es-ES"/>
        </w:rPr>
      </w:pPr>
    </w:p>
    <w:p w:rsidR="00F7263F" w:rsidRDefault="00F7263F" w:rsidP="00A47ADC">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Pr>
          <w:rStyle w:val="Ttulo2Car"/>
          <w:color w:val="00642D"/>
          <w:lang w:bidi="es-ES"/>
        </w:rPr>
        <w:t xml:space="preserve">2 Indicadores de tramitación </w:t>
      </w:r>
      <w:r w:rsidRPr="00B812AB">
        <w:rPr>
          <w:rStyle w:val="Ttulo2Car"/>
          <w:color w:val="00642D"/>
          <w:lang w:bidi="es-ES"/>
        </w:rPr>
        <w:t>en 2020</w:t>
      </w:r>
    </w:p>
    <w:p w:rsidR="00E857EA" w:rsidRDefault="00E857EA" w:rsidP="00A47ADC">
      <w:pPr>
        <w:ind w:left="426"/>
        <w:jc w:val="both"/>
        <w:rPr>
          <w:rStyle w:val="Ttulo2Car"/>
          <w:b w:val="0"/>
          <w:color w:val="auto"/>
          <w:sz w:val="22"/>
          <w:szCs w:val="22"/>
          <w:lang w:bidi="es-ES"/>
        </w:rPr>
      </w:pPr>
    </w:p>
    <w:p w:rsidR="00F4013B" w:rsidRDefault="00F4013B" w:rsidP="00A47ADC">
      <w:pPr>
        <w:ind w:left="426"/>
        <w:jc w:val="both"/>
        <w:rPr>
          <w:rStyle w:val="Ttulo2Car"/>
          <w:b w:val="0"/>
          <w:color w:val="auto"/>
          <w:sz w:val="22"/>
          <w:szCs w:val="22"/>
          <w:lang w:bidi="es-ES"/>
        </w:rPr>
      </w:pPr>
      <w:r w:rsidRPr="00647481">
        <w:rPr>
          <w:rStyle w:val="Ttulo2Car"/>
          <w:b w:val="0"/>
          <w:color w:val="auto"/>
          <w:sz w:val="22"/>
          <w:szCs w:val="22"/>
          <w:lang w:bidi="es-ES"/>
        </w:rPr>
        <w:t>En 2020</w:t>
      </w:r>
      <w:r>
        <w:rPr>
          <w:rStyle w:val="Ttulo2Car"/>
          <w:b w:val="0"/>
          <w:color w:val="auto"/>
          <w:sz w:val="22"/>
          <w:szCs w:val="22"/>
          <w:lang w:bidi="es-ES"/>
        </w:rPr>
        <w:t xml:space="preserve">, en promedio, cada una de las personas asignadas a la gestión de las solicitudes de acceso asumió 41 solicitudes de las cuales tramitó 40. </w:t>
      </w:r>
    </w:p>
    <w:p w:rsidR="00F4013B" w:rsidRDefault="00F4013B" w:rsidP="00A47ADC">
      <w:pPr>
        <w:ind w:left="426"/>
        <w:jc w:val="both"/>
        <w:rPr>
          <w:rStyle w:val="Ttulo2Car"/>
          <w:b w:val="0"/>
          <w:color w:val="auto"/>
          <w:sz w:val="22"/>
          <w:szCs w:val="22"/>
          <w:lang w:bidi="es-ES"/>
        </w:rPr>
      </w:pPr>
      <w:r>
        <w:rPr>
          <w:rStyle w:val="Ttulo2Car"/>
          <w:b w:val="0"/>
          <w:color w:val="auto"/>
          <w:sz w:val="22"/>
          <w:szCs w:val="22"/>
          <w:lang w:bidi="es-ES"/>
        </w:rPr>
        <w:t>En 2020 se tramitó más del 9</w:t>
      </w:r>
      <w:r w:rsidR="00C14BCD">
        <w:rPr>
          <w:rStyle w:val="Ttulo2Car"/>
          <w:b w:val="0"/>
          <w:color w:val="auto"/>
          <w:sz w:val="22"/>
          <w:szCs w:val="22"/>
          <w:lang w:bidi="es-ES"/>
        </w:rPr>
        <w:t>7</w:t>
      </w:r>
      <w:r>
        <w:rPr>
          <w:rStyle w:val="Ttulo2Car"/>
          <w:b w:val="0"/>
          <w:color w:val="auto"/>
          <w:sz w:val="22"/>
          <w:szCs w:val="22"/>
          <w:lang w:bidi="es-ES"/>
        </w:rPr>
        <w:t>% de las solicitudes</w:t>
      </w:r>
      <w:r w:rsidR="00C14BCD">
        <w:rPr>
          <w:rStyle w:val="Ttulo2Car"/>
          <w:b w:val="0"/>
          <w:color w:val="auto"/>
          <w:sz w:val="22"/>
          <w:szCs w:val="22"/>
          <w:lang w:bidi="es-ES"/>
        </w:rPr>
        <w:t>.</w:t>
      </w:r>
      <w:r>
        <w:rPr>
          <w:rStyle w:val="Ttulo2Car"/>
          <w:b w:val="0"/>
          <w:color w:val="auto"/>
          <w:sz w:val="22"/>
          <w:szCs w:val="22"/>
          <w:lang w:bidi="es-ES"/>
        </w:rPr>
        <w:t xml:space="preserve"> Sin embargo, ha aumentado el número de solicitudes pendientes a final de año – han pasado de </w:t>
      </w:r>
      <w:r w:rsidR="00C14BCD">
        <w:rPr>
          <w:rStyle w:val="Ttulo2Car"/>
          <w:b w:val="0"/>
          <w:color w:val="auto"/>
          <w:sz w:val="22"/>
          <w:szCs w:val="22"/>
          <w:lang w:bidi="es-ES"/>
        </w:rPr>
        <w:t>0</w:t>
      </w:r>
      <w:r>
        <w:rPr>
          <w:rStyle w:val="Ttulo2Car"/>
          <w:b w:val="0"/>
          <w:color w:val="auto"/>
          <w:sz w:val="22"/>
          <w:szCs w:val="22"/>
          <w:lang w:bidi="es-ES"/>
        </w:rPr>
        <w:t xml:space="preserve"> a </w:t>
      </w:r>
      <w:r w:rsidR="00C14BCD">
        <w:rPr>
          <w:rStyle w:val="Ttulo2Car"/>
          <w:b w:val="0"/>
          <w:color w:val="auto"/>
          <w:sz w:val="22"/>
          <w:szCs w:val="22"/>
          <w:lang w:bidi="es-ES"/>
        </w:rPr>
        <w:t>2</w:t>
      </w:r>
      <w:r>
        <w:rPr>
          <w:rStyle w:val="Ttulo2Car"/>
          <w:b w:val="0"/>
          <w:color w:val="auto"/>
          <w:sz w:val="22"/>
          <w:szCs w:val="22"/>
          <w:lang w:bidi="es-ES"/>
        </w:rPr>
        <w:t xml:space="preserve"> – situándose la tasa de pendencia en </w:t>
      </w:r>
      <w:r w:rsidR="00C14BCD">
        <w:rPr>
          <w:rStyle w:val="Ttulo2Car"/>
          <w:b w:val="0"/>
          <w:color w:val="auto"/>
          <w:sz w:val="22"/>
          <w:szCs w:val="22"/>
          <w:lang w:bidi="es-ES"/>
        </w:rPr>
        <w:t>2,50</w:t>
      </w:r>
      <w:r>
        <w:rPr>
          <w:rStyle w:val="Ttulo2Car"/>
          <w:b w:val="0"/>
          <w:color w:val="auto"/>
          <w:sz w:val="22"/>
          <w:szCs w:val="22"/>
          <w:lang w:bidi="es-ES"/>
        </w:rPr>
        <w:t xml:space="preserve">. </w:t>
      </w:r>
      <w:r w:rsidR="00C14BCD">
        <w:rPr>
          <w:rStyle w:val="Ttulo2Car"/>
          <w:b w:val="0"/>
          <w:color w:val="auto"/>
          <w:sz w:val="22"/>
          <w:szCs w:val="22"/>
          <w:lang w:bidi="es-ES"/>
        </w:rPr>
        <w:t xml:space="preserve">El Senado indica que estas solicitudes pendientes fueron resueltas en enero de 2021, dentro del plazo establecido por su normativa específica. </w:t>
      </w:r>
    </w:p>
    <w:p w:rsidR="00F4013B" w:rsidRDefault="00F4013B" w:rsidP="00A47ADC">
      <w:pPr>
        <w:ind w:left="426"/>
        <w:jc w:val="both"/>
        <w:rPr>
          <w:rStyle w:val="Ttulo2Car"/>
          <w:b w:val="0"/>
          <w:color w:val="auto"/>
          <w:sz w:val="22"/>
          <w:szCs w:val="22"/>
          <w:lang w:bidi="es-ES"/>
        </w:rPr>
      </w:pPr>
      <w:r>
        <w:rPr>
          <w:rStyle w:val="Ttulo2Car"/>
          <w:b w:val="0"/>
          <w:color w:val="auto"/>
          <w:sz w:val="22"/>
          <w:szCs w:val="22"/>
          <w:lang w:bidi="es-ES"/>
        </w:rPr>
        <w:t xml:space="preserve">El tiempo medio estimado para la tramitación de las solicitudes pendientes es de poco más de </w:t>
      </w:r>
      <w:r w:rsidR="00C14BCD">
        <w:rPr>
          <w:rStyle w:val="Ttulo2Car"/>
          <w:b w:val="0"/>
          <w:color w:val="auto"/>
          <w:sz w:val="22"/>
          <w:szCs w:val="22"/>
          <w:lang w:bidi="es-ES"/>
        </w:rPr>
        <w:t>9</w:t>
      </w:r>
      <w:r>
        <w:rPr>
          <w:rStyle w:val="Ttulo2Car"/>
          <w:b w:val="0"/>
          <w:color w:val="auto"/>
          <w:sz w:val="22"/>
          <w:szCs w:val="22"/>
          <w:lang w:bidi="es-ES"/>
        </w:rPr>
        <w:t xml:space="preserve"> días naturales.</w:t>
      </w:r>
    </w:p>
    <w:p w:rsidR="00F4013B" w:rsidRDefault="00C14BCD" w:rsidP="00A47ADC">
      <w:pPr>
        <w:ind w:left="426"/>
        <w:jc w:val="both"/>
        <w:rPr>
          <w:rStyle w:val="Ttulo2Car"/>
          <w:b w:val="0"/>
          <w:color w:val="auto"/>
          <w:sz w:val="22"/>
          <w:szCs w:val="22"/>
          <w:lang w:bidi="es-ES"/>
        </w:rPr>
      </w:pPr>
      <w:r>
        <w:rPr>
          <w:rStyle w:val="Ttulo2Car"/>
          <w:b w:val="0"/>
          <w:color w:val="auto"/>
          <w:sz w:val="22"/>
          <w:szCs w:val="22"/>
          <w:lang w:bidi="es-ES"/>
        </w:rPr>
        <w:t>El Senado</w:t>
      </w:r>
      <w:r w:rsidR="00F4013B">
        <w:rPr>
          <w:rStyle w:val="Ttulo2Car"/>
          <w:b w:val="0"/>
          <w:color w:val="auto"/>
          <w:sz w:val="22"/>
          <w:szCs w:val="22"/>
          <w:lang w:bidi="es-ES"/>
        </w:rPr>
        <w:t xml:space="preserve"> inadmite</w:t>
      </w:r>
      <w:r>
        <w:rPr>
          <w:rStyle w:val="Ttulo2Car"/>
          <w:b w:val="0"/>
          <w:color w:val="auto"/>
          <w:sz w:val="22"/>
          <w:szCs w:val="22"/>
          <w:lang w:bidi="es-ES"/>
        </w:rPr>
        <w:t xml:space="preserve"> un</w:t>
      </w:r>
      <w:r w:rsidR="00F4013B">
        <w:rPr>
          <w:rStyle w:val="Ttulo2Car"/>
          <w:b w:val="0"/>
          <w:color w:val="auto"/>
          <w:sz w:val="22"/>
          <w:szCs w:val="22"/>
          <w:lang w:bidi="es-ES"/>
        </w:rPr>
        <w:t xml:space="preserve"> </w:t>
      </w:r>
      <w:r>
        <w:rPr>
          <w:rStyle w:val="Ttulo2Car"/>
          <w:b w:val="0"/>
          <w:color w:val="auto"/>
          <w:sz w:val="22"/>
          <w:szCs w:val="22"/>
          <w:lang w:bidi="es-ES"/>
        </w:rPr>
        <w:t>1,25% de las solicitudes que recibe.</w:t>
      </w:r>
    </w:p>
    <w:p w:rsidR="00C14BCD" w:rsidRPr="00647481" w:rsidRDefault="00C14BCD" w:rsidP="00A47ADC">
      <w:pPr>
        <w:pStyle w:val="Epgrafe"/>
        <w:keepNext/>
        <w:ind w:left="426"/>
        <w:jc w:val="both"/>
        <w:rPr>
          <w:rStyle w:val="Ttulo2Car"/>
          <w:b/>
          <w:color w:val="00642D"/>
          <w:sz w:val="22"/>
          <w:szCs w:val="22"/>
          <w:lang w:bidi="es-ES"/>
        </w:rPr>
      </w:pPr>
      <w:r w:rsidRPr="00647481">
        <w:rPr>
          <w:rStyle w:val="Ttulo2Car"/>
          <w:b/>
          <w:color w:val="00642D"/>
          <w:sz w:val="22"/>
          <w:szCs w:val="22"/>
          <w:lang w:bidi="es-ES"/>
        </w:rPr>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Indicadores de tramitación 2020</w:t>
      </w:r>
    </w:p>
    <w:tbl>
      <w:tblPr>
        <w:tblStyle w:val="Tablaconcuadrcula"/>
        <w:tblW w:w="0" w:type="auto"/>
        <w:tblInd w:w="534" w:type="dxa"/>
        <w:tblLook w:val="04A0" w:firstRow="1" w:lastRow="0" w:firstColumn="1" w:lastColumn="0" w:noHBand="0" w:noVBand="1"/>
      </w:tblPr>
      <w:tblGrid>
        <w:gridCol w:w="1299"/>
        <w:gridCol w:w="6322"/>
        <w:gridCol w:w="1559"/>
      </w:tblGrid>
      <w:tr w:rsidR="00AA3033" w:rsidRPr="00A47ADC" w:rsidTr="00C14BCD">
        <w:tc>
          <w:tcPr>
            <w:tcW w:w="1299" w:type="dxa"/>
            <w:vMerge w:val="restart"/>
            <w:tcBorders>
              <w:top w:val="nil"/>
              <w:right w:val="nil"/>
            </w:tcBorders>
            <w:shd w:val="clear" w:color="auto" w:fill="4D7F52"/>
            <w:textDirection w:val="btLr"/>
          </w:tcPr>
          <w:p w:rsidR="00AA3033" w:rsidRPr="00A47ADC" w:rsidRDefault="00AA3033" w:rsidP="00A47ADC">
            <w:pPr>
              <w:ind w:left="113" w:right="113"/>
              <w:jc w:val="both"/>
              <w:rPr>
                <w:color w:val="FFFFFF" w:themeColor="background1"/>
              </w:rPr>
            </w:pPr>
            <w:r w:rsidRPr="00A47ADC">
              <w:rPr>
                <w:color w:val="FFFFFF" w:themeColor="background1"/>
              </w:rPr>
              <w:t>Indicadores de tramitación</w:t>
            </w:r>
          </w:p>
        </w:tc>
        <w:tc>
          <w:tcPr>
            <w:tcW w:w="6322" w:type="dxa"/>
            <w:tcBorders>
              <w:left w:val="nil"/>
            </w:tcBorders>
          </w:tcPr>
          <w:p w:rsidR="00AA3033" w:rsidRPr="00A47ADC" w:rsidRDefault="00AA3033" w:rsidP="00A47ADC">
            <w:pPr>
              <w:jc w:val="both"/>
              <w:rPr>
                <w:sz w:val="20"/>
                <w:szCs w:val="20"/>
              </w:rPr>
            </w:pPr>
            <w:r w:rsidRPr="00A47ADC">
              <w:rPr>
                <w:sz w:val="20"/>
                <w:szCs w:val="20"/>
              </w:rPr>
              <w:t>Solicitudes/persona UIT</w:t>
            </w:r>
          </w:p>
        </w:tc>
        <w:tc>
          <w:tcPr>
            <w:tcW w:w="1559" w:type="dxa"/>
          </w:tcPr>
          <w:p w:rsidR="00AA3033" w:rsidRPr="00A47ADC" w:rsidRDefault="00AA3033" w:rsidP="00A47ADC">
            <w:pPr>
              <w:jc w:val="both"/>
              <w:rPr>
                <w:sz w:val="20"/>
                <w:szCs w:val="20"/>
              </w:rPr>
            </w:pPr>
            <w:r w:rsidRPr="00A47ADC">
              <w:rPr>
                <w:sz w:val="20"/>
                <w:szCs w:val="20"/>
              </w:rPr>
              <w:t>41,00</w:t>
            </w:r>
          </w:p>
        </w:tc>
      </w:tr>
      <w:tr w:rsidR="00AA3033" w:rsidRPr="00A47ADC" w:rsidTr="00C14BCD">
        <w:tc>
          <w:tcPr>
            <w:tcW w:w="1299" w:type="dxa"/>
            <w:vMerge/>
            <w:tcBorders>
              <w:top w:val="nil"/>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Solicitudes tramitadas/persona UIT</w:t>
            </w:r>
          </w:p>
        </w:tc>
        <w:tc>
          <w:tcPr>
            <w:tcW w:w="1559" w:type="dxa"/>
          </w:tcPr>
          <w:p w:rsidR="00AA3033" w:rsidRPr="00A47ADC" w:rsidRDefault="00AA3033" w:rsidP="00A47ADC">
            <w:pPr>
              <w:jc w:val="both"/>
              <w:rPr>
                <w:sz w:val="20"/>
                <w:szCs w:val="20"/>
              </w:rPr>
            </w:pPr>
            <w:r w:rsidRPr="00A47ADC">
              <w:rPr>
                <w:sz w:val="20"/>
                <w:szCs w:val="20"/>
              </w:rPr>
              <w:t>40,00</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Tramitación (tramitadas/(pendientes a 31/12/2019 + recibidas 2020))</w:t>
            </w:r>
          </w:p>
        </w:tc>
        <w:tc>
          <w:tcPr>
            <w:tcW w:w="1559" w:type="dxa"/>
          </w:tcPr>
          <w:p w:rsidR="00AA3033" w:rsidRPr="00A47ADC" w:rsidRDefault="00AA3033" w:rsidP="00A47ADC">
            <w:pPr>
              <w:jc w:val="both"/>
              <w:rPr>
                <w:sz w:val="20"/>
                <w:szCs w:val="20"/>
              </w:rPr>
            </w:pPr>
            <w:r w:rsidRPr="00A47ADC">
              <w:rPr>
                <w:sz w:val="20"/>
                <w:szCs w:val="20"/>
              </w:rPr>
              <w:t>97,56</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pendencia (pendientes a 31/12/2020 / tramitadas)</w:t>
            </w:r>
          </w:p>
        </w:tc>
        <w:tc>
          <w:tcPr>
            <w:tcW w:w="1559" w:type="dxa"/>
          </w:tcPr>
          <w:p w:rsidR="00AA3033" w:rsidRPr="00A47ADC" w:rsidRDefault="00AA3033" w:rsidP="00A47ADC">
            <w:pPr>
              <w:jc w:val="both"/>
              <w:rPr>
                <w:sz w:val="20"/>
                <w:szCs w:val="20"/>
              </w:rPr>
            </w:pPr>
            <w:r w:rsidRPr="00A47ADC">
              <w:rPr>
                <w:sz w:val="20"/>
                <w:szCs w:val="20"/>
              </w:rPr>
              <w:t>2,50</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resolución en la tramitación (tramitadas/entradas en 2020)</w:t>
            </w:r>
          </w:p>
        </w:tc>
        <w:tc>
          <w:tcPr>
            <w:tcW w:w="1559" w:type="dxa"/>
          </w:tcPr>
          <w:p w:rsidR="00AA3033" w:rsidRPr="00A47ADC" w:rsidRDefault="00AA3033" w:rsidP="00A47ADC">
            <w:pPr>
              <w:jc w:val="both"/>
              <w:rPr>
                <w:sz w:val="20"/>
                <w:szCs w:val="20"/>
              </w:rPr>
            </w:pPr>
            <w:r w:rsidRPr="00A47ADC">
              <w:rPr>
                <w:sz w:val="20"/>
                <w:szCs w:val="20"/>
              </w:rPr>
              <w:t>97,56</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congestión ((pendientes a 31/12/2019 + entradas 2020) / tramitadas</w:t>
            </w:r>
          </w:p>
        </w:tc>
        <w:tc>
          <w:tcPr>
            <w:tcW w:w="1559" w:type="dxa"/>
          </w:tcPr>
          <w:p w:rsidR="00AA3033" w:rsidRPr="00A47ADC" w:rsidRDefault="00AA3033" w:rsidP="00A47ADC">
            <w:pPr>
              <w:jc w:val="both"/>
              <w:rPr>
                <w:sz w:val="20"/>
                <w:szCs w:val="20"/>
              </w:rPr>
            </w:pPr>
            <w:r w:rsidRPr="00A47ADC">
              <w:rPr>
                <w:sz w:val="20"/>
                <w:szCs w:val="20"/>
              </w:rPr>
              <w:t>102,50</w:t>
            </w:r>
          </w:p>
        </w:tc>
      </w:tr>
      <w:tr w:rsidR="00AA3033" w:rsidRPr="00A47ADC" w:rsidTr="00C14BCD">
        <w:trPr>
          <w:trHeight w:val="217"/>
        </w:trPr>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 xml:space="preserve">Tiempo medio estimado para la tramitación de las solicitudes pendientes ((pendientes a 31/12/2020 / tramitadas)*365 </w:t>
            </w:r>
          </w:p>
        </w:tc>
        <w:tc>
          <w:tcPr>
            <w:tcW w:w="1559" w:type="dxa"/>
          </w:tcPr>
          <w:p w:rsidR="00AA3033" w:rsidRPr="00A47ADC" w:rsidRDefault="00AA3033" w:rsidP="00A47ADC">
            <w:pPr>
              <w:jc w:val="both"/>
              <w:rPr>
                <w:sz w:val="20"/>
                <w:szCs w:val="20"/>
              </w:rPr>
            </w:pPr>
            <w:r w:rsidRPr="00A47ADC">
              <w:rPr>
                <w:sz w:val="20"/>
                <w:szCs w:val="20"/>
              </w:rPr>
              <w:t>9,13</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admisión (admitidas/tramitadas)</w:t>
            </w:r>
          </w:p>
        </w:tc>
        <w:tc>
          <w:tcPr>
            <w:tcW w:w="1559" w:type="dxa"/>
          </w:tcPr>
          <w:p w:rsidR="00AA3033" w:rsidRPr="00A47ADC" w:rsidRDefault="00AA3033" w:rsidP="00A47ADC">
            <w:pPr>
              <w:jc w:val="both"/>
              <w:rPr>
                <w:sz w:val="20"/>
                <w:szCs w:val="20"/>
              </w:rPr>
            </w:pPr>
            <w:r w:rsidRPr="00A47ADC">
              <w:rPr>
                <w:sz w:val="20"/>
                <w:szCs w:val="20"/>
              </w:rPr>
              <w:t>92,50</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inadmisión (inadmitidas/ tramitadas)</w:t>
            </w:r>
          </w:p>
        </w:tc>
        <w:tc>
          <w:tcPr>
            <w:tcW w:w="1559" w:type="dxa"/>
          </w:tcPr>
          <w:p w:rsidR="00AA3033" w:rsidRPr="00A47ADC" w:rsidRDefault="00AA3033" w:rsidP="00A47ADC">
            <w:pPr>
              <w:jc w:val="both"/>
              <w:rPr>
                <w:sz w:val="20"/>
                <w:szCs w:val="20"/>
              </w:rPr>
            </w:pPr>
            <w:r w:rsidRPr="00A47ADC">
              <w:rPr>
                <w:sz w:val="20"/>
                <w:szCs w:val="20"/>
              </w:rPr>
              <w:t>1,25</w:t>
            </w:r>
          </w:p>
        </w:tc>
      </w:tr>
      <w:tr w:rsidR="00AA3033" w:rsidRPr="00A47ADC" w:rsidTr="00C14BCD">
        <w:tc>
          <w:tcPr>
            <w:tcW w:w="1299" w:type="dxa"/>
            <w:vMerge/>
            <w:tcBorders>
              <w:right w:val="nil"/>
            </w:tcBorders>
            <w:shd w:val="clear" w:color="auto" w:fill="4D7F52"/>
            <w:textDirection w:val="btLr"/>
          </w:tcPr>
          <w:p w:rsidR="00AA3033" w:rsidRPr="00A47ADC" w:rsidRDefault="00AA3033" w:rsidP="00A47ADC">
            <w:pPr>
              <w:ind w:left="113" w:right="113"/>
              <w:jc w:val="both"/>
              <w:rPr>
                <w:color w:val="FFFFFF" w:themeColor="background1"/>
              </w:rPr>
            </w:pPr>
          </w:p>
        </w:tc>
        <w:tc>
          <w:tcPr>
            <w:tcW w:w="6322" w:type="dxa"/>
            <w:tcBorders>
              <w:left w:val="nil"/>
            </w:tcBorders>
          </w:tcPr>
          <w:p w:rsidR="00AA3033" w:rsidRPr="00A47ADC" w:rsidRDefault="00AA3033" w:rsidP="00A47ADC">
            <w:pPr>
              <w:jc w:val="both"/>
              <w:rPr>
                <w:sz w:val="20"/>
                <w:szCs w:val="20"/>
              </w:rPr>
            </w:pPr>
            <w:r w:rsidRPr="00A47ADC">
              <w:rPr>
                <w:sz w:val="20"/>
                <w:szCs w:val="20"/>
              </w:rPr>
              <w:t>Tasa de archivo (archivadas/tramitadas)</w:t>
            </w:r>
          </w:p>
        </w:tc>
        <w:tc>
          <w:tcPr>
            <w:tcW w:w="1559" w:type="dxa"/>
          </w:tcPr>
          <w:p w:rsidR="00AA3033" w:rsidRPr="00A47ADC" w:rsidRDefault="00AA3033" w:rsidP="00A47ADC">
            <w:pPr>
              <w:jc w:val="both"/>
              <w:rPr>
                <w:sz w:val="20"/>
                <w:szCs w:val="20"/>
              </w:rPr>
            </w:pPr>
            <w:r w:rsidRPr="00A47ADC">
              <w:rPr>
                <w:sz w:val="20"/>
                <w:szCs w:val="20"/>
              </w:rPr>
              <w:t>6,25</w:t>
            </w:r>
          </w:p>
        </w:tc>
      </w:tr>
    </w:tbl>
    <w:p w:rsidR="00A47ADC" w:rsidRDefault="00A47ADC" w:rsidP="00A47ADC">
      <w:pPr>
        <w:pStyle w:val="Cuerpodelboletn"/>
        <w:spacing w:before="120" w:after="120" w:line="312" w:lineRule="auto"/>
        <w:ind w:left="360"/>
        <w:rPr>
          <w:rStyle w:val="Ttulo2Car"/>
          <w:color w:val="00642D"/>
          <w:lang w:bidi="es-ES"/>
        </w:rPr>
      </w:pPr>
    </w:p>
    <w:p w:rsidR="00055B15" w:rsidRDefault="00055B15" w:rsidP="00A47ADC">
      <w:pPr>
        <w:pStyle w:val="Cuerpodelboletn"/>
        <w:spacing w:before="120" w:after="120" w:line="312" w:lineRule="auto"/>
        <w:ind w:left="360"/>
        <w:rPr>
          <w:rStyle w:val="Ttulo2Car"/>
          <w:color w:val="00642D"/>
          <w:lang w:bidi="es-ES"/>
        </w:rPr>
      </w:pPr>
      <w:r w:rsidRPr="00A41DD5">
        <w:rPr>
          <w:rStyle w:val="Ttulo2Car"/>
          <w:color w:val="00642D"/>
          <w:lang w:bidi="es-ES"/>
        </w:rPr>
        <w:t>II.</w:t>
      </w:r>
      <w:r w:rsidR="00C34BB5">
        <w:rPr>
          <w:rStyle w:val="Ttulo2Car"/>
          <w:color w:val="00642D"/>
          <w:lang w:bidi="es-ES"/>
        </w:rPr>
        <w:t>3</w:t>
      </w:r>
      <w:r>
        <w:rPr>
          <w:rStyle w:val="Ttulo2Car"/>
          <w:color w:val="00642D"/>
          <w:lang w:bidi="es-ES"/>
        </w:rPr>
        <w:t xml:space="preserve"> </w:t>
      </w:r>
      <w:r w:rsidRPr="00055B15">
        <w:rPr>
          <w:rStyle w:val="Ttulo2Car"/>
          <w:color w:val="00642D"/>
          <w:lang w:bidi="es-ES"/>
        </w:rPr>
        <w:t>Resoluciones emitidas en 2020</w:t>
      </w:r>
    </w:p>
    <w:p w:rsidR="00E857EA" w:rsidRDefault="00E857EA" w:rsidP="00A47ADC">
      <w:pPr>
        <w:ind w:left="426"/>
        <w:jc w:val="both"/>
        <w:rPr>
          <w:rStyle w:val="Ttulo2Car"/>
          <w:b w:val="0"/>
          <w:color w:val="auto"/>
          <w:sz w:val="22"/>
          <w:szCs w:val="22"/>
          <w:lang w:bidi="es-ES"/>
        </w:rPr>
      </w:pPr>
    </w:p>
    <w:p w:rsidR="00C14BCD" w:rsidRPr="009079EA" w:rsidRDefault="00C14BCD" w:rsidP="00A47ADC">
      <w:pPr>
        <w:ind w:left="426"/>
        <w:jc w:val="both"/>
        <w:rPr>
          <w:rStyle w:val="Ttulo2Car"/>
          <w:color w:val="00642D"/>
          <w:lang w:bidi="es-ES"/>
        </w:rPr>
      </w:pPr>
      <w:r>
        <w:rPr>
          <w:rStyle w:val="Ttulo2Car"/>
          <w:b w:val="0"/>
          <w:color w:val="auto"/>
          <w:sz w:val="22"/>
          <w:szCs w:val="22"/>
          <w:lang w:bidi="es-ES"/>
        </w:rPr>
        <w:t>Respecto de las resoluciones emitidas en 2020, 74 concedieron la información, de las cuales 72 dieron acceso total y 2 parcial. Ninguna solicitud fue denegada y cinco finalizaron por desistimiento (1) o porque fueron retiradas por los solicitantes</w:t>
      </w:r>
      <w:r w:rsidR="00E857EA">
        <w:rPr>
          <w:rStyle w:val="Ttulo2Car"/>
          <w:b w:val="0"/>
          <w:color w:val="auto"/>
          <w:sz w:val="22"/>
          <w:szCs w:val="22"/>
          <w:lang w:bidi="es-ES"/>
        </w:rPr>
        <w:t>, según indica el Senado</w:t>
      </w:r>
      <w:r>
        <w:rPr>
          <w:rStyle w:val="Ttulo2Car"/>
          <w:b w:val="0"/>
          <w:color w:val="auto"/>
          <w:sz w:val="22"/>
          <w:szCs w:val="22"/>
          <w:lang w:bidi="es-ES"/>
        </w:rPr>
        <w:t>.</w:t>
      </w:r>
      <w:r w:rsidR="00A47ADC">
        <w:rPr>
          <w:rStyle w:val="Ttulo2Car"/>
          <w:b w:val="0"/>
          <w:color w:val="auto"/>
          <w:sz w:val="22"/>
          <w:szCs w:val="22"/>
          <w:lang w:bidi="es-ES"/>
        </w:rPr>
        <w:t xml:space="preserve"> </w:t>
      </w:r>
      <w:r>
        <w:rPr>
          <w:rStyle w:val="Ttulo2Car"/>
          <w:b w:val="0"/>
          <w:color w:val="auto"/>
          <w:sz w:val="22"/>
          <w:szCs w:val="22"/>
          <w:lang w:bidi="es-ES"/>
        </w:rPr>
        <w:t xml:space="preserve"> </w:t>
      </w:r>
    </w:p>
    <w:p w:rsidR="00A974B0" w:rsidRDefault="00F46483" w:rsidP="00A47ADC">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El Senado publica en su web</w:t>
      </w:r>
      <w:r w:rsidR="00C14BCD" w:rsidRPr="009079EA">
        <w:rPr>
          <w:rStyle w:val="Ttulo2Car"/>
          <w:b w:val="0"/>
          <w:color w:val="auto"/>
          <w:sz w:val="22"/>
          <w:szCs w:val="22"/>
          <w:lang w:bidi="es-ES"/>
        </w:rPr>
        <w:t xml:space="preserve"> </w:t>
      </w:r>
      <w:r w:rsidR="00C14BCD">
        <w:rPr>
          <w:rStyle w:val="Ttulo2Car"/>
          <w:b w:val="0"/>
          <w:color w:val="auto"/>
          <w:sz w:val="22"/>
          <w:szCs w:val="22"/>
          <w:lang w:bidi="es-ES"/>
        </w:rPr>
        <w:t>información sobre las solicitudes denegadas por aplicación de los límites del artículo</w:t>
      </w:r>
      <w:r>
        <w:rPr>
          <w:rStyle w:val="Ttulo2Car"/>
          <w:b w:val="0"/>
          <w:color w:val="auto"/>
          <w:sz w:val="22"/>
          <w:szCs w:val="22"/>
          <w:lang w:bidi="es-ES"/>
        </w:rPr>
        <w:t xml:space="preserve"> 3 de su norma reguladora –</w:t>
      </w:r>
      <w:r w:rsidR="00C14BCD">
        <w:rPr>
          <w:rStyle w:val="Ttulo2Car"/>
          <w:b w:val="0"/>
          <w:color w:val="auto"/>
          <w:sz w:val="22"/>
          <w:szCs w:val="22"/>
          <w:lang w:bidi="es-ES"/>
        </w:rPr>
        <w:t xml:space="preserve"> </w:t>
      </w:r>
      <w:r>
        <w:rPr>
          <w:rStyle w:val="Ttulo2Car"/>
          <w:b w:val="0"/>
          <w:color w:val="auto"/>
          <w:sz w:val="22"/>
          <w:szCs w:val="22"/>
          <w:lang w:bidi="es-ES"/>
        </w:rPr>
        <w:t>que incluye los límites del artículo 14</w:t>
      </w:r>
      <w:r w:rsidR="00C14BCD">
        <w:rPr>
          <w:rStyle w:val="Ttulo2Car"/>
          <w:b w:val="0"/>
          <w:color w:val="auto"/>
          <w:sz w:val="22"/>
          <w:szCs w:val="22"/>
          <w:lang w:bidi="es-ES"/>
        </w:rPr>
        <w:t xml:space="preserve"> de la LTAIBG</w:t>
      </w:r>
      <w:r>
        <w:rPr>
          <w:rStyle w:val="Ttulo2Car"/>
          <w:b w:val="0"/>
          <w:color w:val="auto"/>
          <w:sz w:val="22"/>
          <w:szCs w:val="22"/>
          <w:lang w:bidi="es-ES"/>
        </w:rPr>
        <w:t xml:space="preserve"> – y también las que resuelven los recursos potestativos interpuestos ante la Mesa del Senado.</w:t>
      </w:r>
      <w:r w:rsidR="00C14BCD">
        <w:rPr>
          <w:rStyle w:val="Ttulo2Car"/>
          <w:b w:val="0"/>
          <w:color w:val="auto"/>
          <w:sz w:val="22"/>
          <w:szCs w:val="22"/>
          <w:lang w:bidi="es-ES"/>
        </w:rPr>
        <w:t xml:space="preserve"> </w:t>
      </w:r>
    </w:p>
    <w:p w:rsidR="00E857EA" w:rsidRDefault="00E857EA" w:rsidP="00A47ADC">
      <w:pPr>
        <w:pStyle w:val="Cuerpodelboletn"/>
        <w:spacing w:before="120" w:after="120" w:line="276" w:lineRule="auto"/>
        <w:ind w:left="426"/>
        <w:rPr>
          <w:rStyle w:val="Ttulo2Car"/>
          <w:b w:val="0"/>
          <w:color w:val="auto"/>
          <w:sz w:val="22"/>
          <w:szCs w:val="22"/>
          <w:lang w:bidi="es-ES"/>
        </w:rPr>
      </w:pPr>
    </w:p>
    <w:p w:rsidR="00E857EA" w:rsidRDefault="00E857EA" w:rsidP="00A47ADC">
      <w:pPr>
        <w:pStyle w:val="Cuerpodelboletn"/>
        <w:spacing w:before="120" w:after="120" w:line="276" w:lineRule="auto"/>
        <w:ind w:left="426"/>
        <w:rPr>
          <w:rStyle w:val="Ttulo2Car"/>
          <w:b w:val="0"/>
          <w:color w:val="auto"/>
          <w:sz w:val="22"/>
          <w:szCs w:val="22"/>
          <w:lang w:bidi="es-ES"/>
        </w:rPr>
      </w:pPr>
    </w:p>
    <w:p w:rsidR="00E857EA" w:rsidRDefault="00E857EA" w:rsidP="00A47ADC">
      <w:pPr>
        <w:pStyle w:val="Cuerpodelboletn"/>
        <w:spacing w:before="120" w:after="120" w:line="276" w:lineRule="auto"/>
        <w:ind w:left="426"/>
      </w:pPr>
    </w:p>
    <w:p w:rsidR="00F7263F" w:rsidRDefault="00F7263F" w:rsidP="00A47ADC">
      <w:pPr>
        <w:pStyle w:val="Cuerpodelboletn"/>
        <w:spacing w:before="120" w:after="120" w:line="312" w:lineRule="auto"/>
        <w:ind w:left="360"/>
        <w:rPr>
          <w:rStyle w:val="Ttulo2Car"/>
          <w:color w:val="00642D"/>
          <w:lang w:bidi="es-ES"/>
        </w:rPr>
      </w:pPr>
      <w:r w:rsidRPr="00A41DD5">
        <w:rPr>
          <w:rStyle w:val="Ttulo2Car"/>
          <w:color w:val="00642D"/>
          <w:lang w:bidi="es-ES"/>
        </w:rPr>
        <w:lastRenderedPageBreak/>
        <w:t>II.</w:t>
      </w:r>
      <w:r w:rsidR="00C34BB5">
        <w:rPr>
          <w:rStyle w:val="Ttulo2Car"/>
          <w:color w:val="00642D"/>
          <w:lang w:bidi="es-ES"/>
        </w:rPr>
        <w:t>4</w:t>
      </w:r>
      <w:r>
        <w:rPr>
          <w:rStyle w:val="Ttulo2Car"/>
          <w:color w:val="00642D"/>
          <w:lang w:bidi="es-ES"/>
        </w:rPr>
        <w:t xml:space="preserve"> Indicadores de resolución en 2020 </w:t>
      </w:r>
    </w:p>
    <w:p w:rsidR="00F46483" w:rsidRDefault="00F46483" w:rsidP="00A47ADC">
      <w:pPr>
        <w:ind w:left="426"/>
        <w:jc w:val="both"/>
      </w:pPr>
      <w:r>
        <w:t>El Senado emite resoluciones expresas para la totalidad de las solicitudes admitidas. Ninguna solicitud ha sido desestimada por silencio administrativo.</w:t>
      </w:r>
    </w:p>
    <w:p w:rsidR="00F46483" w:rsidRDefault="00F46483" w:rsidP="00A47ADC">
      <w:pPr>
        <w:ind w:left="426"/>
        <w:jc w:val="both"/>
      </w:pPr>
      <w:r>
        <w:t xml:space="preserve">Un 100% de las </w:t>
      </w:r>
      <w:r w:rsidR="00AD6EC5">
        <w:t>r</w:t>
      </w:r>
      <w:r>
        <w:t>esoluciones concede el acceso a la información. De ellas, el 97,30% concede acceso total y el 2,70% acceso parcial. El 6,76% adicional determina la finalización del procedimiento por desistimiento y otras causas.</w:t>
      </w:r>
    </w:p>
    <w:p w:rsidR="00F46483" w:rsidRPr="009079EA" w:rsidRDefault="00F46483" w:rsidP="00F46483">
      <w:pPr>
        <w:pStyle w:val="Epgrafe"/>
        <w:keepNext/>
        <w:ind w:left="426"/>
        <w:rPr>
          <w:rStyle w:val="Ttulo2Car"/>
          <w:b/>
          <w:color w:val="00642D"/>
          <w:sz w:val="22"/>
          <w:szCs w:val="22"/>
          <w:lang w:bidi="es-ES"/>
        </w:rPr>
      </w:pPr>
      <w:r w:rsidRPr="009079EA">
        <w:rPr>
          <w:rStyle w:val="Ttulo2Car"/>
          <w:b/>
          <w:color w:val="00642D"/>
          <w:sz w:val="22"/>
          <w:szCs w:val="22"/>
          <w:lang w:bidi="es-ES"/>
        </w:rPr>
        <w:t xml:space="preserve">Tabla </w:t>
      </w:r>
      <w:r w:rsidRPr="009079EA">
        <w:rPr>
          <w:rStyle w:val="Ttulo2Car"/>
          <w:b/>
          <w:color w:val="00642D"/>
          <w:sz w:val="22"/>
          <w:szCs w:val="22"/>
          <w:lang w:bidi="es-ES"/>
        </w:rPr>
        <w:fldChar w:fldCharType="begin"/>
      </w:r>
      <w:r w:rsidRPr="009079EA">
        <w:rPr>
          <w:rStyle w:val="Ttulo2Car"/>
          <w:b/>
          <w:color w:val="00642D"/>
          <w:sz w:val="22"/>
          <w:szCs w:val="22"/>
          <w:lang w:bidi="es-ES"/>
        </w:rPr>
        <w:instrText xml:space="preserve"> SEQ Tabla \* ARABIC </w:instrText>
      </w:r>
      <w:r w:rsidRPr="009079EA">
        <w:rPr>
          <w:rStyle w:val="Ttulo2Car"/>
          <w:b/>
          <w:color w:val="00642D"/>
          <w:sz w:val="22"/>
          <w:szCs w:val="22"/>
          <w:lang w:bidi="es-ES"/>
        </w:rPr>
        <w:fldChar w:fldCharType="separate"/>
      </w:r>
      <w:r>
        <w:rPr>
          <w:rStyle w:val="Ttulo2Car"/>
          <w:b/>
          <w:color w:val="00642D"/>
          <w:sz w:val="22"/>
          <w:szCs w:val="22"/>
          <w:lang w:bidi="es-ES"/>
        </w:rPr>
        <w:t>2</w:t>
      </w:r>
      <w:r w:rsidRPr="009079EA">
        <w:rPr>
          <w:rStyle w:val="Ttulo2Car"/>
          <w:b/>
          <w:color w:val="00642D"/>
          <w:sz w:val="22"/>
          <w:szCs w:val="22"/>
          <w:lang w:bidi="es-ES"/>
        </w:rPr>
        <w:fldChar w:fldCharType="end"/>
      </w:r>
      <w:r w:rsidRPr="009079EA">
        <w:rPr>
          <w:rStyle w:val="Ttulo2Car"/>
          <w:b/>
          <w:color w:val="00642D"/>
          <w:sz w:val="22"/>
          <w:szCs w:val="22"/>
          <w:lang w:bidi="es-ES"/>
        </w:rPr>
        <w:t>: Indicadores de Resolución</w:t>
      </w:r>
      <w:r w:rsidR="00A47ADC">
        <w:rPr>
          <w:rStyle w:val="Ttulo2Car"/>
          <w:b/>
          <w:color w:val="00642D"/>
          <w:sz w:val="22"/>
          <w:szCs w:val="22"/>
          <w:lang w:bidi="es-ES"/>
        </w:rPr>
        <w:t xml:space="preserve"> </w:t>
      </w:r>
      <w:r w:rsidRPr="009079EA">
        <w:rPr>
          <w:rStyle w:val="Ttulo2Car"/>
          <w:b/>
          <w:color w:val="00642D"/>
          <w:sz w:val="22"/>
          <w:szCs w:val="22"/>
          <w:lang w:bidi="es-ES"/>
        </w:rPr>
        <w:t>2020</w:t>
      </w:r>
    </w:p>
    <w:tbl>
      <w:tblPr>
        <w:tblStyle w:val="Tablaconcuadrcula"/>
        <w:tblW w:w="0" w:type="auto"/>
        <w:tblInd w:w="534" w:type="dxa"/>
        <w:tblLook w:val="04A0" w:firstRow="1" w:lastRow="0" w:firstColumn="1" w:lastColumn="0" w:noHBand="0" w:noVBand="1"/>
      </w:tblPr>
      <w:tblGrid>
        <w:gridCol w:w="1299"/>
        <w:gridCol w:w="6322"/>
        <w:gridCol w:w="1559"/>
      </w:tblGrid>
      <w:tr w:rsidR="00AA3033" w:rsidRPr="00A47ADC" w:rsidTr="00F46483">
        <w:tc>
          <w:tcPr>
            <w:tcW w:w="1299" w:type="dxa"/>
            <w:vMerge w:val="restart"/>
            <w:tcBorders>
              <w:top w:val="nil"/>
              <w:right w:val="nil"/>
            </w:tcBorders>
            <w:shd w:val="clear" w:color="auto" w:fill="4D7F52"/>
            <w:textDirection w:val="btLr"/>
          </w:tcPr>
          <w:p w:rsidR="00AA3033" w:rsidRPr="00A47ADC" w:rsidRDefault="00AA3033" w:rsidP="00055B15">
            <w:pPr>
              <w:ind w:left="113" w:right="113"/>
              <w:jc w:val="center"/>
              <w:rPr>
                <w:color w:val="FFFFFF" w:themeColor="background1"/>
              </w:rPr>
            </w:pPr>
            <w:r w:rsidRPr="00A47ADC">
              <w:rPr>
                <w:color w:val="FFFFFF" w:themeColor="background1"/>
              </w:rPr>
              <w:t>Indicadores de resolución</w:t>
            </w:r>
          </w:p>
        </w:tc>
        <w:tc>
          <w:tcPr>
            <w:tcW w:w="6322" w:type="dxa"/>
            <w:tcBorders>
              <w:left w:val="nil"/>
            </w:tcBorders>
          </w:tcPr>
          <w:p w:rsidR="00AA3033" w:rsidRPr="00A47ADC" w:rsidRDefault="00AA3033" w:rsidP="00D00B77">
            <w:pPr>
              <w:rPr>
                <w:sz w:val="20"/>
                <w:szCs w:val="20"/>
              </w:rPr>
            </w:pPr>
            <w:r w:rsidRPr="00A47ADC">
              <w:rPr>
                <w:sz w:val="20"/>
                <w:szCs w:val="20"/>
              </w:rPr>
              <w:t xml:space="preserve">Tasa de resolución (resoluciones expresas /solicitudes </w:t>
            </w:r>
            <w:r w:rsidR="00D00B77" w:rsidRPr="00A47ADC">
              <w:rPr>
                <w:sz w:val="20"/>
                <w:szCs w:val="20"/>
              </w:rPr>
              <w:t>admitidas</w:t>
            </w:r>
            <w:r w:rsidRPr="00A47ADC">
              <w:rPr>
                <w:sz w:val="20"/>
                <w:szCs w:val="20"/>
              </w:rPr>
              <w:t>)</w:t>
            </w:r>
          </w:p>
        </w:tc>
        <w:tc>
          <w:tcPr>
            <w:tcW w:w="1559" w:type="dxa"/>
          </w:tcPr>
          <w:p w:rsidR="00AA3033" w:rsidRPr="00A47ADC" w:rsidRDefault="00F46483" w:rsidP="00AA3033">
            <w:pPr>
              <w:jc w:val="center"/>
              <w:rPr>
                <w:sz w:val="20"/>
                <w:szCs w:val="20"/>
              </w:rPr>
            </w:pPr>
            <w:r w:rsidRPr="00A47ADC">
              <w:rPr>
                <w:sz w:val="20"/>
                <w:szCs w:val="20"/>
              </w:rPr>
              <w:t>100,00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FD5B21">
            <w:pPr>
              <w:rPr>
                <w:sz w:val="20"/>
                <w:szCs w:val="20"/>
              </w:rPr>
            </w:pPr>
            <w:r w:rsidRPr="00A47ADC">
              <w:rPr>
                <w:sz w:val="20"/>
                <w:szCs w:val="20"/>
              </w:rPr>
              <w:t>Porcentaje de resoluciones que conceden el acceso</w:t>
            </w:r>
          </w:p>
        </w:tc>
        <w:tc>
          <w:tcPr>
            <w:tcW w:w="1559" w:type="dxa"/>
          </w:tcPr>
          <w:p w:rsidR="00AA3033" w:rsidRPr="00A47ADC" w:rsidRDefault="00AA3033" w:rsidP="00AA3033">
            <w:pPr>
              <w:jc w:val="center"/>
              <w:rPr>
                <w:sz w:val="20"/>
                <w:szCs w:val="20"/>
              </w:rPr>
            </w:pPr>
            <w:r w:rsidRPr="00A47ADC">
              <w:rPr>
                <w:sz w:val="20"/>
                <w:szCs w:val="20"/>
              </w:rPr>
              <w:t>100,00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055B15">
            <w:pPr>
              <w:rPr>
                <w:sz w:val="20"/>
                <w:szCs w:val="20"/>
              </w:rPr>
            </w:pPr>
            <w:r w:rsidRPr="00A47ADC">
              <w:rPr>
                <w:sz w:val="20"/>
                <w:szCs w:val="20"/>
              </w:rPr>
              <w:t>Porcentaje de resoluciones que conceden acceso parcial</w:t>
            </w:r>
          </w:p>
        </w:tc>
        <w:tc>
          <w:tcPr>
            <w:tcW w:w="1559" w:type="dxa"/>
          </w:tcPr>
          <w:p w:rsidR="00AA3033" w:rsidRPr="00A47ADC" w:rsidRDefault="00AA3033" w:rsidP="00AA3033">
            <w:pPr>
              <w:jc w:val="center"/>
              <w:rPr>
                <w:sz w:val="20"/>
                <w:szCs w:val="20"/>
              </w:rPr>
            </w:pPr>
            <w:r w:rsidRPr="00A47ADC">
              <w:rPr>
                <w:sz w:val="20"/>
                <w:szCs w:val="20"/>
              </w:rPr>
              <w:t>2,70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055B15">
            <w:pPr>
              <w:rPr>
                <w:sz w:val="20"/>
                <w:szCs w:val="20"/>
              </w:rPr>
            </w:pPr>
            <w:r w:rsidRPr="00A47ADC">
              <w:rPr>
                <w:sz w:val="20"/>
                <w:szCs w:val="20"/>
              </w:rPr>
              <w:t>Porcentaje de resoluciones que conceden acceso total</w:t>
            </w:r>
          </w:p>
        </w:tc>
        <w:tc>
          <w:tcPr>
            <w:tcW w:w="1559" w:type="dxa"/>
          </w:tcPr>
          <w:p w:rsidR="00AA3033" w:rsidRPr="00A47ADC" w:rsidRDefault="00AA3033" w:rsidP="00AA3033">
            <w:pPr>
              <w:jc w:val="center"/>
              <w:rPr>
                <w:sz w:val="20"/>
                <w:szCs w:val="20"/>
              </w:rPr>
            </w:pPr>
            <w:r w:rsidRPr="00A47ADC">
              <w:rPr>
                <w:sz w:val="20"/>
                <w:szCs w:val="20"/>
              </w:rPr>
              <w:t>97,30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055B15">
            <w:pPr>
              <w:rPr>
                <w:sz w:val="20"/>
                <w:szCs w:val="20"/>
              </w:rPr>
            </w:pPr>
            <w:r w:rsidRPr="00A47ADC">
              <w:rPr>
                <w:sz w:val="20"/>
                <w:szCs w:val="20"/>
              </w:rPr>
              <w:t>Porcentaje de resoluciones que deniegan el acceso</w:t>
            </w:r>
          </w:p>
        </w:tc>
        <w:tc>
          <w:tcPr>
            <w:tcW w:w="1559" w:type="dxa"/>
          </w:tcPr>
          <w:p w:rsidR="00AA3033" w:rsidRPr="00A47ADC" w:rsidRDefault="00AA3033" w:rsidP="00AA3033">
            <w:pPr>
              <w:jc w:val="center"/>
              <w:rPr>
                <w:sz w:val="20"/>
                <w:szCs w:val="20"/>
              </w:rPr>
            </w:pPr>
            <w:r w:rsidRPr="00A47ADC">
              <w:rPr>
                <w:sz w:val="20"/>
                <w:szCs w:val="20"/>
              </w:rPr>
              <w:t>,00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055B15">
            <w:pPr>
              <w:rPr>
                <w:sz w:val="20"/>
                <w:szCs w:val="20"/>
              </w:rPr>
            </w:pPr>
            <w:r w:rsidRPr="00A47ADC">
              <w:rPr>
                <w:sz w:val="20"/>
                <w:szCs w:val="20"/>
              </w:rPr>
              <w:t>Porcentaje de resoluciones que finalizan por silencio administrativo</w:t>
            </w:r>
          </w:p>
        </w:tc>
        <w:tc>
          <w:tcPr>
            <w:tcW w:w="1559" w:type="dxa"/>
          </w:tcPr>
          <w:p w:rsidR="00AA3033" w:rsidRPr="00A47ADC" w:rsidRDefault="00AA3033" w:rsidP="00AA3033">
            <w:pPr>
              <w:jc w:val="center"/>
              <w:rPr>
                <w:sz w:val="20"/>
                <w:szCs w:val="20"/>
              </w:rPr>
            </w:pPr>
            <w:r w:rsidRPr="00A47ADC">
              <w:rPr>
                <w:sz w:val="20"/>
                <w:szCs w:val="20"/>
              </w:rPr>
              <w:t>,00</w:t>
            </w:r>
          </w:p>
        </w:tc>
      </w:tr>
      <w:tr w:rsidR="00AA3033" w:rsidRPr="00A47ADC" w:rsidTr="00F46483">
        <w:tc>
          <w:tcPr>
            <w:tcW w:w="1299" w:type="dxa"/>
            <w:vMerge/>
            <w:tcBorders>
              <w:right w:val="nil"/>
            </w:tcBorders>
            <w:shd w:val="clear" w:color="auto" w:fill="4D7F52"/>
            <w:textDirection w:val="btLr"/>
          </w:tcPr>
          <w:p w:rsidR="00AA3033" w:rsidRPr="00A47ADC" w:rsidRDefault="00AA3033" w:rsidP="00055B15">
            <w:pPr>
              <w:ind w:left="113" w:right="113"/>
              <w:jc w:val="center"/>
              <w:rPr>
                <w:color w:val="FFFFFF" w:themeColor="background1"/>
              </w:rPr>
            </w:pPr>
          </w:p>
        </w:tc>
        <w:tc>
          <w:tcPr>
            <w:tcW w:w="6322" w:type="dxa"/>
            <w:tcBorders>
              <w:left w:val="nil"/>
            </w:tcBorders>
          </w:tcPr>
          <w:p w:rsidR="00AA3033" w:rsidRPr="00A47ADC" w:rsidRDefault="00AA3033" w:rsidP="00F7263F">
            <w:pPr>
              <w:rPr>
                <w:sz w:val="20"/>
                <w:szCs w:val="20"/>
              </w:rPr>
            </w:pPr>
            <w:r w:rsidRPr="00A47ADC">
              <w:rPr>
                <w:sz w:val="20"/>
                <w:szCs w:val="20"/>
              </w:rPr>
              <w:t>Porcentaje de solicitudes finalizadas por desistimiento y otras causas</w:t>
            </w:r>
          </w:p>
        </w:tc>
        <w:tc>
          <w:tcPr>
            <w:tcW w:w="1559" w:type="dxa"/>
          </w:tcPr>
          <w:p w:rsidR="00AA3033" w:rsidRPr="00A47ADC" w:rsidRDefault="00AA3033" w:rsidP="00AA3033">
            <w:pPr>
              <w:jc w:val="center"/>
              <w:rPr>
                <w:sz w:val="20"/>
                <w:szCs w:val="20"/>
              </w:rPr>
            </w:pPr>
            <w:r w:rsidRPr="00A47ADC">
              <w:rPr>
                <w:sz w:val="20"/>
                <w:szCs w:val="20"/>
              </w:rPr>
              <w:t>6,76</w:t>
            </w:r>
          </w:p>
        </w:tc>
      </w:tr>
    </w:tbl>
    <w:p w:rsidR="00055B15" w:rsidRDefault="00055B15" w:rsidP="00B812AB"/>
    <w:p w:rsidR="00176A94" w:rsidRDefault="00176A94" w:rsidP="00B812AB"/>
    <w:p w:rsidR="00B812AB" w:rsidRPr="00E34195" w:rsidRDefault="00BD787A"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El Senado 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 y al que se accede a través del apartado</w:t>
      </w:r>
      <w:r w:rsidR="00A47ADC">
        <w:rPr>
          <w:rStyle w:val="Ttulo2Car"/>
          <w:b w:val="0"/>
          <w:color w:val="auto"/>
          <w:sz w:val="22"/>
          <w:szCs w:val="22"/>
          <w:lang w:bidi="es-ES"/>
        </w:rPr>
        <w:t xml:space="preserve"> </w:t>
      </w:r>
      <w:r w:rsidR="00C562D3">
        <w:rPr>
          <w:rStyle w:val="Ttulo2Car"/>
          <w:b w:val="0"/>
          <w:color w:val="auto"/>
          <w:sz w:val="22"/>
          <w:szCs w:val="22"/>
          <w:lang w:bidi="es-ES"/>
        </w:rPr>
        <w:t>“Atención al ciudadano”</w:t>
      </w: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En este espacio se hace referencia expresa a</w:t>
      </w:r>
      <w:r w:rsidRPr="00A26009">
        <w:rPr>
          <w:rStyle w:val="Ttulo2Car"/>
          <w:b w:val="0"/>
          <w:color w:val="auto"/>
          <w:sz w:val="22"/>
          <w:szCs w:val="22"/>
          <w:lang w:bidi="es-ES"/>
        </w:rPr>
        <w:t xml:space="preserve"> la posibilidad </w:t>
      </w:r>
      <w:r>
        <w:rPr>
          <w:rStyle w:val="Ttulo2Car"/>
          <w:b w:val="0"/>
          <w:color w:val="auto"/>
          <w:sz w:val="22"/>
          <w:szCs w:val="22"/>
          <w:lang w:bidi="es-ES"/>
        </w:rPr>
        <w:t xml:space="preserve">que tiene la ciudadanía </w:t>
      </w:r>
      <w:r w:rsidRPr="00A26009">
        <w:rPr>
          <w:rStyle w:val="Ttulo2Car"/>
          <w:b w:val="0"/>
          <w:color w:val="auto"/>
          <w:sz w:val="22"/>
          <w:szCs w:val="22"/>
          <w:lang w:bidi="es-ES"/>
        </w:rPr>
        <w:t>de solicitar información pública de acuerdo con la Ley de Transparencia</w:t>
      </w:r>
      <w:r>
        <w:rPr>
          <w:rStyle w:val="Ttulo2Car"/>
          <w:b w:val="0"/>
          <w:color w:val="auto"/>
          <w:sz w:val="22"/>
          <w:szCs w:val="22"/>
          <w:lang w:bidi="es-ES"/>
        </w:rPr>
        <w:t>.</w:t>
      </w:r>
    </w:p>
    <w:p w:rsidR="00F4648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También se informa sobre los medios disponibles para la presentación de las solicitudes de acceso: </w:t>
      </w:r>
      <w:r w:rsidR="00C562D3">
        <w:rPr>
          <w:rStyle w:val="Ttulo2Car"/>
          <w:b w:val="0"/>
          <w:color w:val="auto"/>
          <w:sz w:val="22"/>
          <w:szCs w:val="22"/>
          <w:lang w:bidi="es-ES"/>
        </w:rPr>
        <w:t xml:space="preserve">web, </w:t>
      </w:r>
      <w:r w:rsidRPr="00DB3F10">
        <w:rPr>
          <w:rStyle w:val="Ttulo2Car"/>
          <w:b w:val="0"/>
          <w:color w:val="auto"/>
          <w:sz w:val="22"/>
          <w:szCs w:val="22"/>
          <w:lang w:bidi="es-ES"/>
        </w:rPr>
        <w:t xml:space="preserve">correo electrónico, </w:t>
      </w:r>
      <w:r w:rsidR="00C562D3">
        <w:rPr>
          <w:rStyle w:val="Ttulo2Car"/>
          <w:b w:val="0"/>
          <w:color w:val="auto"/>
          <w:sz w:val="22"/>
          <w:szCs w:val="22"/>
          <w:lang w:bidi="es-ES"/>
        </w:rPr>
        <w:t>correo postal y teléfono.</w:t>
      </w:r>
    </w:p>
    <w:p w:rsidR="00F46483" w:rsidRPr="00C562D3"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Igualmente se informa sobre los requisitos establecidos para la presentación de las solicitudes: </w:t>
      </w:r>
      <w:r w:rsidR="00C562D3" w:rsidRPr="00C562D3">
        <w:rPr>
          <w:rStyle w:val="Ttulo2Car"/>
          <w:b w:val="0"/>
          <w:color w:val="auto"/>
          <w:sz w:val="22"/>
          <w:szCs w:val="22"/>
          <w:lang w:bidi="es-ES"/>
        </w:rPr>
        <w:t>datos personales y de contacto, si se solicita que se notifique por medios electrónicos</w:t>
      </w:r>
      <w:r w:rsidRPr="00C562D3">
        <w:rPr>
          <w:rStyle w:val="Ttulo2Car"/>
          <w:b w:val="0"/>
          <w:color w:val="auto"/>
          <w:sz w:val="22"/>
          <w:szCs w:val="22"/>
          <w:lang w:bidi="es-ES"/>
        </w:rPr>
        <w:t>.</w:t>
      </w:r>
    </w:p>
    <w:p w:rsidR="00F46483" w:rsidRDefault="00F46483" w:rsidP="00A47ADC">
      <w:pPr>
        <w:spacing w:before="120" w:after="120" w:line="312" w:lineRule="auto"/>
        <w:ind w:left="425"/>
        <w:jc w:val="both"/>
      </w:pPr>
      <w:r>
        <w:rPr>
          <w:rStyle w:val="Ttulo2Car"/>
          <w:b w:val="0"/>
          <w:color w:val="auto"/>
          <w:sz w:val="22"/>
          <w:szCs w:val="22"/>
          <w:lang w:bidi="es-ES"/>
        </w:rPr>
        <w:t xml:space="preserve">El </w:t>
      </w:r>
      <w:r w:rsidR="00C562D3">
        <w:rPr>
          <w:rStyle w:val="Ttulo2Car"/>
          <w:b w:val="0"/>
          <w:color w:val="auto"/>
          <w:sz w:val="22"/>
          <w:szCs w:val="22"/>
          <w:lang w:bidi="es-ES"/>
        </w:rPr>
        <w:t>Senado</w:t>
      </w:r>
      <w:r>
        <w:rPr>
          <w:rStyle w:val="Ttulo2Car"/>
          <w:b w:val="0"/>
          <w:color w:val="auto"/>
          <w:sz w:val="22"/>
          <w:szCs w:val="22"/>
          <w:lang w:bidi="es-ES"/>
        </w:rPr>
        <w:t xml:space="preserve"> además, proporciona un formulario para la presentación de las solicitudes, </w:t>
      </w:r>
      <w:r w:rsidR="00C562D3">
        <w:rPr>
          <w:rStyle w:val="Ttulo2Car"/>
          <w:b w:val="0"/>
          <w:color w:val="auto"/>
          <w:sz w:val="22"/>
          <w:szCs w:val="22"/>
          <w:lang w:bidi="es-ES"/>
        </w:rPr>
        <w:t>así como instrucciones</w:t>
      </w:r>
      <w:r w:rsidRPr="00B33F33">
        <w:rPr>
          <w:rStyle w:val="Ttulo2Car"/>
          <w:b w:val="0"/>
          <w:color w:val="auto"/>
          <w:sz w:val="22"/>
          <w:szCs w:val="22"/>
          <w:lang w:bidi="es-ES"/>
        </w:rPr>
        <w:t xml:space="preserve"> sobre la manera de pr</w:t>
      </w:r>
      <w:r>
        <w:rPr>
          <w:rStyle w:val="Ttulo2Car"/>
          <w:b w:val="0"/>
          <w:color w:val="auto"/>
          <w:sz w:val="22"/>
          <w:szCs w:val="22"/>
          <w:lang w:bidi="es-ES"/>
        </w:rPr>
        <w:t>oceder para ejercer el derecho</w:t>
      </w:r>
      <w:r w:rsidR="00C562D3">
        <w:rPr>
          <w:rStyle w:val="Ttulo2Car"/>
          <w:b w:val="0"/>
          <w:color w:val="auto"/>
          <w:sz w:val="22"/>
          <w:szCs w:val="22"/>
          <w:lang w:bidi="es-ES"/>
        </w:rPr>
        <w:t xml:space="preserve"> y se indica el plazo de resolución. También se informa de las posibilidades de recurso</w:t>
      </w:r>
      <w:r>
        <w:rPr>
          <w:rStyle w:val="Ttulo2Car"/>
          <w:b w:val="0"/>
          <w:color w:val="auto"/>
          <w:sz w:val="22"/>
          <w:szCs w:val="22"/>
          <w:lang w:bidi="es-ES"/>
        </w:rPr>
        <w:t>.</w:t>
      </w:r>
      <w:r w:rsidR="00E857EA">
        <w:rPr>
          <w:rStyle w:val="Ttulo2Car"/>
          <w:b w:val="0"/>
          <w:color w:val="auto"/>
          <w:sz w:val="22"/>
          <w:szCs w:val="22"/>
          <w:lang w:bidi="es-ES"/>
        </w:rPr>
        <w:t xml:space="preserve"> También se ha habilitado un enlace para la consulta del estado de tramitación de las solicitudes.</w:t>
      </w:r>
    </w:p>
    <w:p w:rsidR="00561402" w:rsidRDefault="00561402">
      <w:pPr>
        <w:rPr>
          <w:b/>
          <w:color w:val="00642D"/>
          <w:sz w:val="30"/>
          <w:szCs w:val="30"/>
        </w:rPr>
      </w:pPr>
    </w:p>
    <w:p w:rsidR="00E857EA" w:rsidRPr="00BB6799" w:rsidRDefault="00E857EA">
      <w:pPr>
        <w:rPr>
          <w:b/>
          <w:color w:val="00642D"/>
          <w:sz w:val="30"/>
          <w:szCs w:val="30"/>
        </w:rPr>
      </w:pPr>
    </w:p>
    <w:p w:rsidR="00B40246" w:rsidRPr="00E34195" w:rsidRDefault="00BD787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Default="00F46483" w:rsidP="00F46483">
      <w:pPr>
        <w:pStyle w:val="Cuerpodelboletn"/>
        <w:spacing w:before="120" w:after="120" w:line="312" w:lineRule="auto"/>
        <w:ind w:left="426"/>
        <w:rPr>
          <w:color w:val="auto"/>
          <w:lang w:bidi="es-ES"/>
        </w:rPr>
      </w:pPr>
      <w:r w:rsidRPr="001276B2">
        <w:rPr>
          <w:rStyle w:val="Ttulo2Car"/>
          <w:sz w:val="22"/>
          <w:szCs w:val="22"/>
        </w:rPr>
        <w:t>Inicio del procedimiento</w:t>
      </w:r>
      <w:r>
        <w:rPr>
          <w:color w:val="auto"/>
          <w:lang w:bidi="es-ES"/>
        </w:rPr>
        <w:t xml:space="preserve">. </w:t>
      </w:r>
    </w:p>
    <w:p w:rsidR="00E857EA" w:rsidRDefault="00E857EA" w:rsidP="00A47ADC">
      <w:pPr>
        <w:pStyle w:val="Cuerpodelboletn"/>
        <w:spacing w:before="120" w:after="120" w:line="312" w:lineRule="auto"/>
        <w:ind w:left="425"/>
        <w:rPr>
          <w:color w:val="auto"/>
          <w:lang w:bidi="es-ES"/>
        </w:rPr>
      </w:pPr>
    </w:p>
    <w:p w:rsidR="00F46483" w:rsidRPr="00C562D3" w:rsidRDefault="00F46483" w:rsidP="00A47ADC">
      <w:pPr>
        <w:pStyle w:val="Cuerpodelboletn"/>
        <w:spacing w:before="120" w:after="120" w:line="312" w:lineRule="auto"/>
        <w:ind w:left="425"/>
        <w:rPr>
          <w:color w:val="auto"/>
          <w:lang w:bidi="es-ES"/>
        </w:rPr>
      </w:pPr>
      <w:r w:rsidRPr="00C562D3">
        <w:rPr>
          <w:color w:val="auto"/>
          <w:lang w:bidi="es-ES"/>
        </w:rPr>
        <w:t xml:space="preserve">Con fecha 18/02/2021 se presentó </w:t>
      </w:r>
      <w:r w:rsidR="00E857EA">
        <w:rPr>
          <w:color w:val="auto"/>
          <w:lang w:bidi="es-ES"/>
        </w:rPr>
        <w:t xml:space="preserve">a través del formulario disponible en la web </w:t>
      </w:r>
      <w:r w:rsidRPr="00C562D3">
        <w:rPr>
          <w:color w:val="auto"/>
          <w:lang w:bidi="es-ES"/>
        </w:rPr>
        <w:t xml:space="preserve">una solicitud de acceso a información pública dirigida </w:t>
      </w:r>
      <w:r w:rsidR="00C562D3" w:rsidRPr="00C562D3">
        <w:rPr>
          <w:color w:val="auto"/>
          <w:lang w:bidi="es-ES"/>
        </w:rPr>
        <w:t>al Senado</w:t>
      </w:r>
      <w:r w:rsidRPr="00C562D3">
        <w:rPr>
          <w:color w:val="auto"/>
          <w:lang w:bidi="es-ES"/>
        </w:rPr>
        <w:t xml:space="preserve">. La información solicitada presentaba una incidencia – no indicaba el periodo de tiempo al que se refería la información demandada – y se indicaba en la solicitud que la información se entregase en un formato que permitiese su tratamiento automatizado. </w:t>
      </w:r>
    </w:p>
    <w:p w:rsidR="00F46483" w:rsidRPr="00C562D3" w:rsidRDefault="00E857EA" w:rsidP="00A47ADC">
      <w:pPr>
        <w:pStyle w:val="Cuerpodelboletn"/>
        <w:spacing w:before="120" w:after="120" w:line="312" w:lineRule="auto"/>
        <w:ind w:left="425"/>
        <w:rPr>
          <w:color w:val="auto"/>
          <w:lang w:bidi="es-ES"/>
        </w:rPr>
      </w:pPr>
      <w:r>
        <w:rPr>
          <w:color w:val="auto"/>
          <w:lang w:bidi="es-ES"/>
        </w:rPr>
        <w:t xml:space="preserve">Con esta misma fecha </w:t>
      </w:r>
      <w:r w:rsidR="00F46483" w:rsidRPr="00C562D3">
        <w:rPr>
          <w:color w:val="auto"/>
          <w:lang w:bidi="es-ES"/>
        </w:rPr>
        <w:t>se recibió un acuse de recibo o comunicación al solicitante de la recepción</w:t>
      </w:r>
      <w:r>
        <w:rPr>
          <w:color w:val="auto"/>
          <w:lang w:bidi="es-ES"/>
        </w:rPr>
        <w:t xml:space="preserve"> de la solicitud de información que incluye el nº de expediente, una transcripción de la solicitud y de los datos de identificación y contacto del solicitante y un enlace al canal de consulta del estado de tramitación.</w:t>
      </w:r>
      <w:r w:rsidR="00F46483" w:rsidRPr="00C562D3">
        <w:rPr>
          <w:color w:val="auto"/>
          <w:lang w:bidi="es-ES"/>
        </w:rPr>
        <w:t xml:space="preserve"> </w:t>
      </w:r>
    </w:p>
    <w:p w:rsidR="00F46483" w:rsidRPr="00C562D3" w:rsidRDefault="00F46483" w:rsidP="00F46483">
      <w:pPr>
        <w:pStyle w:val="Cuerpodelboletn"/>
        <w:spacing w:before="120" w:after="120" w:line="312" w:lineRule="auto"/>
        <w:ind w:left="426"/>
        <w:rPr>
          <w:color w:val="auto"/>
          <w:lang w:bidi="es-ES"/>
        </w:rPr>
      </w:pPr>
      <w:r w:rsidRPr="00C562D3">
        <w:rPr>
          <w:rStyle w:val="Ttulo2Car"/>
          <w:sz w:val="22"/>
          <w:szCs w:val="22"/>
        </w:rPr>
        <w:t>Tramitación</w:t>
      </w:r>
    </w:p>
    <w:p w:rsidR="00E857EA" w:rsidRDefault="00E857EA" w:rsidP="00F46483">
      <w:pPr>
        <w:pStyle w:val="Cuerpodelboletn"/>
        <w:spacing w:before="120" w:after="120" w:line="312" w:lineRule="auto"/>
        <w:ind w:left="426"/>
        <w:rPr>
          <w:color w:val="auto"/>
          <w:lang w:bidi="es-ES"/>
        </w:rPr>
      </w:pPr>
    </w:p>
    <w:p w:rsidR="00F46483" w:rsidRDefault="00F46483" w:rsidP="00F46483">
      <w:pPr>
        <w:pStyle w:val="Cuerpodelboletn"/>
        <w:spacing w:before="120" w:after="120" w:line="312" w:lineRule="auto"/>
        <w:ind w:left="426"/>
        <w:rPr>
          <w:color w:val="auto"/>
          <w:lang w:bidi="es-ES"/>
        </w:rPr>
      </w:pPr>
      <w:r w:rsidRPr="00C562D3">
        <w:rPr>
          <w:color w:val="auto"/>
          <w:lang w:bidi="es-ES"/>
        </w:rPr>
        <w:t xml:space="preserve">Con fecha </w:t>
      </w:r>
      <w:r w:rsidR="00C562D3">
        <w:rPr>
          <w:color w:val="auto"/>
          <w:lang w:bidi="es-ES"/>
        </w:rPr>
        <w:t>10</w:t>
      </w:r>
      <w:r w:rsidRPr="00C562D3">
        <w:rPr>
          <w:color w:val="auto"/>
          <w:lang w:bidi="es-ES"/>
        </w:rPr>
        <w:t>/0</w:t>
      </w:r>
      <w:r w:rsidR="00E52139">
        <w:rPr>
          <w:color w:val="auto"/>
          <w:lang w:bidi="es-ES"/>
        </w:rPr>
        <w:t>3</w:t>
      </w:r>
      <w:r w:rsidRPr="00C562D3">
        <w:rPr>
          <w:color w:val="auto"/>
          <w:lang w:bidi="es-ES"/>
        </w:rPr>
        <w:t xml:space="preserve">/2021 se </w:t>
      </w:r>
      <w:r w:rsidR="00E52139">
        <w:rPr>
          <w:color w:val="auto"/>
          <w:lang w:bidi="es-ES"/>
        </w:rPr>
        <w:t xml:space="preserve">contacta telefónicamente por el Senado con </w:t>
      </w:r>
      <w:r w:rsidR="00AD6EC5">
        <w:rPr>
          <w:color w:val="auto"/>
          <w:lang w:bidi="es-ES"/>
        </w:rPr>
        <w:t>la persona</w:t>
      </w:r>
      <w:r w:rsidR="00E52139">
        <w:rPr>
          <w:color w:val="auto"/>
          <w:lang w:bidi="es-ES"/>
        </w:rPr>
        <w:t xml:space="preserve"> solicitante para clarificar algunas cuestiones sobre la solicitud</w:t>
      </w:r>
      <w:r w:rsidR="00131382">
        <w:rPr>
          <w:color w:val="auto"/>
          <w:lang w:bidi="es-ES"/>
        </w:rPr>
        <w:t xml:space="preserve"> efectuada, entre otras cuestiones la diferencia </w:t>
      </w:r>
      <w:r w:rsidR="00AD6EC5">
        <w:rPr>
          <w:color w:val="auto"/>
          <w:lang w:bidi="es-ES"/>
        </w:rPr>
        <w:t xml:space="preserve">entre </w:t>
      </w:r>
      <w:r w:rsidR="00131382">
        <w:rPr>
          <w:color w:val="auto"/>
          <w:lang w:bidi="es-ES"/>
        </w:rPr>
        <w:t xml:space="preserve">desestimación e inadmisión de una solicitud o sobre cómo clasificar las estimaciones parciales. También se indica que dado el volumen de información solicitada y la necesidad </w:t>
      </w:r>
      <w:r w:rsidR="00AD6EC5">
        <w:rPr>
          <w:color w:val="auto"/>
          <w:lang w:bidi="es-ES"/>
        </w:rPr>
        <w:t>de</w:t>
      </w:r>
      <w:r w:rsidR="00A47ADC">
        <w:rPr>
          <w:color w:val="auto"/>
          <w:lang w:bidi="es-ES"/>
        </w:rPr>
        <w:t xml:space="preserve"> </w:t>
      </w:r>
      <w:r w:rsidR="00131382">
        <w:rPr>
          <w:color w:val="auto"/>
          <w:lang w:bidi="es-ES"/>
        </w:rPr>
        <w:t>reelabora</w:t>
      </w:r>
      <w:r w:rsidR="00AD6EC5">
        <w:rPr>
          <w:color w:val="auto"/>
          <w:lang w:bidi="es-ES"/>
        </w:rPr>
        <w:t>ción</w:t>
      </w:r>
      <w:r w:rsidR="00131382">
        <w:rPr>
          <w:color w:val="auto"/>
          <w:lang w:bidi="es-ES"/>
        </w:rPr>
        <w:t xml:space="preserve"> sería necesario</w:t>
      </w:r>
      <w:r w:rsidR="00AD6EC5">
        <w:rPr>
          <w:color w:val="auto"/>
          <w:lang w:bidi="es-ES"/>
        </w:rPr>
        <w:t xml:space="preserve"> ampliar </w:t>
      </w:r>
      <w:r w:rsidR="00131382">
        <w:rPr>
          <w:color w:val="auto"/>
          <w:lang w:bidi="es-ES"/>
        </w:rPr>
        <w:t xml:space="preserve">el plazo de resolución. </w:t>
      </w:r>
    </w:p>
    <w:p w:rsidR="00131382" w:rsidRPr="00C562D3" w:rsidRDefault="00131382" w:rsidP="00F46483">
      <w:pPr>
        <w:pStyle w:val="Cuerpodelboletn"/>
        <w:spacing w:before="120" w:after="120" w:line="312" w:lineRule="auto"/>
        <w:ind w:left="426"/>
        <w:rPr>
          <w:color w:val="auto"/>
          <w:lang w:bidi="es-ES"/>
        </w:rPr>
      </w:pPr>
      <w:r>
        <w:rPr>
          <w:color w:val="auto"/>
          <w:lang w:bidi="es-ES"/>
        </w:rPr>
        <w:t xml:space="preserve">Con fecha 18/03/2021 el Senado remite un correo electrónico </w:t>
      </w:r>
      <w:r w:rsidR="00AD6EC5">
        <w:rPr>
          <w:color w:val="auto"/>
          <w:lang w:bidi="es-ES"/>
        </w:rPr>
        <w:t>a la persona solicitante</w:t>
      </w:r>
      <w:r w:rsidR="00A47ADC">
        <w:rPr>
          <w:color w:val="auto"/>
          <w:lang w:bidi="es-ES"/>
        </w:rPr>
        <w:t xml:space="preserve"> </w:t>
      </w:r>
      <w:r w:rsidR="00AD6EC5">
        <w:rPr>
          <w:color w:val="auto"/>
          <w:lang w:bidi="es-ES"/>
        </w:rPr>
        <w:t xml:space="preserve">informando de la </w:t>
      </w:r>
      <w:r>
        <w:rPr>
          <w:color w:val="auto"/>
          <w:lang w:bidi="es-ES"/>
        </w:rPr>
        <w:t>ampliación de plazo de resolución en un mes.</w:t>
      </w:r>
    </w:p>
    <w:p w:rsidR="00F46483" w:rsidRDefault="00F46483" w:rsidP="00F46483">
      <w:pPr>
        <w:pStyle w:val="Cuerpodelboletn"/>
        <w:spacing w:before="120" w:after="120" w:line="312" w:lineRule="auto"/>
        <w:ind w:left="426"/>
        <w:rPr>
          <w:color w:val="auto"/>
          <w:lang w:bidi="es-ES"/>
        </w:rPr>
      </w:pPr>
      <w:r w:rsidRPr="00C562D3">
        <w:rPr>
          <w:color w:val="auto"/>
          <w:lang w:bidi="es-ES"/>
        </w:rPr>
        <w:t>No se ha solicitado subsanación a pesar de que, como se ha indicado, no se especificaba el periodo de tiempo al que se refería la información.</w:t>
      </w:r>
    </w:p>
    <w:p w:rsidR="00F46483" w:rsidRDefault="00F46483" w:rsidP="00F46483">
      <w:pPr>
        <w:pStyle w:val="Cuerpodelboletn"/>
        <w:spacing w:before="120" w:after="120" w:line="312" w:lineRule="auto"/>
        <w:ind w:left="426"/>
        <w:rPr>
          <w:rStyle w:val="Ttulo2Car"/>
          <w:sz w:val="22"/>
          <w:szCs w:val="22"/>
        </w:rPr>
      </w:pPr>
      <w:r w:rsidRPr="00131382">
        <w:rPr>
          <w:rStyle w:val="Ttulo2Car"/>
          <w:sz w:val="22"/>
          <w:szCs w:val="22"/>
        </w:rPr>
        <w:t>Resolución</w:t>
      </w:r>
    </w:p>
    <w:p w:rsidR="00E857EA" w:rsidRPr="00131382" w:rsidRDefault="00E857EA" w:rsidP="00F46483">
      <w:pPr>
        <w:pStyle w:val="Cuerpodelboletn"/>
        <w:spacing w:before="120" w:after="120" w:line="312" w:lineRule="auto"/>
        <w:ind w:left="426"/>
        <w:rPr>
          <w:color w:val="auto"/>
          <w:lang w:bidi="es-ES"/>
        </w:rPr>
      </w:pP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 xml:space="preserve">Se dicta resolución expresa con fecha </w:t>
      </w:r>
      <w:r w:rsidR="00131382">
        <w:rPr>
          <w:color w:val="auto"/>
          <w:lang w:bidi="es-ES"/>
        </w:rPr>
        <w:t>23</w:t>
      </w:r>
      <w:r w:rsidRPr="00131382">
        <w:rPr>
          <w:color w:val="auto"/>
          <w:lang w:bidi="es-ES"/>
        </w:rPr>
        <w:t>/03/2021</w:t>
      </w:r>
      <w:r w:rsidR="004E39A0">
        <w:rPr>
          <w:color w:val="auto"/>
          <w:lang w:bidi="es-ES"/>
        </w:rPr>
        <w:t xml:space="preserve"> por parte de la Mesa del Senado</w:t>
      </w:r>
      <w:r w:rsidR="00A47ADC">
        <w:rPr>
          <w:color w:val="auto"/>
          <w:lang w:bidi="es-ES"/>
        </w:rPr>
        <w:t xml:space="preserve"> </w:t>
      </w:r>
      <w:r w:rsidRPr="00131382">
        <w:rPr>
          <w:color w:val="auto"/>
          <w:lang w:bidi="es-ES"/>
        </w:rPr>
        <w:t>– por lo tanto dentro de</w:t>
      </w:r>
      <w:r w:rsidR="00131382">
        <w:rPr>
          <w:color w:val="auto"/>
          <w:lang w:bidi="es-ES"/>
        </w:rPr>
        <w:t>l</w:t>
      </w:r>
      <w:r w:rsidRPr="00131382">
        <w:rPr>
          <w:color w:val="auto"/>
          <w:lang w:bidi="es-ES"/>
        </w:rPr>
        <w:t xml:space="preserve"> plazo</w:t>
      </w:r>
      <w:r w:rsidR="00131382">
        <w:rPr>
          <w:color w:val="auto"/>
          <w:lang w:bidi="es-ES"/>
        </w:rPr>
        <w:t xml:space="preserve"> de resolución ampliado</w:t>
      </w:r>
      <w:r w:rsidRPr="00131382">
        <w:rPr>
          <w:color w:val="auto"/>
          <w:lang w:bidi="es-ES"/>
        </w:rPr>
        <w:t xml:space="preserve"> –</w:t>
      </w:r>
      <w:r w:rsidR="00DC75EC">
        <w:rPr>
          <w:color w:val="auto"/>
          <w:lang w:bidi="es-ES"/>
        </w:rPr>
        <w:t>. La</w:t>
      </w:r>
      <w:r w:rsidR="004E39A0">
        <w:rPr>
          <w:color w:val="auto"/>
          <w:lang w:bidi="es-ES"/>
        </w:rPr>
        <w:t xml:space="preserve"> resolución se acompaña de una</w:t>
      </w:r>
      <w:r w:rsidR="00DC75EC">
        <w:rPr>
          <w:color w:val="auto"/>
          <w:lang w:bidi="es-ES"/>
        </w:rPr>
        <w:t xml:space="preserve"> notificación firma</w:t>
      </w:r>
      <w:r w:rsidR="004E39A0">
        <w:rPr>
          <w:color w:val="auto"/>
          <w:lang w:bidi="es-ES"/>
        </w:rPr>
        <w:t>da</w:t>
      </w:r>
      <w:r w:rsidR="00DC75EC">
        <w:rPr>
          <w:color w:val="auto"/>
          <w:lang w:bidi="es-ES"/>
        </w:rPr>
        <w:t xml:space="preserve"> por la Directora</w:t>
      </w:r>
      <w:r w:rsidR="007507B4">
        <w:rPr>
          <w:color w:val="auto"/>
          <w:lang w:bidi="es-ES"/>
        </w:rPr>
        <w:t xml:space="preserve"> de Relaciones Institucionales.</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La resolución está motivada.</w:t>
      </w:r>
    </w:p>
    <w:p w:rsidR="00F46483" w:rsidRPr="00131382" w:rsidRDefault="00F46483" w:rsidP="00F46483">
      <w:pPr>
        <w:pStyle w:val="Prrafodelista"/>
        <w:numPr>
          <w:ilvl w:val="0"/>
          <w:numId w:val="8"/>
        </w:numPr>
        <w:jc w:val="both"/>
      </w:pPr>
      <w:r w:rsidRPr="00131382">
        <w:rPr>
          <w:lang w:bidi="es-ES"/>
        </w:rPr>
        <w:t xml:space="preserve">La resolución no responde a la totalidad de la información solicitada. </w:t>
      </w:r>
      <w:r w:rsidR="00DC75EC">
        <w:rPr>
          <w:lang w:bidi="es-ES"/>
        </w:rPr>
        <w:t xml:space="preserve">En algunos casos se proporcionan datos agregados – se había solicitado información desagregada – y en otros se informa de que no se proporciona la información </w:t>
      </w:r>
      <w:r w:rsidR="007507B4">
        <w:rPr>
          <w:lang w:bidi="es-ES"/>
        </w:rPr>
        <w:t>porque no se ha producido ningún supuesto relacionado con el dato solicitado</w:t>
      </w:r>
      <w:r w:rsidRPr="00131382">
        <w:t xml:space="preserve">. </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La resolución es clara, comprensible y está estructurada con antecedentes de hecho, los fundamentos de derecho y la decisión adoptada.</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lastRenderedPageBreak/>
        <w:t>Incluye pie de recurso indicando que pone fin a la vía administrativa, los recursos que pueden interponerse, el órgano competente para resolverlos y el plazo para su interposición</w:t>
      </w:r>
      <w:r w:rsidR="004E39A0">
        <w:rPr>
          <w:color w:val="auto"/>
          <w:lang w:bidi="es-ES"/>
        </w:rPr>
        <w:t>, incluyendo un recurso potestativo ante la Mesa del Senado</w:t>
      </w:r>
      <w:r w:rsidRPr="00131382">
        <w:rPr>
          <w:color w:val="auto"/>
          <w:lang w:bidi="es-ES"/>
        </w:rPr>
        <w:t xml:space="preserve">. </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 xml:space="preserve">La resolución se notifica </w:t>
      </w:r>
      <w:r w:rsidR="004E39A0">
        <w:rPr>
          <w:color w:val="auto"/>
          <w:lang w:bidi="es-ES"/>
        </w:rPr>
        <w:t>por correo electrónico</w:t>
      </w:r>
      <w:r w:rsidRPr="00131382">
        <w:rPr>
          <w:color w:val="auto"/>
          <w:lang w:bidi="es-ES"/>
        </w:rPr>
        <w:t>, lo que es coherente con la opción elegida por el interesado y concuerda con</w:t>
      </w:r>
      <w:r w:rsidR="00A47ADC">
        <w:rPr>
          <w:color w:val="auto"/>
          <w:lang w:bidi="es-ES"/>
        </w:rPr>
        <w:t xml:space="preserve"> </w:t>
      </w:r>
      <w:r w:rsidRPr="00131382">
        <w:rPr>
          <w:color w:val="auto"/>
          <w:lang w:bidi="es-ES"/>
        </w:rPr>
        <w:t>la forma de presentación de la solicitud.</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Se facilita el acceso a la información en el momento de la notificación de la resolución y en el formato solicitado.</w:t>
      </w:r>
    </w:p>
    <w:p w:rsidR="00F46483" w:rsidRPr="00131382" w:rsidRDefault="00F46483" w:rsidP="00F46483">
      <w:pPr>
        <w:pStyle w:val="Cuerpodelboletn"/>
        <w:numPr>
          <w:ilvl w:val="0"/>
          <w:numId w:val="8"/>
        </w:numPr>
        <w:spacing w:before="120" w:after="120" w:line="312" w:lineRule="auto"/>
        <w:rPr>
          <w:color w:val="auto"/>
          <w:lang w:bidi="es-ES"/>
        </w:rPr>
      </w:pPr>
      <w:r w:rsidRPr="00131382">
        <w:rPr>
          <w:color w:val="auto"/>
          <w:lang w:bidi="es-ES"/>
        </w:rPr>
        <w:t xml:space="preserve">Dado que no se había especificado el periodo de tiempo al que se refería la solicitud y no se ha solicitado subsanación, </w:t>
      </w:r>
      <w:r w:rsidR="007507B4">
        <w:rPr>
          <w:color w:val="auto"/>
          <w:lang w:bidi="es-ES"/>
        </w:rPr>
        <w:t>el Senado</w:t>
      </w:r>
      <w:r w:rsidRPr="00131382">
        <w:rPr>
          <w:color w:val="auto"/>
          <w:lang w:bidi="es-ES"/>
        </w:rPr>
        <w:t xml:space="preserve"> opta por proporcionarla para el periodo 2014-2021</w:t>
      </w:r>
      <w:r w:rsidR="004E39A0">
        <w:rPr>
          <w:color w:val="auto"/>
          <w:lang w:bidi="es-ES"/>
        </w:rPr>
        <w:t>.</w:t>
      </w:r>
    </w:p>
    <w:p w:rsidR="00E857EA" w:rsidRDefault="00E857EA" w:rsidP="00F46483"/>
    <w:p w:rsidR="001F251B" w:rsidRPr="00256215" w:rsidRDefault="00BD787A"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La gestión del derecho de acceso a la información pública por parte del Senado</w:t>
      </w:r>
      <w:r w:rsidR="00A47ADC">
        <w:t xml:space="preserve"> </w:t>
      </w:r>
      <w:r>
        <w:t>presenta un conjunto de buenas prácticas que podrían ser aplicadas por otras instituciones y organizaciones públicas. En este sentido cabe destacar:</w:t>
      </w:r>
    </w:p>
    <w:p w:rsidR="00F46483" w:rsidRDefault="0039794E" w:rsidP="00A47ADC">
      <w:pPr>
        <w:pStyle w:val="Prrafodelista"/>
        <w:numPr>
          <w:ilvl w:val="0"/>
          <w:numId w:val="5"/>
        </w:numPr>
        <w:spacing w:before="120" w:after="120" w:line="312" w:lineRule="auto"/>
        <w:ind w:left="1134"/>
        <w:contextualSpacing w:val="0"/>
        <w:jc w:val="both"/>
      </w:pPr>
      <w:r>
        <w:t xml:space="preserve"> </w:t>
      </w:r>
      <w:r w:rsidR="007507B4" w:rsidRPr="007507B4">
        <w:t>La disponibilidad de un formulario web para la presentación de las solicitudes</w:t>
      </w:r>
      <w:r w:rsidR="007507B4">
        <w:t>.</w:t>
      </w:r>
    </w:p>
    <w:p w:rsidR="003315C5" w:rsidRDefault="003315C5" w:rsidP="00A47ADC">
      <w:pPr>
        <w:pStyle w:val="Prrafodelista"/>
        <w:numPr>
          <w:ilvl w:val="0"/>
          <w:numId w:val="5"/>
        </w:numPr>
        <w:spacing w:before="120" w:after="120" w:line="312" w:lineRule="auto"/>
        <w:ind w:left="1134"/>
        <w:contextualSpacing w:val="0"/>
        <w:jc w:val="both"/>
      </w:pPr>
      <w:r>
        <w:t>La habilitación de diversos canales para la presentación de las solicitudes</w:t>
      </w:r>
      <w:r w:rsidR="004E39A0">
        <w:t>.</w:t>
      </w:r>
    </w:p>
    <w:p w:rsidR="007507B4" w:rsidRDefault="007507B4" w:rsidP="00A47ADC">
      <w:pPr>
        <w:pStyle w:val="Prrafodelista"/>
        <w:numPr>
          <w:ilvl w:val="0"/>
          <w:numId w:val="5"/>
        </w:numPr>
        <w:spacing w:before="120" w:after="120" w:line="312" w:lineRule="auto"/>
        <w:ind w:left="1134"/>
        <w:contextualSpacing w:val="0"/>
        <w:jc w:val="both"/>
      </w:pPr>
      <w:r w:rsidRPr="007507B4">
        <w:t>La existencia de instrucciones y ayudas para facilitar el ejercicio del derecho.</w:t>
      </w:r>
    </w:p>
    <w:p w:rsidR="004E39A0" w:rsidRDefault="004E39A0" w:rsidP="00A47ADC">
      <w:pPr>
        <w:pStyle w:val="Prrafodelista"/>
        <w:numPr>
          <w:ilvl w:val="0"/>
          <w:numId w:val="5"/>
        </w:numPr>
        <w:spacing w:before="120" w:after="120" w:line="312" w:lineRule="auto"/>
        <w:ind w:left="1134"/>
        <w:contextualSpacing w:val="0"/>
        <w:jc w:val="both"/>
      </w:pPr>
      <w:r>
        <w:t>La posibilidad de efectuar la solicitud sin tener que acreditar la identidad por medios digitales.</w:t>
      </w:r>
      <w:r w:rsidRPr="004E39A0">
        <w:t xml:space="preserve"> </w:t>
      </w:r>
    </w:p>
    <w:p w:rsidR="00E857EA" w:rsidRDefault="00E857EA" w:rsidP="00A47ADC">
      <w:pPr>
        <w:pStyle w:val="Prrafodelista"/>
        <w:numPr>
          <w:ilvl w:val="0"/>
          <w:numId w:val="5"/>
        </w:numPr>
        <w:spacing w:before="120" w:after="120" w:line="312" w:lineRule="auto"/>
        <w:ind w:left="1134"/>
        <w:contextualSpacing w:val="0"/>
        <w:jc w:val="both"/>
      </w:pPr>
      <w:r>
        <w:t>La disponibilidad de un canal para la consulta del estado de tramitación de la solicitud.</w:t>
      </w:r>
    </w:p>
    <w:p w:rsidR="004E39A0" w:rsidRPr="007507B4" w:rsidRDefault="004E39A0" w:rsidP="00A47ADC">
      <w:pPr>
        <w:pStyle w:val="Prrafodelista"/>
        <w:numPr>
          <w:ilvl w:val="0"/>
          <w:numId w:val="5"/>
        </w:numPr>
        <w:spacing w:before="120" w:after="120" w:line="312" w:lineRule="auto"/>
        <w:ind w:left="1134"/>
        <w:contextualSpacing w:val="0"/>
        <w:jc w:val="both"/>
      </w:pPr>
      <w:r w:rsidRPr="007507B4">
        <w:t>La inclusión en la resolución de las razones por la que no se entrega determinada información.</w:t>
      </w:r>
    </w:p>
    <w:p w:rsidR="007507B4" w:rsidRDefault="007507B4" w:rsidP="00A47ADC">
      <w:pPr>
        <w:pStyle w:val="Prrafodelista"/>
        <w:numPr>
          <w:ilvl w:val="0"/>
          <w:numId w:val="5"/>
        </w:numPr>
        <w:spacing w:before="120" w:after="120" w:line="312" w:lineRule="auto"/>
        <w:ind w:left="1134"/>
        <w:contextualSpacing w:val="0"/>
        <w:jc w:val="both"/>
      </w:pPr>
      <w:r w:rsidRPr="007507B4">
        <w:t>La posibilidad</w:t>
      </w:r>
      <w:r w:rsidR="00A47ADC">
        <w:t xml:space="preserve"> </w:t>
      </w:r>
      <w:r w:rsidRPr="007507B4">
        <w:t xml:space="preserve">de recurrir ante la Mesa del </w:t>
      </w:r>
      <w:r>
        <w:t>Senado</w:t>
      </w:r>
      <w:r w:rsidRPr="007507B4">
        <w:t xml:space="preserve"> con carácter previo y potestativo a la vía judicial</w:t>
      </w:r>
    </w:p>
    <w:p w:rsidR="004E39A0" w:rsidRDefault="004E39A0" w:rsidP="00A47ADC">
      <w:pPr>
        <w:pStyle w:val="Prrafodelista"/>
        <w:numPr>
          <w:ilvl w:val="0"/>
          <w:numId w:val="5"/>
        </w:numPr>
        <w:spacing w:before="120" w:after="120" w:line="312" w:lineRule="auto"/>
        <w:ind w:left="1134"/>
        <w:contextualSpacing w:val="0"/>
        <w:jc w:val="both"/>
      </w:pPr>
      <w:r>
        <w:t>Publicación de todas las resoluciones, incluidas las referidas a recursos potestativos de reposición formulados ante la Mesa d</w:t>
      </w:r>
      <w:bookmarkStart w:id="0" w:name="_GoBack"/>
      <w:bookmarkEnd w:id="0"/>
      <w:r>
        <w:t>el Senado.</w:t>
      </w:r>
    </w:p>
    <w:p w:rsidR="007507B4" w:rsidRDefault="004E39A0" w:rsidP="00A47ADC">
      <w:pPr>
        <w:pStyle w:val="Prrafodelista"/>
        <w:numPr>
          <w:ilvl w:val="0"/>
          <w:numId w:val="5"/>
        </w:numPr>
        <w:spacing w:before="120" w:after="120" w:line="312" w:lineRule="auto"/>
        <w:ind w:left="1134"/>
        <w:contextualSpacing w:val="0"/>
        <w:jc w:val="both"/>
      </w:pPr>
      <w:r>
        <w:t>La publicación de las resoluciones organizadas por materias para facilitar la búsqueda de información.</w:t>
      </w:r>
    </w:p>
    <w:p w:rsidR="004E39A0" w:rsidRDefault="004E39A0" w:rsidP="00A47ADC">
      <w:pPr>
        <w:pStyle w:val="Prrafodelista"/>
        <w:numPr>
          <w:ilvl w:val="0"/>
          <w:numId w:val="5"/>
        </w:numPr>
        <w:spacing w:before="120" w:after="120" w:line="312" w:lineRule="auto"/>
        <w:ind w:left="1134"/>
        <w:contextualSpacing w:val="0"/>
        <w:jc w:val="both"/>
      </w:pPr>
      <w:r w:rsidRPr="007507B4">
        <w:t xml:space="preserve">La incorporación de información adicional </w:t>
      </w:r>
      <w:r>
        <w:t>como</w:t>
      </w:r>
      <w:r w:rsidRPr="007507B4">
        <w:t xml:space="preserve"> datos estadísticos sobre derecho de acceso en el </w:t>
      </w:r>
      <w:r>
        <w:t>Senado</w:t>
      </w:r>
      <w:r w:rsidRPr="007507B4">
        <w:t>.</w:t>
      </w:r>
    </w:p>
    <w:p w:rsidR="00A47ADC" w:rsidRDefault="00A47ADC" w:rsidP="00A47ADC">
      <w:pPr>
        <w:spacing w:before="120" w:after="120" w:line="312" w:lineRule="auto"/>
        <w:ind w:left="360"/>
        <w:jc w:val="both"/>
      </w:pPr>
    </w:p>
    <w:p w:rsidR="00256215" w:rsidRDefault="00BD787A"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F46483" w:rsidP="00A47ADC">
      <w:pPr>
        <w:pStyle w:val="Prrafodelista"/>
        <w:spacing w:before="120" w:after="120" w:line="312" w:lineRule="auto"/>
        <w:ind w:left="426"/>
        <w:contextualSpacing w:val="0"/>
        <w:jc w:val="both"/>
        <w:rPr>
          <w:rStyle w:val="Ttulo2Car"/>
          <w:color w:val="00642D"/>
          <w:sz w:val="22"/>
          <w:szCs w:val="22"/>
          <w:lang w:bidi="es-ES"/>
        </w:rPr>
      </w:pPr>
    </w:p>
    <w:p w:rsidR="00F46483" w:rsidRPr="003315C5" w:rsidRDefault="007507B4" w:rsidP="00A47ADC">
      <w:pPr>
        <w:pStyle w:val="Prrafodelista"/>
        <w:spacing w:before="120" w:after="120" w:line="312" w:lineRule="auto"/>
        <w:ind w:left="426"/>
        <w:contextualSpacing w:val="0"/>
        <w:jc w:val="both"/>
        <w:rPr>
          <w:bCs/>
        </w:rPr>
      </w:pPr>
      <w:r w:rsidRPr="003315C5">
        <w:rPr>
          <w:bCs/>
        </w:rPr>
        <w:t xml:space="preserve">El Senado tramita </w:t>
      </w:r>
      <w:r w:rsidR="00F46483" w:rsidRPr="003315C5">
        <w:rPr>
          <w:bCs/>
        </w:rPr>
        <w:t>el 97</w:t>
      </w:r>
      <w:r w:rsidR="003315C5" w:rsidRPr="003315C5">
        <w:rPr>
          <w:bCs/>
        </w:rPr>
        <w:t>% de las solicitudes que recibe y</w:t>
      </w:r>
      <w:r w:rsidR="00F46483" w:rsidRPr="003315C5">
        <w:rPr>
          <w:bCs/>
        </w:rPr>
        <w:t xml:space="preserve"> admite más de</w:t>
      </w:r>
      <w:r w:rsidR="003315C5" w:rsidRPr="003315C5">
        <w:rPr>
          <w:bCs/>
        </w:rPr>
        <w:t>l 92% de ellas.</w:t>
      </w:r>
      <w:r w:rsidR="00A47ADC">
        <w:rPr>
          <w:bCs/>
        </w:rPr>
        <w:t xml:space="preserve"> </w:t>
      </w:r>
      <w:r w:rsidR="003315C5">
        <w:rPr>
          <w:bCs/>
        </w:rPr>
        <w:t xml:space="preserve">Emite resolución expresa para la totalidad de las solicitudes admitidas, </w:t>
      </w:r>
      <w:r w:rsidR="00F46483" w:rsidRPr="003315C5">
        <w:rPr>
          <w:bCs/>
        </w:rPr>
        <w:t xml:space="preserve">concediendo el acceso total a la información solicitada en </w:t>
      </w:r>
      <w:r w:rsidR="003315C5">
        <w:rPr>
          <w:bCs/>
        </w:rPr>
        <w:t>más del97</w:t>
      </w:r>
      <w:r w:rsidR="00F46483" w:rsidRPr="003315C5">
        <w:rPr>
          <w:bCs/>
        </w:rPr>
        <w:t xml:space="preserve">% de los casos. </w:t>
      </w:r>
      <w:r w:rsidR="003315C5">
        <w:rPr>
          <w:bCs/>
        </w:rPr>
        <w:t>Ninguna resolución deniega la información o ni se finaliza el procedimiento por silencio administrativo. Un 6,76% de las solicitudes finaliza por desistimiento u otras causas.</w:t>
      </w:r>
      <w:r w:rsidR="00A47ADC">
        <w:rPr>
          <w:bCs/>
        </w:rPr>
        <w:t xml:space="preserve"> </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3315C5" w:rsidRDefault="003315C5" w:rsidP="00A47ADC">
      <w:pPr>
        <w:pStyle w:val="Prrafodelista"/>
        <w:spacing w:before="120" w:after="120" w:line="312" w:lineRule="auto"/>
        <w:ind w:left="644"/>
        <w:contextualSpacing w:val="0"/>
        <w:jc w:val="both"/>
      </w:pPr>
      <w:r>
        <w:t>Como se ha indicado, el Senado</w:t>
      </w:r>
      <w:r w:rsidR="00A47ADC">
        <w:t xml:space="preserve"> </w:t>
      </w:r>
      <w:r>
        <w:t xml:space="preserve">dispone de un espacio en su Portal de Transparencia que ofrece información sobre la posibilidad de que los ciudadanos </w:t>
      </w:r>
      <w:r w:rsidR="00A47ADC">
        <w:t xml:space="preserve">puedan presentar </w:t>
      </w:r>
      <w:r>
        <w:t>solicit</w:t>
      </w:r>
      <w:r w:rsidR="00A47ADC">
        <w:t>udes de</w:t>
      </w:r>
      <w:r w:rsidR="004E39A0">
        <w:t xml:space="preserve"> </w:t>
      </w:r>
      <w:r>
        <w:t>información pública dirigida</w:t>
      </w:r>
      <w:r w:rsidR="00A47ADC">
        <w:t>s</w:t>
      </w:r>
      <w:r>
        <w:t xml:space="preserve"> a la institución. También proporciona un formulario web y ha habilitado diversos canales para la presentación de las solicitudes. También publica información adicional e instrucciones para la </w:t>
      </w:r>
      <w:r w:rsidR="00C33A3B">
        <w:t>presentación de las solicitudes y se ha habilitado un canal de consulta del estado de la tramitación de las solicitudes.</w:t>
      </w:r>
      <w:r w:rsidR="00A47ADC">
        <w:t xml:space="preserve"> </w:t>
      </w:r>
    </w:p>
    <w:p w:rsidR="00F46483" w:rsidRDefault="003315C5" w:rsidP="00A47ADC">
      <w:pPr>
        <w:pStyle w:val="Prrafodelista"/>
        <w:spacing w:before="120" w:after="120" w:line="312" w:lineRule="auto"/>
        <w:ind w:left="709"/>
        <w:contextualSpacing w:val="0"/>
        <w:jc w:val="both"/>
        <w:rPr>
          <w:highlight w:val="yellow"/>
        </w:rPr>
      </w:pPr>
      <w:r>
        <w:rPr>
          <w:rStyle w:val="Ttulo2Car"/>
          <w:b w:val="0"/>
          <w:color w:val="auto"/>
          <w:sz w:val="22"/>
          <w:szCs w:val="22"/>
          <w:lang w:bidi="es-ES"/>
        </w:rPr>
        <w:t xml:space="preserve">Igualmente se informa sobre los requisitos establecidos para la presentación de las solicitudes: </w:t>
      </w:r>
      <w:r w:rsidRPr="00C562D3">
        <w:rPr>
          <w:rStyle w:val="Ttulo2Car"/>
          <w:b w:val="0"/>
          <w:color w:val="auto"/>
          <w:sz w:val="22"/>
          <w:szCs w:val="22"/>
          <w:lang w:bidi="es-ES"/>
        </w:rPr>
        <w:t>datos personales y de contacto, si se solicita que se notifique por medios electrónicos.</w:t>
      </w:r>
      <w:r w:rsidR="00F46483" w:rsidRPr="00F46483">
        <w:rPr>
          <w:highlight w:val="yellow"/>
        </w:rPr>
        <w:t xml:space="preserve"> </w:t>
      </w:r>
    </w:p>
    <w:p w:rsidR="00A47ADC" w:rsidRDefault="00A47ADC" w:rsidP="00A47ADC">
      <w:pPr>
        <w:pStyle w:val="Prrafodelista"/>
        <w:spacing w:before="120" w:after="120" w:line="312" w:lineRule="auto"/>
        <w:ind w:left="709"/>
        <w:contextualSpacing w:val="0"/>
        <w:jc w:val="both"/>
        <w:rPr>
          <w:highlight w:val="yellow"/>
        </w:rPr>
      </w:pP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F46483" w:rsidRPr="003315C5" w:rsidRDefault="00F46483" w:rsidP="00A47ADC">
      <w:pPr>
        <w:pStyle w:val="Prrafodelista"/>
        <w:spacing w:before="120" w:after="120" w:line="312" w:lineRule="auto"/>
        <w:ind w:left="426"/>
        <w:contextualSpacing w:val="0"/>
        <w:jc w:val="both"/>
      </w:pPr>
      <w:r w:rsidRPr="003315C5">
        <w:t xml:space="preserve">La gestión de la solicitud de acceso presentada se ha ajustado al procedimiento establecido por la LTAIBG, con la única excepción de que no se solicitó subsanación a pesar de que no se había definido el periodo de tiempo para el que se solicitaba la información. </w:t>
      </w:r>
      <w:r w:rsidR="003315C5">
        <w:t xml:space="preserve">Dado que se había considerado necesario ampliar el plazo de resolución se ha </w:t>
      </w:r>
      <w:r w:rsidR="004E39A0">
        <w:t xml:space="preserve">comunicado </w:t>
      </w:r>
      <w:r w:rsidR="003315C5">
        <w:t xml:space="preserve">esta circunstancia. </w:t>
      </w:r>
    </w:p>
    <w:p w:rsidR="00F46483" w:rsidRPr="003315C5" w:rsidRDefault="00F46483" w:rsidP="00A47ADC">
      <w:pPr>
        <w:pStyle w:val="Prrafodelista"/>
        <w:spacing w:before="120" w:after="120" w:line="312" w:lineRule="auto"/>
        <w:ind w:left="426"/>
        <w:contextualSpacing w:val="0"/>
        <w:jc w:val="both"/>
      </w:pPr>
      <w:r w:rsidRPr="003315C5">
        <w:t xml:space="preserve">La resolución emitida por </w:t>
      </w:r>
      <w:r w:rsidR="003315C5">
        <w:t>el Senado</w:t>
      </w:r>
      <w:r w:rsidRPr="003315C5">
        <w:t xml:space="preserve"> está motivada y correctamente estructurada, es clara y comprensible, incluye pie de recurso y además proporciona </w:t>
      </w:r>
      <w:r w:rsidR="00A945B5">
        <w:t xml:space="preserve">algunas </w:t>
      </w:r>
      <w:r w:rsidRPr="003315C5">
        <w:t>explicaciones adicionales de utilidad para los solicitantes.</w:t>
      </w:r>
    </w:p>
    <w:p w:rsidR="00A47ADC" w:rsidRDefault="00F46483" w:rsidP="00C33A3B">
      <w:pPr>
        <w:pStyle w:val="Prrafodelista"/>
        <w:tabs>
          <w:tab w:val="left" w:pos="426"/>
        </w:tabs>
        <w:spacing w:before="120" w:after="120" w:line="312" w:lineRule="auto"/>
        <w:ind w:left="426"/>
        <w:contextualSpacing w:val="0"/>
        <w:jc w:val="both"/>
      </w:pPr>
      <w:r w:rsidRPr="003315C5">
        <w:t>La notificación se efectúa por el medio solicitado y la información se proporciona en el momento de la notificación y en el formato indicado por el solicitante.</w:t>
      </w:r>
    </w:p>
    <w:sectPr w:rsidR="00A47ADC"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A0" w:rsidRDefault="004E39A0" w:rsidP="00932008">
      <w:pPr>
        <w:spacing w:after="0" w:line="240" w:lineRule="auto"/>
      </w:pPr>
      <w:r>
        <w:separator/>
      </w:r>
    </w:p>
  </w:endnote>
  <w:endnote w:type="continuationSeparator" w:id="0">
    <w:p w:rsidR="004E39A0" w:rsidRDefault="004E39A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83" w:rsidRDefault="00124C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124C83" w:rsidRPr="00124C83" w:rsidRDefault="00124C83">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BD787A">
          <w:rPr>
            <w:noProof/>
            <w:sz w:val="20"/>
            <w:szCs w:val="20"/>
          </w:rPr>
          <w:t>6</w:t>
        </w:r>
        <w:r w:rsidRPr="00124C83">
          <w:rPr>
            <w:sz w:val="20"/>
            <w:szCs w:val="20"/>
          </w:rPr>
          <w:fldChar w:fldCharType="end"/>
        </w:r>
      </w:p>
    </w:sdtContent>
  </w:sdt>
  <w:p w:rsidR="00124C83" w:rsidRDefault="00124C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83" w:rsidRDefault="00124C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A0" w:rsidRDefault="004E39A0" w:rsidP="00932008">
      <w:pPr>
        <w:spacing w:after="0" w:line="240" w:lineRule="auto"/>
      </w:pPr>
      <w:r>
        <w:separator/>
      </w:r>
    </w:p>
  </w:footnote>
  <w:footnote w:type="continuationSeparator" w:id="0">
    <w:p w:rsidR="004E39A0" w:rsidRDefault="004E39A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83" w:rsidRDefault="00124C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83" w:rsidRDefault="00124C8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C83" w:rsidRDefault="00124C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55B15"/>
    <w:rsid w:val="000965B3"/>
    <w:rsid w:val="000C6CFF"/>
    <w:rsid w:val="00102733"/>
    <w:rsid w:val="00124C83"/>
    <w:rsid w:val="0012783F"/>
    <w:rsid w:val="00131382"/>
    <w:rsid w:val="001561A4"/>
    <w:rsid w:val="00176A94"/>
    <w:rsid w:val="00194000"/>
    <w:rsid w:val="001F251B"/>
    <w:rsid w:val="002019B0"/>
    <w:rsid w:val="00241D7A"/>
    <w:rsid w:val="00256215"/>
    <w:rsid w:val="002A154B"/>
    <w:rsid w:val="003301B4"/>
    <w:rsid w:val="003315C5"/>
    <w:rsid w:val="00334115"/>
    <w:rsid w:val="0039794E"/>
    <w:rsid w:val="003F271E"/>
    <w:rsid w:val="003F572A"/>
    <w:rsid w:val="004A123A"/>
    <w:rsid w:val="004D6E73"/>
    <w:rsid w:val="004E39A0"/>
    <w:rsid w:val="004F2655"/>
    <w:rsid w:val="005446A8"/>
    <w:rsid w:val="00561402"/>
    <w:rsid w:val="0057532F"/>
    <w:rsid w:val="00595AAF"/>
    <w:rsid w:val="00596FDE"/>
    <w:rsid w:val="005B1F0E"/>
    <w:rsid w:val="005B3C15"/>
    <w:rsid w:val="006A2766"/>
    <w:rsid w:val="00706E04"/>
    <w:rsid w:val="00707CFE"/>
    <w:rsid w:val="00710031"/>
    <w:rsid w:val="00727BA2"/>
    <w:rsid w:val="00743756"/>
    <w:rsid w:val="007507B4"/>
    <w:rsid w:val="007B0F99"/>
    <w:rsid w:val="007D6B40"/>
    <w:rsid w:val="00815659"/>
    <w:rsid w:val="008207D9"/>
    <w:rsid w:val="00844FA9"/>
    <w:rsid w:val="008C1E1E"/>
    <w:rsid w:val="00923092"/>
    <w:rsid w:val="009239D9"/>
    <w:rsid w:val="00932008"/>
    <w:rsid w:val="00935E6A"/>
    <w:rsid w:val="00956BFC"/>
    <w:rsid w:val="009609E9"/>
    <w:rsid w:val="00983919"/>
    <w:rsid w:val="00A41DD5"/>
    <w:rsid w:val="00A47ADC"/>
    <w:rsid w:val="00A76CE1"/>
    <w:rsid w:val="00A945B5"/>
    <w:rsid w:val="00A974B0"/>
    <w:rsid w:val="00AA3033"/>
    <w:rsid w:val="00AC5306"/>
    <w:rsid w:val="00AD6EC5"/>
    <w:rsid w:val="00B40246"/>
    <w:rsid w:val="00B5583D"/>
    <w:rsid w:val="00B812AB"/>
    <w:rsid w:val="00B841AE"/>
    <w:rsid w:val="00B85710"/>
    <w:rsid w:val="00BB6799"/>
    <w:rsid w:val="00BD4582"/>
    <w:rsid w:val="00BD787A"/>
    <w:rsid w:val="00BE6A46"/>
    <w:rsid w:val="00C14BCD"/>
    <w:rsid w:val="00C33A23"/>
    <w:rsid w:val="00C33A3B"/>
    <w:rsid w:val="00C34BB5"/>
    <w:rsid w:val="00C4479B"/>
    <w:rsid w:val="00C562D3"/>
    <w:rsid w:val="00C5744D"/>
    <w:rsid w:val="00C65054"/>
    <w:rsid w:val="00CA2D21"/>
    <w:rsid w:val="00CB5511"/>
    <w:rsid w:val="00CC2049"/>
    <w:rsid w:val="00CC587B"/>
    <w:rsid w:val="00D00B77"/>
    <w:rsid w:val="00D445A7"/>
    <w:rsid w:val="00D52E43"/>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4013B"/>
    <w:rsid w:val="00F46483"/>
    <w:rsid w:val="00F47C3B"/>
    <w:rsid w:val="00F60274"/>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C7AFA"/>
    <w:rsid w:val="003D088C"/>
    <w:rsid w:val="004A2868"/>
    <w:rsid w:val="00902153"/>
    <w:rsid w:val="00C26568"/>
    <w:rsid w:val="00D20FBA"/>
    <w:rsid w:val="00D35513"/>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7F077C6-01A2-45DE-8AC7-D371182E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6</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2021-04-07T10:48:00Z</dcterms:created>
  <dcterms:modified xsi:type="dcterms:W3CDTF">2021-04-07T10:48:00Z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