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309880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D36E80" w:rsidRPr="00006957" w:rsidRDefault="00D36E8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10;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" filled="f" stroked="f">
                <v:textbox inset=",7.2pt,,7.2pt">
                  <w:txbxContent>
                    <w:sdt>
                      <w:sdtPr>
                        <w:rPr>
                          <w:rFonts w:ascii="Century Gothic" w:hAnsi="Century Gothic"/>
                          <w:sz w:val="50"/>
                          <w:szCs w:val="50"/>
                        </w:rPr>
                        <w:id w:val="228783080"/>
                      </w:sdtPr>
                      <w:sdtContent>
                        <w:p w:rsidR="00D36E80" w:rsidRPr="00006957" w:rsidRDefault="00D36E8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D36E80" w:rsidRDefault="00D36E8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D36E80" w:rsidRDefault="00D36E8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F31A2F" w:rsidRPr="00CB5511" w:rsidTr="008F352C">
        <w:tc>
          <w:tcPr>
            <w:tcW w:w="3652" w:type="dxa"/>
          </w:tcPr>
          <w:p w:rsidR="00F31A2F" w:rsidRPr="00E34195" w:rsidRDefault="00F31A2F" w:rsidP="008F352C">
            <w:pPr>
              <w:rPr>
                <w:b/>
                <w:color w:val="00642D"/>
                <w:sz w:val="24"/>
                <w:szCs w:val="24"/>
              </w:rPr>
            </w:pPr>
            <w:r w:rsidRPr="00E34195">
              <w:rPr>
                <w:b/>
                <w:color w:val="00642D"/>
                <w:sz w:val="24"/>
                <w:szCs w:val="24"/>
              </w:rPr>
              <w:t>Entidad evaluada</w:t>
            </w:r>
          </w:p>
        </w:tc>
        <w:tc>
          <w:tcPr>
            <w:tcW w:w="6954" w:type="dxa"/>
          </w:tcPr>
          <w:p w:rsidR="00F31A2F" w:rsidRPr="00CB5511" w:rsidRDefault="00F31A2F" w:rsidP="008F352C">
            <w:pPr>
              <w:rPr>
                <w:sz w:val="24"/>
                <w:szCs w:val="24"/>
              </w:rPr>
            </w:pPr>
            <w:r>
              <w:rPr>
                <w:sz w:val="24"/>
                <w:szCs w:val="24"/>
              </w:rPr>
              <w:t>Tribunal de Cuentas</w:t>
            </w:r>
          </w:p>
        </w:tc>
      </w:tr>
      <w:tr w:rsidR="00F31A2F" w:rsidRPr="00CB5511" w:rsidTr="008F352C">
        <w:tc>
          <w:tcPr>
            <w:tcW w:w="3652" w:type="dxa"/>
          </w:tcPr>
          <w:p w:rsidR="00F31A2F" w:rsidRPr="00E34195" w:rsidRDefault="00F31A2F" w:rsidP="008F352C">
            <w:pPr>
              <w:rPr>
                <w:b/>
                <w:color w:val="00642D"/>
                <w:sz w:val="24"/>
                <w:szCs w:val="24"/>
              </w:rPr>
            </w:pPr>
            <w:r w:rsidRPr="00E34195">
              <w:rPr>
                <w:b/>
                <w:color w:val="00642D"/>
                <w:sz w:val="24"/>
                <w:szCs w:val="24"/>
              </w:rPr>
              <w:t>Fecha de la evaluación</w:t>
            </w:r>
          </w:p>
        </w:tc>
        <w:tc>
          <w:tcPr>
            <w:tcW w:w="6954" w:type="dxa"/>
          </w:tcPr>
          <w:p w:rsidR="00F31A2F" w:rsidRPr="00CB5511" w:rsidRDefault="00F31A2F" w:rsidP="008F352C">
            <w:pPr>
              <w:rPr>
                <w:sz w:val="24"/>
                <w:szCs w:val="24"/>
              </w:rPr>
            </w:pPr>
            <w:r>
              <w:rPr>
                <w:sz w:val="24"/>
                <w:szCs w:val="24"/>
              </w:rPr>
              <w:t>18/03/2021</w:t>
            </w:r>
          </w:p>
        </w:tc>
      </w:tr>
    </w:tbl>
    <w:p w:rsidR="00F31A2F" w:rsidRDefault="00F31A2F"/>
    <w:p w:rsidR="00F31A2F" w:rsidRDefault="00F31A2F"/>
    <w:p w:rsidR="00561402" w:rsidRPr="0012783F" w:rsidRDefault="00487EA9">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12783F" w:rsidRDefault="008F352C" w:rsidP="0012783F">
      <w:pPr>
        <w:pStyle w:val="Cuerpodelboletn"/>
        <w:spacing w:before="120" w:after="120" w:line="312" w:lineRule="auto"/>
        <w:ind w:left="360"/>
        <w:rPr>
          <w:rStyle w:val="Ttulo2Car"/>
          <w:b w:val="0"/>
          <w:color w:val="auto"/>
          <w:sz w:val="22"/>
          <w:szCs w:val="22"/>
          <w:lang w:bidi="es-ES"/>
        </w:rPr>
      </w:pPr>
      <w:r>
        <w:rPr>
          <w:rStyle w:val="Ttulo2Car"/>
          <w:b w:val="0"/>
          <w:color w:val="auto"/>
          <w:sz w:val="22"/>
          <w:szCs w:val="22"/>
          <w:lang w:bidi="es-ES"/>
        </w:rPr>
        <w:t>En l</w:t>
      </w:r>
      <w:r w:rsidRPr="008F352C">
        <w:rPr>
          <w:rStyle w:val="Ttulo2Car"/>
          <w:b w:val="0"/>
          <w:color w:val="auto"/>
          <w:sz w:val="22"/>
          <w:szCs w:val="22"/>
          <w:lang w:bidi="es-ES"/>
        </w:rPr>
        <w:t xml:space="preserve">a gestión </w:t>
      </w:r>
      <w:r>
        <w:rPr>
          <w:rStyle w:val="Ttulo2Car"/>
          <w:b w:val="0"/>
          <w:color w:val="auto"/>
          <w:sz w:val="22"/>
          <w:szCs w:val="22"/>
          <w:lang w:bidi="es-ES"/>
        </w:rPr>
        <w:t xml:space="preserve">de las solicitudes de acceso a información pública del TCU, intervienen la Secretaría General y la Presidencia. Se ha asignado a la tramitación de las solicitudes de acceso </w:t>
      </w:r>
      <w:r w:rsidR="00C97C31">
        <w:rPr>
          <w:rStyle w:val="Ttulo2Car"/>
          <w:b w:val="0"/>
          <w:color w:val="auto"/>
          <w:sz w:val="22"/>
          <w:szCs w:val="22"/>
          <w:lang w:bidi="es-ES"/>
        </w:rPr>
        <w:t>tres</w:t>
      </w:r>
      <w:r>
        <w:rPr>
          <w:rStyle w:val="Ttulo2Car"/>
          <w:b w:val="0"/>
          <w:color w:val="auto"/>
          <w:sz w:val="22"/>
          <w:szCs w:val="22"/>
          <w:lang w:bidi="es-ES"/>
        </w:rPr>
        <w:t xml:space="preserve"> personas que compatibilizan esta actividad con otras funciones.</w:t>
      </w:r>
    </w:p>
    <w:p w:rsidR="00AC34E4" w:rsidRPr="008F352C" w:rsidRDefault="00AC34E4" w:rsidP="0012783F">
      <w:pPr>
        <w:pStyle w:val="Cuerpodelboletn"/>
        <w:spacing w:before="120" w:after="120" w:line="312" w:lineRule="auto"/>
        <w:ind w:left="360"/>
        <w:rPr>
          <w:rStyle w:val="Ttulo2Car"/>
          <w:b w:val="0"/>
          <w:color w:val="auto"/>
          <w:sz w:val="22"/>
          <w:szCs w:val="22"/>
          <w:lang w:bidi="es-ES"/>
        </w:rPr>
      </w:pPr>
    </w:p>
    <w:p w:rsidR="00B812AB" w:rsidRPr="0012783F" w:rsidRDefault="00487EA9" w:rsidP="00B812AB">
      <w:pPr>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F9324B">
            <w:rPr>
              <w:b/>
              <w:color w:val="00642D"/>
              <w:sz w:val="30"/>
              <w:szCs w:val="30"/>
            </w:rPr>
            <w:t xml:space="preserve"> </w:t>
          </w:r>
        </w:sdtContent>
      </w:sdt>
    </w:p>
    <w:p w:rsidR="00AC34E4" w:rsidRDefault="00AC34E4" w:rsidP="0012783F">
      <w:pPr>
        <w:pStyle w:val="Cuerpodelboletn"/>
        <w:spacing w:before="120" w:after="120" w:line="312" w:lineRule="auto"/>
        <w:ind w:left="360"/>
        <w:rPr>
          <w:rStyle w:val="Ttulo2Car"/>
          <w:color w:val="00642D"/>
          <w:lang w:bidi="es-ES"/>
        </w:rPr>
      </w:pPr>
    </w:p>
    <w:p w:rsidR="00B812AB" w:rsidRDefault="00A41DD5" w:rsidP="0012783F">
      <w:pPr>
        <w:pStyle w:val="Cuerpodelboletn"/>
        <w:spacing w:before="120" w:after="120" w:line="312" w:lineRule="auto"/>
        <w:ind w:left="360"/>
        <w:rPr>
          <w:rStyle w:val="Ttulo2Car"/>
          <w:color w:val="00642D"/>
          <w:lang w:bidi="es-ES"/>
        </w:rPr>
      </w:pPr>
      <w:r w:rsidRPr="00A41DD5">
        <w:rPr>
          <w:rStyle w:val="Ttulo2Car"/>
          <w:color w:val="00642D"/>
          <w:lang w:bidi="es-ES"/>
        </w:rPr>
        <w:t>II.1</w:t>
      </w:r>
      <w:r w:rsidR="00B812AB" w:rsidRPr="00B812AB">
        <w:rPr>
          <w:rStyle w:val="Ttulo2Car"/>
          <w:color w:val="00642D"/>
          <w:lang w:bidi="es-ES"/>
        </w:rPr>
        <w:t>Solicitudes gestionadas en 2020</w:t>
      </w:r>
    </w:p>
    <w:p w:rsidR="008F352C" w:rsidRDefault="008F352C" w:rsidP="008F352C">
      <w:pPr>
        <w:ind w:left="426"/>
        <w:jc w:val="both"/>
      </w:pPr>
      <w:r>
        <w:t xml:space="preserve">En 2020, el TCU recibió 35 solicitudes, que se tramitaron lo largo de 2020. De estas 35 solicitudes tramitadas, 17 fueron admitidas, quedando inadmitidas 18, todas ellas por la misma causa: tratarse </w:t>
      </w:r>
      <w:r w:rsidRPr="008F352C">
        <w:t>de información con un régimen específico de acceso</w:t>
      </w:r>
      <w:r w:rsidR="00F9324B">
        <w:t>. S</w:t>
      </w:r>
      <w:r>
        <w:t xml:space="preserve">egún informa el TCU </w:t>
      </w:r>
      <w:r w:rsidRPr="008F352C">
        <w:t xml:space="preserve">son solicitudes relativas al ejercicio de </w:t>
      </w:r>
      <w:r w:rsidR="00F9324B" w:rsidRPr="008F352C">
        <w:t>las competencias fiscalizadoras</w:t>
      </w:r>
      <w:r w:rsidRPr="008F352C">
        <w:t xml:space="preserve"> o de enjuiciamiento contable que no se encuentran en el ámbito </w:t>
      </w:r>
      <w:r>
        <w:t>de aplicación de la LTAIBG al TCU que se limita a las actividades del Tribunal sujetas a derecho administrativo</w:t>
      </w:r>
      <w:r w:rsidRPr="008F352C">
        <w:t>.</w:t>
      </w:r>
      <w:r>
        <w:t xml:space="preserve"> </w:t>
      </w:r>
    </w:p>
    <w:p w:rsidR="00AC34E4" w:rsidRDefault="00AC34E4" w:rsidP="00F7263F">
      <w:pPr>
        <w:pStyle w:val="Cuerpodelboletn"/>
        <w:spacing w:before="120" w:after="120" w:line="312" w:lineRule="auto"/>
        <w:ind w:left="360"/>
        <w:rPr>
          <w:rStyle w:val="Ttulo2Car"/>
          <w:color w:val="00642D"/>
          <w:lang w:bidi="es-ES"/>
        </w:rPr>
      </w:pPr>
    </w:p>
    <w:p w:rsidR="00AC34E4" w:rsidRDefault="00AC34E4" w:rsidP="00F7263F">
      <w:pPr>
        <w:pStyle w:val="Cuerpodelboletn"/>
        <w:spacing w:before="120" w:after="120" w:line="312" w:lineRule="auto"/>
        <w:ind w:left="360"/>
        <w:rPr>
          <w:rStyle w:val="Ttulo2Car"/>
          <w:color w:val="00642D"/>
          <w:lang w:bidi="es-ES"/>
        </w:rPr>
      </w:pPr>
    </w:p>
    <w:p w:rsidR="00F7263F" w:rsidRDefault="00F7263F" w:rsidP="00F7263F">
      <w:pPr>
        <w:pStyle w:val="Cuerpodelboletn"/>
        <w:spacing w:before="120" w:after="120" w:line="312" w:lineRule="auto"/>
        <w:ind w:left="360"/>
        <w:rPr>
          <w:rStyle w:val="Ttulo2Car"/>
          <w:color w:val="00642D"/>
          <w:lang w:bidi="es-ES"/>
        </w:rPr>
      </w:pPr>
      <w:r w:rsidRPr="00A41DD5">
        <w:rPr>
          <w:rStyle w:val="Ttulo2Car"/>
          <w:color w:val="00642D"/>
          <w:lang w:bidi="es-ES"/>
        </w:rPr>
        <w:lastRenderedPageBreak/>
        <w:t>II.</w:t>
      </w:r>
      <w:r>
        <w:rPr>
          <w:rStyle w:val="Ttulo2Car"/>
          <w:color w:val="00642D"/>
          <w:lang w:bidi="es-ES"/>
        </w:rPr>
        <w:t xml:space="preserve">2 Indicadores de tramitación </w:t>
      </w:r>
      <w:r w:rsidRPr="00B812AB">
        <w:rPr>
          <w:rStyle w:val="Ttulo2Car"/>
          <w:color w:val="00642D"/>
          <w:lang w:bidi="es-ES"/>
        </w:rPr>
        <w:t>en 2020</w:t>
      </w:r>
    </w:p>
    <w:p w:rsidR="00AC34E4" w:rsidRDefault="00AC34E4" w:rsidP="00AC34E4">
      <w:pPr>
        <w:ind w:left="426"/>
        <w:jc w:val="both"/>
        <w:rPr>
          <w:rStyle w:val="Ttulo2Car"/>
          <w:b w:val="0"/>
          <w:color w:val="auto"/>
          <w:sz w:val="22"/>
          <w:szCs w:val="22"/>
          <w:lang w:bidi="es-ES"/>
        </w:rPr>
      </w:pPr>
      <w:r w:rsidRPr="00647481">
        <w:rPr>
          <w:rStyle w:val="Ttulo2Car"/>
          <w:b w:val="0"/>
          <w:color w:val="auto"/>
          <w:sz w:val="22"/>
          <w:szCs w:val="22"/>
          <w:lang w:bidi="es-ES"/>
        </w:rPr>
        <w:t>En 2020</w:t>
      </w:r>
      <w:r>
        <w:rPr>
          <w:rStyle w:val="Ttulo2Car"/>
          <w:b w:val="0"/>
          <w:color w:val="auto"/>
          <w:sz w:val="22"/>
          <w:szCs w:val="22"/>
          <w:lang w:bidi="es-ES"/>
        </w:rPr>
        <w:t xml:space="preserve">, en promedio, cada una de las personas asignadas asumió y tramitó 11,67 solicitudes. </w:t>
      </w:r>
    </w:p>
    <w:p w:rsidR="00AC34E4" w:rsidRDefault="00AC34E4" w:rsidP="00AC34E4">
      <w:pPr>
        <w:ind w:left="426"/>
        <w:jc w:val="both"/>
        <w:rPr>
          <w:rStyle w:val="Ttulo2Car"/>
          <w:b w:val="0"/>
          <w:color w:val="auto"/>
          <w:sz w:val="22"/>
          <w:szCs w:val="22"/>
          <w:lang w:bidi="es-ES"/>
        </w:rPr>
      </w:pPr>
      <w:r>
        <w:rPr>
          <w:rStyle w:val="Ttulo2Car"/>
          <w:b w:val="0"/>
          <w:color w:val="auto"/>
          <w:sz w:val="22"/>
          <w:szCs w:val="22"/>
          <w:lang w:bidi="es-ES"/>
        </w:rPr>
        <w:t>En 2020 se tramitó el 100% de las solicitudes. El TCU admite un 48,57% de las solicitudes tramitadas e inadmite un 51,43%, por versar sobre información del TCU no sujeta al ámbito de aplicación de la LTAIBG.</w:t>
      </w:r>
      <w:r w:rsidR="00F9324B">
        <w:rPr>
          <w:rStyle w:val="Ttulo2Car"/>
          <w:b w:val="0"/>
          <w:color w:val="auto"/>
          <w:sz w:val="22"/>
          <w:szCs w:val="22"/>
          <w:lang w:bidi="es-ES"/>
        </w:rPr>
        <w:t xml:space="preserve"> </w:t>
      </w:r>
    </w:p>
    <w:p w:rsidR="000E529D" w:rsidRDefault="000E529D" w:rsidP="00AC34E4">
      <w:pPr>
        <w:ind w:left="426"/>
        <w:jc w:val="both"/>
        <w:rPr>
          <w:rStyle w:val="Ttulo2Car"/>
          <w:color w:val="00642D"/>
          <w:lang w:bidi="es-ES"/>
        </w:rPr>
      </w:pPr>
      <w:r w:rsidRPr="00647481">
        <w:rPr>
          <w:rStyle w:val="Ttulo2Car"/>
          <w:color w:val="00642D"/>
          <w:sz w:val="22"/>
          <w:szCs w:val="22"/>
          <w:lang w:bidi="es-ES"/>
        </w:rPr>
        <w:t xml:space="preserve">Tabla </w:t>
      </w:r>
      <w:r w:rsidRPr="00647481">
        <w:rPr>
          <w:rStyle w:val="Ttulo2Car"/>
          <w:b w:val="0"/>
          <w:color w:val="00642D"/>
          <w:sz w:val="22"/>
          <w:szCs w:val="22"/>
          <w:lang w:bidi="es-ES"/>
        </w:rPr>
        <w:fldChar w:fldCharType="begin"/>
      </w:r>
      <w:r w:rsidRPr="00647481">
        <w:rPr>
          <w:rStyle w:val="Ttulo2Car"/>
          <w:color w:val="00642D"/>
          <w:sz w:val="22"/>
          <w:szCs w:val="22"/>
          <w:lang w:bidi="es-ES"/>
        </w:rPr>
        <w:instrText xml:space="preserve"> SEQ Tabla \* ARABIC </w:instrText>
      </w:r>
      <w:r w:rsidRPr="00647481">
        <w:rPr>
          <w:rStyle w:val="Ttulo2Car"/>
          <w:b w:val="0"/>
          <w:color w:val="00642D"/>
          <w:sz w:val="22"/>
          <w:szCs w:val="22"/>
          <w:lang w:bidi="es-ES"/>
        </w:rPr>
        <w:fldChar w:fldCharType="separate"/>
      </w:r>
      <w:r>
        <w:rPr>
          <w:rStyle w:val="Ttulo2Car"/>
          <w:noProof/>
          <w:color w:val="00642D"/>
          <w:sz w:val="22"/>
          <w:szCs w:val="22"/>
          <w:lang w:bidi="es-ES"/>
        </w:rPr>
        <w:t>1</w:t>
      </w:r>
      <w:r w:rsidRPr="00647481">
        <w:rPr>
          <w:rStyle w:val="Ttulo2Car"/>
          <w:b w:val="0"/>
          <w:color w:val="00642D"/>
          <w:sz w:val="22"/>
          <w:szCs w:val="22"/>
          <w:lang w:bidi="es-ES"/>
        </w:rPr>
        <w:fldChar w:fldCharType="end"/>
      </w:r>
      <w:r w:rsidRPr="00647481">
        <w:rPr>
          <w:rStyle w:val="Ttulo2Car"/>
          <w:color w:val="00642D"/>
          <w:sz w:val="22"/>
          <w:szCs w:val="22"/>
          <w:lang w:bidi="es-ES"/>
        </w:rPr>
        <w:t>: Indicadores de tramitación 2020</w:t>
      </w:r>
    </w:p>
    <w:tbl>
      <w:tblPr>
        <w:tblStyle w:val="Tablaconcuadrcula"/>
        <w:tblW w:w="0" w:type="auto"/>
        <w:tblInd w:w="534" w:type="dxa"/>
        <w:tblLook w:val="04A0" w:firstRow="1" w:lastRow="0" w:firstColumn="1" w:lastColumn="0" w:noHBand="0" w:noVBand="1"/>
      </w:tblPr>
      <w:tblGrid>
        <w:gridCol w:w="1299"/>
        <w:gridCol w:w="6322"/>
        <w:gridCol w:w="1559"/>
      </w:tblGrid>
      <w:tr w:rsidR="00F31A2F" w:rsidRPr="00706E04" w:rsidTr="00AC34E4">
        <w:tc>
          <w:tcPr>
            <w:tcW w:w="1299" w:type="dxa"/>
            <w:vMerge w:val="restart"/>
            <w:tcBorders>
              <w:top w:val="nil"/>
              <w:right w:val="nil"/>
            </w:tcBorders>
            <w:shd w:val="clear" w:color="auto" w:fill="4D7F52"/>
            <w:textDirection w:val="btLr"/>
          </w:tcPr>
          <w:p w:rsidR="00F31A2F" w:rsidRPr="005B3C15" w:rsidRDefault="00F31A2F" w:rsidP="00983919">
            <w:pPr>
              <w:ind w:left="113" w:right="113"/>
              <w:jc w:val="center"/>
              <w:rPr>
                <w:b/>
                <w:color w:val="FFFFFF" w:themeColor="background1"/>
              </w:rPr>
            </w:pPr>
            <w:r w:rsidRPr="005B3C15">
              <w:rPr>
                <w:b/>
                <w:color w:val="FFFFFF" w:themeColor="background1"/>
              </w:rPr>
              <w:t>Indicadores de tramitación</w:t>
            </w:r>
          </w:p>
        </w:tc>
        <w:tc>
          <w:tcPr>
            <w:tcW w:w="6322" w:type="dxa"/>
            <w:tcBorders>
              <w:left w:val="nil"/>
            </w:tcBorders>
          </w:tcPr>
          <w:p w:rsidR="00F31A2F" w:rsidRPr="00F31A2F" w:rsidRDefault="00F31A2F" w:rsidP="00055B15">
            <w:pPr>
              <w:rPr>
                <w:sz w:val="20"/>
                <w:szCs w:val="20"/>
              </w:rPr>
            </w:pPr>
            <w:r w:rsidRPr="00F31A2F">
              <w:rPr>
                <w:sz w:val="20"/>
                <w:szCs w:val="20"/>
              </w:rPr>
              <w:t>Solicitudes/persona UIT</w:t>
            </w:r>
          </w:p>
        </w:tc>
        <w:tc>
          <w:tcPr>
            <w:tcW w:w="1559" w:type="dxa"/>
            <w:vAlign w:val="center"/>
          </w:tcPr>
          <w:p w:rsidR="00F31A2F" w:rsidRPr="00F31A2F" w:rsidRDefault="00F31A2F" w:rsidP="00F31A2F">
            <w:pPr>
              <w:jc w:val="center"/>
              <w:rPr>
                <w:sz w:val="20"/>
                <w:szCs w:val="20"/>
              </w:rPr>
            </w:pPr>
            <w:r w:rsidRPr="00F31A2F">
              <w:rPr>
                <w:sz w:val="20"/>
                <w:szCs w:val="20"/>
              </w:rPr>
              <w:t>11,67</w:t>
            </w:r>
          </w:p>
        </w:tc>
      </w:tr>
      <w:tr w:rsidR="00F31A2F" w:rsidRPr="00706E04" w:rsidTr="00AC34E4">
        <w:tc>
          <w:tcPr>
            <w:tcW w:w="1299" w:type="dxa"/>
            <w:vMerge/>
            <w:tcBorders>
              <w:top w:val="nil"/>
              <w:right w:val="nil"/>
            </w:tcBorders>
            <w:shd w:val="clear" w:color="auto" w:fill="4D7F52"/>
            <w:textDirection w:val="btLr"/>
          </w:tcPr>
          <w:p w:rsidR="00F31A2F" w:rsidRPr="005B3C15" w:rsidRDefault="00F31A2F" w:rsidP="00983919">
            <w:pPr>
              <w:ind w:left="113" w:right="113"/>
              <w:jc w:val="center"/>
              <w:rPr>
                <w:b/>
                <w:color w:val="FFFFFF" w:themeColor="background1"/>
              </w:rPr>
            </w:pPr>
          </w:p>
        </w:tc>
        <w:tc>
          <w:tcPr>
            <w:tcW w:w="6322" w:type="dxa"/>
            <w:tcBorders>
              <w:left w:val="nil"/>
            </w:tcBorders>
          </w:tcPr>
          <w:p w:rsidR="00F31A2F" w:rsidRPr="00F31A2F" w:rsidRDefault="00F31A2F" w:rsidP="00055B15">
            <w:pPr>
              <w:rPr>
                <w:sz w:val="20"/>
                <w:szCs w:val="20"/>
              </w:rPr>
            </w:pPr>
            <w:r w:rsidRPr="00F31A2F">
              <w:rPr>
                <w:sz w:val="20"/>
                <w:szCs w:val="20"/>
              </w:rPr>
              <w:t>Solicitudes tramitadas/persona UIT</w:t>
            </w:r>
          </w:p>
        </w:tc>
        <w:tc>
          <w:tcPr>
            <w:tcW w:w="1559" w:type="dxa"/>
            <w:vAlign w:val="center"/>
          </w:tcPr>
          <w:p w:rsidR="00F31A2F" w:rsidRPr="00F31A2F" w:rsidRDefault="00F31A2F" w:rsidP="00F31A2F">
            <w:pPr>
              <w:jc w:val="center"/>
              <w:rPr>
                <w:sz w:val="20"/>
                <w:szCs w:val="20"/>
              </w:rPr>
            </w:pPr>
            <w:r w:rsidRPr="00F31A2F">
              <w:rPr>
                <w:sz w:val="20"/>
                <w:szCs w:val="20"/>
              </w:rPr>
              <w:t>11,67</w:t>
            </w:r>
          </w:p>
        </w:tc>
      </w:tr>
      <w:tr w:rsidR="00F31A2F" w:rsidRPr="00706E04" w:rsidTr="00AC34E4">
        <w:tc>
          <w:tcPr>
            <w:tcW w:w="1299" w:type="dxa"/>
            <w:vMerge/>
            <w:tcBorders>
              <w:right w:val="nil"/>
            </w:tcBorders>
            <w:shd w:val="clear" w:color="auto" w:fill="4D7F52"/>
            <w:textDirection w:val="btLr"/>
          </w:tcPr>
          <w:p w:rsidR="00F31A2F" w:rsidRPr="005B3C15" w:rsidRDefault="00F31A2F" w:rsidP="00983919">
            <w:pPr>
              <w:ind w:left="113" w:right="113"/>
              <w:jc w:val="center"/>
              <w:rPr>
                <w:b/>
                <w:color w:val="FFFFFF" w:themeColor="background1"/>
              </w:rPr>
            </w:pPr>
          </w:p>
        </w:tc>
        <w:tc>
          <w:tcPr>
            <w:tcW w:w="6322" w:type="dxa"/>
            <w:tcBorders>
              <w:left w:val="nil"/>
            </w:tcBorders>
          </w:tcPr>
          <w:p w:rsidR="00F31A2F" w:rsidRPr="00F31A2F" w:rsidRDefault="00F31A2F" w:rsidP="00983919">
            <w:pPr>
              <w:rPr>
                <w:sz w:val="20"/>
                <w:szCs w:val="20"/>
              </w:rPr>
            </w:pPr>
            <w:r w:rsidRPr="00F31A2F">
              <w:rPr>
                <w:sz w:val="20"/>
                <w:szCs w:val="20"/>
              </w:rPr>
              <w:t>Tasa de Tramitación (tramitadas/(pendientes a 31/12/2019 + recibidas 2020))</w:t>
            </w:r>
          </w:p>
        </w:tc>
        <w:tc>
          <w:tcPr>
            <w:tcW w:w="1559" w:type="dxa"/>
            <w:vAlign w:val="center"/>
          </w:tcPr>
          <w:p w:rsidR="00F31A2F" w:rsidRPr="00F31A2F" w:rsidRDefault="00F31A2F" w:rsidP="00F31A2F">
            <w:pPr>
              <w:jc w:val="center"/>
              <w:rPr>
                <w:sz w:val="20"/>
                <w:szCs w:val="20"/>
              </w:rPr>
            </w:pPr>
            <w:r w:rsidRPr="00F31A2F">
              <w:rPr>
                <w:sz w:val="20"/>
                <w:szCs w:val="20"/>
              </w:rPr>
              <w:t>100,00</w:t>
            </w:r>
          </w:p>
        </w:tc>
      </w:tr>
      <w:tr w:rsidR="00F31A2F" w:rsidRPr="00706E04" w:rsidTr="00AC34E4">
        <w:tc>
          <w:tcPr>
            <w:tcW w:w="1299" w:type="dxa"/>
            <w:vMerge/>
            <w:tcBorders>
              <w:right w:val="nil"/>
            </w:tcBorders>
            <w:shd w:val="clear" w:color="auto" w:fill="4D7F52"/>
            <w:textDirection w:val="btLr"/>
          </w:tcPr>
          <w:p w:rsidR="00F31A2F" w:rsidRPr="005B3C15" w:rsidRDefault="00F31A2F" w:rsidP="00983919">
            <w:pPr>
              <w:ind w:left="113" w:right="113"/>
              <w:jc w:val="center"/>
              <w:rPr>
                <w:b/>
                <w:color w:val="FFFFFF" w:themeColor="background1"/>
              </w:rPr>
            </w:pPr>
          </w:p>
        </w:tc>
        <w:tc>
          <w:tcPr>
            <w:tcW w:w="6322" w:type="dxa"/>
            <w:tcBorders>
              <w:left w:val="nil"/>
            </w:tcBorders>
          </w:tcPr>
          <w:p w:rsidR="00F31A2F" w:rsidRPr="00F31A2F" w:rsidRDefault="00F31A2F" w:rsidP="00983919">
            <w:pPr>
              <w:rPr>
                <w:sz w:val="20"/>
                <w:szCs w:val="20"/>
              </w:rPr>
            </w:pPr>
            <w:r w:rsidRPr="00F31A2F">
              <w:rPr>
                <w:sz w:val="20"/>
                <w:szCs w:val="20"/>
              </w:rPr>
              <w:t>Tasa de pendencia (pendientes a 31/12/2020 / tramitadas)</w:t>
            </w:r>
          </w:p>
        </w:tc>
        <w:tc>
          <w:tcPr>
            <w:tcW w:w="1559" w:type="dxa"/>
            <w:vAlign w:val="center"/>
          </w:tcPr>
          <w:p w:rsidR="00F31A2F" w:rsidRPr="00F31A2F" w:rsidRDefault="00F31A2F" w:rsidP="00F31A2F">
            <w:pPr>
              <w:jc w:val="center"/>
              <w:rPr>
                <w:sz w:val="20"/>
                <w:szCs w:val="20"/>
              </w:rPr>
            </w:pPr>
            <w:r w:rsidRPr="00F31A2F">
              <w:rPr>
                <w:sz w:val="20"/>
                <w:szCs w:val="20"/>
              </w:rPr>
              <w:t>,00</w:t>
            </w:r>
          </w:p>
        </w:tc>
      </w:tr>
      <w:tr w:rsidR="00F31A2F" w:rsidRPr="00706E04" w:rsidTr="00AC34E4">
        <w:tc>
          <w:tcPr>
            <w:tcW w:w="1299" w:type="dxa"/>
            <w:vMerge/>
            <w:tcBorders>
              <w:right w:val="nil"/>
            </w:tcBorders>
            <w:shd w:val="clear" w:color="auto" w:fill="4D7F52"/>
            <w:textDirection w:val="btLr"/>
          </w:tcPr>
          <w:p w:rsidR="00F31A2F" w:rsidRPr="005B3C15" w:rsidRDefault="00F31A2F" w:rsidP="00983919">
            <w:pPr>
              <w:ind w:left="113" w:right="113"/>
              <w:jc w:val="center"/>
              <w:rPr>
                <w:b/>
                <w:color w:val="FFFFFF" w:themeColor="background1"/>
              </w:rPr>
            </w:pPr>
          </w:p>
        </w:tc>
        <w:tc>
          <w:tcPr>
            <w:tcW w:w="6322" w:type="dxa"/>
            <w:tcBorders>
              <w:left w:val="nil"/>
            </w:tcBorders>
          </w:tcPr>
          <w:p w:rsidR="00F31A2F" w:rsidRPr="00F31A2F" w:rsidRDefault="00F31A2F" w:rsidP="001F251B">
            <w:pPr>
              <w:rPr>
                <w:sz w:val="20"/>
                <w:szCs w:val="20"/>
              </w:rPr>
            </w:pPr>
            <w:r w:rsidRPr="00F31A2F">
              <w:rPr>
                <w:sz w:val="20"/>
                <w:szCs w:val="20"/>
              </w:rPr>
              <w:t>Tasa de resolución en la tramitación (tramitadas/entradas en 2020)</w:t>
            </w:r>
          </w:p>
        </w:tc>
        <w:tc>
          <w:tcPr>
            <w:tcW w:w="1559" w:type="dxa"/>
            <w:vAlign w:val="center"/>
          </w:tcPr>
          <w:p w:rsidR="00F31A2F" w:rsidRPr="00F31A2F" w:rsidRDefault="00F31A2F" w:rsidP="00F31A2F">
            <w:pPr>
              <w:jc w:val="center"/>
              <w:rPr>
                <w:sz w:val="20"/>
                <w:szCs w:val="20"/>
              </w:rPr>
            </w:pPr>
            <w:r w:rsidRPr="00F31A2F">
              <w:rPr>
                <w:sz w:val="20"/>
                <w:szCs w:val="20"/>
              </w:rPr>
              <w:t>100,00</w:t>
            </w:r>
          </w:p>
        </w:tc>
      </w:tr>
      <w:tr w:rsidR="00F31A2F" w:rsidRPr="00706E04" w:rsidTr="00AC34E4">
        <w:tc>
          <w:tcPr>
            <w:tcW w:w="1299" w:type="dxa"/>
            <w:vMerge/>
            <w:tcBorders>
              <w:right w:val="nil"/>
            </w:tcBorders>
            <w:shd w:val="clear" w:color="auto" w:fill="4D7F52"/>
            <w:textDirection w:val="btLr"/>
          </w:tcPr>
          <w:p w:rsidR="00F31A2F" w:rsidRPr="005B3C15" w:rsidRDefault="00F31A2F" w:rsidP="00983919">
            <w:pPr>
              <w:ind w:left="113" w:right="113"/>
              <w:jc w:val="center"/>
              <w:rPr>
                <w:b/>
                <w:color w:val="FFFFFF" w:themeColor="background1"/>
              </w:rPr>
            </w:pPr>
          </w:p>
        </w:tc>
        <w:tc>
          <w:tcPr>
            <w:tcW w:w="6322" w:type="dxa"/>
            <w:tcBorders>
              <w:left w:val="nil"/>
            </w:tcBorders>
          </w:tcPr>
          <w:p w:rsidR="00F31A2F" w:rsidRPr="00F31A2F" w:rsidRDefault="00F31A2F" w:rsidP="00983919">
            <w:pPr>
              <w:rPr>
                <w:sz w:val="20"/>
                <w:szCs w:val="20"/>
              </w:rPr>
            </w:pPr>
            <w:r w:rsidRPr="00F31A2F">
              <w:rPr>
                <w:sz w:val="20"/>
                <w:szCs w:val="20"/>
              </w:rPr>
              <w:t>Tasa de congestión ((pendientes a 31/12/2019 + entradas 2020) / tramitadas</w:t>
            </w:r>
          </w:p>
        </w:tc>
        <w:tc>
          <w:tcPr>
            <w:tcW w:w="1559" w:type="dxa"/>
            <w:vAlign w:val="center"/>
          </w:tcPr>
          <w:p w:rsidR="00F31A2F" w:rsidRPr="00F31A2F" w:rsidRDefault="00F31A2F" w:rsidP="00F31A2F">
            <w:pPr>
              <w:jc w:val="center"/>
              <w:rPr>
                <w:sz w:val="20"/>
                <w:szCs w:val="20"/>
              </w:rPr>
            </w:pPr>
            <w:r w:rsidRPr="00F31A2F">
              <w:rPr>
                <w:sz w:val="20"/>
                <w:szCs w:val="20"/>
              </w:rPr>
              <w:t>100,00</w:t>
            </w:r>
          </w:p>
        </w:tc>
      </w:tr>
      <w:tr w:rsidR="00F31A2F" w:rsidRPr="00706E04" w:rsidTr="00AC34E4">
        <w:tc>
          <w:tcPr>
            <w:tcW w:w="1299" w:type="dxa"/>
            <w:vMerge/>
            <w:tcBorders>
              <w:right w:val="nil"/>
            </w:tcBorders>
            <w:shd w:val="clear" w:color="auto" w:fill="4D7F52"/>
            <w:textDirection w:val="btLr"/>
          </w:tcPr>
          <w:p w:rsidR="00F31A2F" w:rsidRPr="005B3C15" w:rsidRDefault="00F31A2F" w:rsidP="00983919">
            <w:pPr>
              <w:ind w:left="113" w:right="113"/>
              <w:jc w:val="center"/>
              <w:rPr>
                <w:b/>
                <w:color w:val="FFFFFF" w:themeColor="background1"/>
              </w:rPr>
            </w:pPr>
          </w:p>
        </w:tc>
        <w:tc>
          <w:tcPr>
            <w:tcW w:w="6322" w:type="dxa"/>
            <w:tcBorders>
              <w:left w:val="nil"/>
            </w:tcBorders>
          </w:tcPr>
          <w:p w:rsidR="00F31A2F" w:rsidRPr="00F31A2F" w:rsidRDefault="00F31A2F" w:rsidP="005B3C15">
            <w:pPr>
              <w:rPr>
                <w:sz w:val="20"/>
                <w:szCs w:val="20"/>
              </w:rPr>
            </w:pPr>
            <w:r w:rsidRPr="00F31A2F">
              <w:rPr>
                <w:sz w:val="20"/>
                <w:szCs w:val="20"/>
              </w:rPr>
              <w:t xml:space="preserve">Tiempo medio estimado para la tramitación de las solicitudes pendientes ((pendientes a 31/12/2020 / tramitadas)*365 </w:t>
            </w:r>
          </w:p>
        </w:tc>
        <w:tc>
          <w:tcPr>
            <w:tcW w:w="1559" w:type="dxa"/>
            <w:vAlign w:val="center"/>
          </w:tcPr>
          <w:p w:rsidR="00F31A2F" w:rsidRPr="00F31A2F" w:rsidRDefault="00F31A2F" w:rsidP="00F31A2F">
            <w:pPr>
              <w:jc w:val="center"/>
              <w:rPr>
                <w:sz w:val="20"/>
                <w:szCs w:val="20"/>
              </w:rPr>
            </w:pPr>
            <w:r w:rsidRPr="00F31A2F">
              <w:rPr>
                <w:sz w:val="20"/>
                <w:szCs w:val="20"/>
              </w:rPr>
              <w:t>,00</w:t>
            </w:r>
          </w:p>
        </w:tc>
      </w:tr>
      <w:tr w:rsidR="00F31A2F" w:rsidRPr="00706E04" w:rsidTr="00AC34E4">
        <w:tc>
          <w:tcPr>
            <w:tcW w:w="1299" w:type="dxa"/>
            <w:vMerge/>
            <w:tcBorders>
              <w:right w:val="nil"/>
            </w:tcBorders>
            <w:shd w:val="clear" w:color="auto" w:fill="4D7F52"/>
            <w:textDirection w:val="btLr"/>
          </w:tcPr>
          <w:p w:rsidR="00F31A2F" w:rsidRPr="005B3C15" w:rsidRDefault="00F31A2F" w:rsidP="00983919">
            <w:pPr>
              <w:ind w:left="113" w:right="113"/>
              <w:jc w:val="center"/>
              <w:rPr>
                <w:b/>
                <w:color w:val="FFFFFF" w:themeColor="background1"/>
              </w:rPr>
            </w:pPr>
          </w:p>
        </w:tc>
        <w:tc>
          <w:tcPr>
            <w:tcW w:w="6322" w:type="dxa"/>
            <w:tcBorders>
              <w:left w:val="nil"/>
            </w:tcBorders>
          </w:tcPr>
          <w:p w:rsidR="00F31A2F" w:rsidRPr="00F31A2F" w:rsidRDefault="00F31A2F" w:rsidP="00983919">
            <w:pPr>
              <w:rPr>
                <w:sz w:val="20"/>
                <w:szCs w:val="20"/>
              </w:rPr>
            </w:pPr>
            <w:r w:rsidRPr="00F31A2F">
              <w:rPr>
                <w:sz w:val="20"/>
                <w:szCs w:val="20"/>
              </w:rPr>
              <w:t>Tasa de admisión (admitidas/tramitadas)</w:t>
            </w:r>
          </w:p>
        </w:tc>
        <w:tc>
          <w:tcPr>
            <w:tcW w:w="1559" w:type="dxa"/>
            <w:vAlign w:val="center"/>
          </w:tcPr>
          <w:p w:rsidR="00F31A2F" w:rsidRPr="00F31A2F" w:rsidRDefault="00F31A2F" w:rsidP="00F31A2F">
            <w:pPr>
              <w:jc w:val="center"/>
              <w:rPr>
                <w:sz w:val="20"/>
                <w:szCs w:val="20"/>
              </w:rPr>
            </w:pPr>
            <w:r w:rsidRPr="00F31A2F">
              <w:rPr>
                <w:sz w:val="20"/>
                <w:szCs w:val="20"/>
              </w:rPr>
              <w:t>48,57</w:t>
            </w:r>
          </w:p>
        </w:tc>
      </w:tr>
      <w:tr w:rsidR="00F31A2F" w:rsidRPr="00706E04" w:rsidTr="00AC34E4">
        <w:tc>
          <w:tcPr>
            <w:tcW w:w="1299" w:type="dxa"/>
            <w:vMerge/>
            <w:tcBorders>
              <w:right w:val="nil"/>
            </w:tcBorders>
            <w:shd w:val="clear" w:color="auto" w:fill="4D7F52"/>
            <w:textDirection w:val="btLr"/>
          </w:tcPr>
          <w:p w:rsidR="00F31A2F" w:rsidRPr="005B3C15" w:rsidRDefault="00F31A2F" w:rsidP="00983919">
            <w:pPr>
              <w:ind w:left="113" w:right="113"/>
              <w:jc w:val="center"/>
              <w:rPr>
                <w:b/>
                <w:color w:val="FFFFFF" w:themeColor="background1"/>
              </w:rPr>
            </w:pPr>
          </w:p>
        </w:tc>
        <w:tc>
          <w:tcPr>
            <w:tcW w:w="6322" w:type="dxa"/>
            <w:tcBorders>
              <w:left w:val="nil"/>
            </w:tcBorders>
          </w:tcPr>
          <w:p w:rsidR="00F31A2F" w:rsidRPr="00F31A2F" w:rsidRDefault="00F31A2F" w:rsidP="00983919">
            <w:pPr>
              <w:rPr>
                <w:sz w:val="20"/>
                <w:szCs w:val="20"/>
              </w:rPr>
            </w:pPr>
            <w:r w:rsidRPr="00F31A2F">
              <w:rPr>
                <w:sz w:val="20"/>
                <w:szCs w:val="20"/>
              </w:rPr>
              <w:t>Tasa de inadmisión (inadmitidas/ tramitadas)</w:t>
            </w:r>
          </w:p>
        </w:tc>
        <w:tc>
          <w:tcPr>
            <w:tcW w:w="1559" w:type="dxa"/>
            <w:vAlign w:val="center"/>
          </w:tcPr>
          <w:p w:rsidR="00F31A2F" w:rsidRPr="00F31A2F" w:rsidRDefault="00F31A2F" w:rsidP="00F31A2F">
            <w:pPr>
              <w:jc w:val="center"/>
              <w:rPr>
                <w:sz w:val="20"/>
                <w:szCs w:val="20"/>
              </w:rPr>
            </w:pPr>
            <w:r w:rsidRPr="00F31A2F">
              <w:rPr>
                <w:sz w:val="20"/>
                <w:szCs w:val="20"/>
              </w:rPr>
              <w:t>51,43</w:t>
            </w:r>
          </w:p>
        </w:tc>
      </w:tr>
      <w:tr w:rsidR="00F31A2F" w:rsidRPr="00706E04" w:rsidTr="00AC34E4">
        <w:tc>
          <w:tcPr>
            <w:tcW w:w="1299" w:type="dxa"/>
            <w:vMerge/>
            <w:tcBorders>
              <w:right w:val="nil"/>
            </w:tcBorders>
            <w:shd w:val="clear" w:color="auto" w:fill="4D7F52"/>
            <w:textDirection w:val="btLr"/>
          </w:tcPr>
          <w:p w:rsidR="00F31A2F" w:rsidRPr="005B3C15" w:rsidRDefault="00F31A2F" w:rsidP="00983919">
            <w:pPr>
              <w:ind w:left="113" w:right="113"/>
              <w:jc w:val="center"/>
              <w:rPr>
                <w:b/>
                <w:color w:val="FFFFFF" w:themeColor="background1"/>
              </w:rPr>
            </w:pPr>
          </w:p>
        </w:tc>
        <w:tc>
          <w:tcPr>
            <w:tcW w:w="6322" w:type="dxa"/>
            <w:tcBorders>
              <w:left w:val="nil"/>
            </w:tcBorders>
          </w:tcPr>
          <w:p w:rsidR="00F31A2F" w:rsidRPr="00F31A2F" w:rsidRDefault="00F31A2F" w:rsidP="00983919">
            <w:pPr>
              <w:rPr>
                <w:sz w:val="20"/>
                <w:szCs w:val="20"/>
              </w:rPr>
            </w:pPr>
            <w:r w:rsidRPr="00F31A2F">
              <w:rPr>
                <w:sz w:val="20"/>
                <w:szCs w:val="20"/>
              </w:rPr>
              <w:t>Tasa de archivo (archivadas/tramitadas)</w:t>
            </w:r>
          </w:p>
        </w:tc>
        <w:tc>
          <w:tcPr>
            <w:tcW w:w="1559" w:type="dxa"/>
            <w:vAlign w:val="center"/>
          </w:tcPr>
          <w:p w:rsidR="00F31A2F" w:rsidRPr="00F31A2F" w:rsidRDefault="00F31A2F" w:rsidP="00F31A2F">
            <w:pPr>
              <w:jc w:val="center"/>
              <w:rPr>
                <w:sz w:val="20"/>
                <w:szCs w:val="20"/>
              </w:rPr>
            </w:pPr>
            <w:r w:rsidRPr="00F31A2F">
              <w:rPr>
                <w:sz w:val="20"/>
                <w:szCs w:val="20"/>
              </w:rPr>
              <w:t>,00</w:t>
            </w:r>
          </w:p>
        </w:tc>
      </w:tr>
    </w:tbl>
    <w:p w:rsidR="00B812AB" w:rsidRDefault="00B812AB" w:rsidP="00B812AB"/>
    <w:p w:rsidR="00C97C31" w:rsidRDefault="00C97C31" w:rsidP="00B812AB"/>
    <w:p w:rsidR="00055B15" w:rsidRDefault="00055B15" w:rsidP="00055B15">
      <w:pPr>
        <w:pStyle w:val="Cuerpodelboletn"/>
        <w:spacing w:before="120" w:after="120" w:line="312" w:lineRule="auto"/>
        <w:ind w:left="360"/>
        <w:rPr>
          <w:rStyle w:val="Ttulo2Car"/>
          <w:color w:val="00642D"/>
          <w:lang w:bidi="es-ES"/>
        </w:rPr>
      </w:pPr>
      <w:r w:rsidRPr="00A41DD5">
        <w:rPr>
          <w:rStyle w:val="Ttulo2Car"/>
          <w:color w:val="00642D"/>
          <w:lang w:bidi="es-ES"/>
        </w:rPr>
        <w:t>II.</w:t>
      </w:r>
      <w:r w:rsidR="00C34BB5">
        <w:rPr>
          <w:rStyle w:val="Ttulo2Car"/>
          <w:color w:val="00642D"/>
          <w:lang w:bidi="es-ES"/>
        </w:rPr>
        <w:t>3</w:t>
      </w:r>
      <w:r>
        <w:rPr>
          <w:rStyle w:val="Ttulo2Car"/>
          <w:color w:val="00642D"/>
          <w:lang w:bidi="es-ES"/>
        </w:rPr>
        <w:t xml:space="preserve"> </w:t>
      </w:r>
      <w:r w:rsidRPr="00055B15">
        <w:rPr>
          <w:rStyle w:val="Ttulo2Car"/>
          <w:color w:val="00642D"/>
          <w:lang w:bidi="es-ES"/>
        </w:rPr>
        <w:t>Resoluciones emitidas en 2020</w:t>
      </w:r>
    </w:p>
    <w:p w:rsidR="00C97C31" w:rsidRDefault="00C97C31" w:rsidP="00AC34E4">
      <w:pPr>
        <w:ind w:left="426"/>
        <w:jc w:val="both"/>
        <w:rPr>
          <w:rStyle w:val="Ttulo2Car"/>
          <w:b w:val="0"/>
          <w:color w:val="auto"/>
          <w:sz w:val="22"/>
          <w:szCs w:val="22"/>
          <w:lang w:bidi="es-ES"/>
        </w:rPr>
      </w:pPr>
    </w:p>
    <w:p w:rsidR="00AC34E4" w:rsidRPr="009079EA" w:rsidRDefault="00AC34E4" w:rsidP="00AC34E4">
      <w:pPr>
        <w:ind w:left="426"/>
        <w:jc w:val="both"/>
        <w:rPr>
          <w:rStyle w:val="Ttulo2Car"/>
          <w:color w:val="00642D"/>
          <w:lang w:bidi="es-ES"/>
        </w:rPr>
      </w:pPr>
      <w:r>
        <w:rPr>
          <w:rStyle w:val="Ttulo2Car"/>
          <w:b w:val="0"/>
          <w:color w:val="auto"/>
          <w:sz w:val="22"/>
          <w:szCs w:val="22"/>
          <w:lang w:bidi="es-ES"/>
        </w:rPr>
        <w:t>Respecto de las resoluciones emitidas en 2020, 6</w:t>
      </w:r>
      <w:r w:rsidR="00F9324B">
        <w:rPr>
          <w:rStyle w:val="Ttulo2Car"/>
          <w:b w:val="0"/>
          <w:color w:val="auto"/>
          <w:sz w:val="22"/>
          <w:szCs w:val="22"/>
          <w:lang w:bidi="es-ES"/>
        </w:rPr>
        <w:t xml:space="preserve"> en total</w:t>
      </w:r>
      <w:r>
        <w:rPr>
          <w:rStyle w:val="Ttulo2Car"/>
          <w:b w:val="0"/>
          <w:color w:val="auto"/>
          <w:sz w:val="22"/>
          <w:szCs w:val="22"/>
          <w:lang w:bidi="es-ES"/>
        </w:rPr>
        <w:t xml:space="preserve">, todas concedieron acceso total a la información. </w:t>
      </w:r>
      <w:r w:rsidR="00487EA9" w:rsidRPr="00487EA9">
        <w:rPr>
          <w:rStyle w:val="Ttulo2Car"/>
          <w:b w:val="0"/>
          <w:color w:val="auto"/>
          <w:sz w:val="22"/>
          <w:szCs w:val="22"/>
          <w:lang w:bidi="es-ES"/>
        </w:rPr>
        <w:t>También se concedió acceso total a la información en las 11 respuestas a solicitudes de acceso para las que no se emitió resolución.</w:t>
      </w:r>
    </w:p>
    <w:p w:rsidR="00AC34E4" w:rsidRDefault="00AC34E4" w:rsidP="00AC34E4">
      <w:pPr>
        <w:pStyle w:val="Cuerpodelboletn"/>
        <w:spacing w:before="120" w:after="120" w:line="276" w:lineRule="auto"/>
        <w:ind w:left="426"/>
        <w:rPr>
          <w:rStyle w:val="Ttulo2Car"/>
          <w:b w:val="0"/>
          <w:color w:val="auto"/>
          <w:sz w:val="22"/>
          <w:szCs w:val="22"/>
          <w:lang w:bidi="es-ES"/>
        </w:rPr>
      </w:pPr>
      <w:r w:rsidRPr="009079EA">
        <w:rPr>
          <w:rStyle w:val="Ttulo2Car"/>
          <w:b w:val="0"/>
          <w:color w:val="auto"/>
          <w:sz w:val="22"/>
          <w:szCs w:val="22"/>
          <w:lang w:bidi="es-ES"/>
        </w:rPr>
        <w:t>No</w:t>
      </w:r>
      <w:r>
        <w:rPr>
          <w:rStyle w:val="Ttulo2Car"/>
          <w:b w:val="0"/>
          <w:color w:val="auto"/>
          <w:sz w:val="22"/>
          <w:szCs w:val="22"/>
          <w:lang w:bidi="es-ES"/>
        </w:rPr>
        <w:t xml:space="preserve"> </w:t>
      </w:r>
      <w:r w:rsidRPr="009079EA">
        <w:rPr>
          <w:rStyle w:val="Ttulo2Car"/>
          <w:b w:val="0"/>
          <w:color w:val="auto"/>
          <w:sz w:val="22"/>
          <w:szCs w:val="22"/>
          <w:lang w:bidi="es-ES"/>
        </w:rPr>
        <w:t>se ha</w:t>
      </w:r>
      <w:r>
        <w:rPr>
          <w:rStyle w:val="Ttulo2Car"/>
          <w:b w:val="0"/>
          <w:color w:val="auto"/>
          <w:sz w:val="22"/>
          <w:szCs w:val="22"/>
          <w:lang w:bidi="es-ES"/>
        </w:rPr>
        <w:t xml:space="preserve"> </w:t>
      </w:r>
      <w:r w:rsidRPr="009079EA">
        <w:rPr>
          <w:rStyle w:val="Ttulo2Car"/>
          <w:b w:val="0"/>
          <w:color w:val="auto"/>
          <w:sz w:val="22"/>
          <w:szCs w:val="22"/>
          <w:lang w:bidi="es-ES"/>
        </w:rPr>
        <w:t>localizado en la web de</w:t>
      </w:r>
      <w:r>
        <w:rPr>
          <w:rStyle w:val="Ttulo2Car"/>
          <w:b w:val="0"/>
          <w:color w:val="auto"/>
          <w:sz w:val="22"/>
          <w:szCs w:val="22"/>
          <w:lang w:bidi="es-ES"/>
        </w:rPr>
        <w:t>l TCU</w:t>
      </w:r>
      <w:r w:rsidRPr="009079EA">
        <w:rPr>
          <w:rStyle w:val="Ttulo2Car"/>
          <w:b w:val="0"/>
          <w:color w:val="auto"/>
          <w:sz w:val="22"/>
          <w:szCs w:val="22"/>
          <w:lang w:bidi="es-ES"/>
        </w:rPr>
        <w:t xml:space="preserve"> </w:t>
      </w:r>
      <w:r>
        <w:rPr>
          <w:rStyle w:val="Ttulo2Car"/>
          <w:b w:val="0"/>
          <w:color w:val="auto"/>
          <w:sz w:val="22"/>
          <w:szCs w:val="22"/>
          <w:lang w:bidi="es-ES"/>
        </w:rPr>
        <w:t>información sobre las solicitudes denegadas por aplicación de los límites del artículo 14 de la LTAIBG, tal y como establece el artículo 14.3 de la norma, que obliga a la publicación de estas resoluciones previa disociación de los datos de carácter personal. Sin embargo esta circunstancia pued</w:t>
      </w:r>
      <w:r w:rsidR="00F9324B">
        <w:rPr>
          <w:rStyle w:val="Ttulo2Car"/>
          <w:b w:val="0"/>
          <w:color w:val="auto"/>
          <w:sz w:val="22"/>
          <w:szCs w:val="22"/>
          <w:lang w:bidi="es-ES"/>
        </w:rPr>
        <w:t>a</w:t>
      </w:r>
      <w:r>
        <w:rPr>
          <w:rStyle w:val="Ttulo2Car"/>
          <w:b w:val="0"/>
          <w:color w:val="auto"/>
          <w:sz w:val="22"/>
          <w:szCs w:val="22"/>
          <w:lang w:bidi="es-ES"/>
        </w:rPr>
        <w:t xml:space="preserve"> deberse al hecho de que en 2020 no se ha producido ninguna denegación de acceso.</w:t>
      </w:r>
    </w:p>
    <w:p w:rsidR="00C97C31" w:rsidRDefault="00C97C31" w:rsidP="00F7263F">
      <w:pPr>
        <w:pStyle w:val="Cuerpodelboletn"/>
        <w:spacing w:before="120" w:after="120" w:line="312" w:lineRule="auto"/>
        <w:ind w:left="360"/>
        <w:rPr>
          <w:rStyle w:val="Ttulo2Car"/>
          <w:color w:val="00642D"/>
          <w:lang w:bidi="es-ES"/>
        </w:rPr>
      </w:pPr>
    </w:p>
    <w:p w:rsidR="00F7263F" w:rsidRDefault="00F7263F" w:rsidP="00F7263F">
      <w:pPr>
        <w:pStyle w:val="Cuerpodelboletn"/>
        <w:spacing w:before="120" w:after="120" w:line="312" w:lineRule="auto"/>
        <w:ind w:left="360"/>
        <w:rPr>
          <w:rStyle w:val="Ttulo2Car"/>
          <w:color w:val="00642D"/>
          <w:lang w:bidi="es-ES"/>
        </w:rPr>
      </w:pPr>
      <w:r w:rsidRPr="00A41DD5">
        <w:rPr>
          <w:rStyle w:val="Ttulo2Car"/>
          <w:color w:val="00642D"/>
          <w:lang w:bidi="es-ES"/>
        </w:rPr>
        <w:t>II.</w:t>
      </w:r>
      <w:r w:rsidR="00C34BB5">
        <w:rPr>
          <w:rStyle w:val="Ttulo2Car"/>
          <w:color w:val="00642D"/>
          <w:lang w:bidi="es-ES"/>
        </w:rPr>
        <w:t>4</w:t>
      </w:r>
      <w:r>
        <w:rPr>
          <w:rStyle w:val="Ttulo2Car"/>
          <w:color w:val="00642D"/>
          <w:lang w:bidi="es-ES"/>
        </w:rPr>
        <w:t xml:space="preserve"> Indicadores de resolución en 2020 </w:t>
      </w:r>
    </w:p>
    <w:p w:rsidR="00C97C31" w:rsidRDefault="00C97C31" w:rsidP="00FA050D">
      <w:pPr>
        <w:ind w:left="426"/>
        <w:jc w:val="both"/>
      </w:pPr>
    </w:p>
    <w:p w:rsidR="00FA050D" w:rsidRDefault="00FA050D" w:rsidP="00FA050D">
      <w:pPr>
        <w:ind w:left="426"/>
        <w:jc w:val="both"/>
      </w:pPr>
      <w:r>
        <w:t>El TCU emite resoluciones expresas para el 35,29% de las solicitudes admitidas. No es posible conocer</w:t>
      </w:r>
      <w:r w:rsidR="000E529D">
        <w:t xml:space="preserve"> a partir de la información remitida por el TCU,</w:t>
      </w:r>
      <w:r>
        <w:t xml:space="preserve"> si para las restantes solicitudes admitidas no se emite resolución pero se concede </w:t>
      </w:r>
      <w:r w:rsidR="000E529D">
        <w:t xml:space="preserve">el </w:t>
      </w:r>
      <w:r>
        <w:t>acceso a la información, lo que parece la opción más probable.</w:t>
      </w:r>
    </w:p>
    <w:p w:rsidR="00C97C31" w:rsidRDefault="00C97C31" w:rsidP="00AC34E4">
      <w:pPr>
        <w:ind w:left="426"/>
        <w:rPr>
          <w:rStyle w:val="Ttulo2Car"/>
          <w:color w:val="00642D"/>
          <w:sz w:val="22"/>
          <w:szCs w:val="22"/>
          <w:lang w:bidi="es-ES"/>
        </w:rPr>
      </w:pPr>
    </w:p>
    <w:p w:rsidR="00F7263F" w:rsidRDefault="000E529D" w:rsidP="00AC34E4">
      <w:pPr>
        <w:ind w:left="426"/>
      </w:pPr>
      <w:r w:rsidRPr="009079EA">
        <w:rPr>
          <w:rStyle w:val="Ttulo2Car"/>
          <w:color w:val="00642D"/>
          <w:sz w:val="22"/>
          <w:szCs w:val="22"/>
          <w:lang w:bidi="es-ES"/>
        </w:rPr>
        <w:t xml:space="preserve">Tabla </w:t>
      </w:r>
      <w:r w:rsidRPr="009079EA">
        <w:rPr>
          <w:rStyle w:val="Ttulo2Car"/>
          <w:b w:val="0"/>
          <w:color w:val="00642D"/>
          <w:sz w:val="22"/>
          <w:szCs w:val="22"/>
          <w:lang w:bidi="es-ES"/>
        </w:rPr>
        <w:fldChar w:fldCharType="begin"/>
      </w:r>
      <w:r w:rsidRPr="009079EA">
        <w:rPr>
          <w:rStyle w:val="Ttulo2Car"/>
          <w:color w:val="00642D"/>
          <w:sz w:val="22"/>
          <w:szCs w:val="22"/>
          <w:lang w:bidi="es-ES"/>
        </w:rPr>
        <w:instrText xml:space="preserve"> SEQ Tabla \* ARABIC </w:instrText>
      </w:r>
      <w:r w:rsidRPr="009079EA">
        <w:rPr>
          <w:rStyle w:val="Ttulo2Car"/>
          <w:b w:val="0"/>
          <w:color w:val="00642D"/>
          <w:sz w:val="22"/>
          <w:szCs w:val="22"/>
          <w:lang w:bidi="es-ES"/>
        </w:rPr>
        <w:fldChar w:fldCharType="separate"/>
      </w:r>
      <w:r>
        <w:rPr>
          <w:rStyle w:val="Ttulo2Car"/>
          <w:color w:val="00642D"/>
          <w:sz w:val="22"/>
          <w:szCs w:val="22"/>
          <w:lang w:bidi="es-ES"/>
        </w:rPr>
        <w:t>2</w:t>
      </w:r>
      <w:r w:rsidRPr="009079EA">
        <w:rPr>
          <w:rStyle w:val="Ttulo2Car"/>
          <w:b w:val="0"/>
          <w:color w:val="00642D"/>
          <w:sz w:val="22"/>
          <w:szCs w:val="22"/>
          <w:lang w:bidi="es-ES"/>
        </w:rPr>
        <w:fldChar w:fldCharType="end"/>
      </w:r>
      <w:r w:rsidRPr="009079EA">
        <w:rPr>
          <w:rStyle w:val="Ttulo2Car"/>
          <w:color w:val="00642D"/>
          <w:sz w:val="22"/>
          <w:szCs w:val="22"/>
          <w:lang w:bidi="es-ES"/>
        </w:rPr>
        <w:t>: Indicadores de Resolución</w:t>
      </w:r>
      <w:r w:rsidR="00F9324B">
        <w:rPr>
          <w:rStyle w:val="Ttulo2Car"/>
          <w:color w:val="00642D"/>
          <w:sz w:val="22"/>
          <w:szCs w:val="22"/>
          <w:lang w:bidi="es-ES"/>
        </w:rPr>
        <w:t xml:space="preserve"> </w:t>
      </w:r>
      <w:r w:rsidRPr="009079EA">
        <w:rPr>
          <w:rStyle w:val="Ttulo2Car"/>
          <w:color w:val="00642D"/>
          <w:sz w:val="22"/>
          <w:szCs w:val="22"/>
          <w:lang w:bidi="es-ES"/>
        </w:rPr>
        <w:t>2020</w:t>
      </w:r>
    </w:p>
    <w:tbl>
      <w:tblPr>
        <w:tblStyle w:val="Tablaconcuadrcula"/>
        <w:tblW w:w="0" w:type="auto"/>
        <w:tblInd w:w="534" w:type="dxa"/>
        <w:tblLook w:val="04A0" w:firstRow="1" w:lastRow="0" w:firstColumn="1" w:lastColumn="0" w:noHBand="0" w:noVBand="1"/>
      </w:tblPr>
      <w:tblGrid>
        <w:gridCol w:w="1299"/>
        <w:gridCol w:w="6322"/>
        <w:gridCol w:w="1559"/>
      </w:tblGrid>
      <w:tr w:rsidR="00F31A2F" w:rsidRPr="00706E04" w:rsidTr="000E529D">
        <w:tc>
          <w:tcPr>
            <w:tcW w:w="1299" w:type="dxa"/>
            <w:vMerge w:val="restart"/>
            <w:tcBorders>
              <w:top w:val="nil"/>
              <w:right w:val="nil"/>
            </w:tcBorders>
            <w:shd w:val="clear" w:color="auto" w:fill="4D7F52"/>
            <w:textDirection w:val="btLr"/>
          </w:tcPr>
          <w:p w:rsidR="00F31A2F" w:rsidRPr="005B3C15" w:rsidRDefault="00F31A2F" w:rsidP="00055B15">
            <w:pPr>
              <w:ind w:left="113" w:right="113"/>
              <w:jc w:val="center"/>
              <w:rPr>
                <w:b/>
                <w:color w:val="FFFFFF" w:themeColor="background1"/>
              </w:rPr>
            </w:pPr>
            <w:r w:rsidRPr="005B3C15">
              <w:rPr>
                <w:b/>
                <w:color w:val="FFFFFF" w:themeColor="background1"/>
              </w:rPr>
              <w:t>Indicadores de resolución</w:t>
            </w:r>
          </w:p>
        </w:tc>
        <w:tc>
          <w:tcPr>
            <w:tcW w:w="6322" w:type="dxa"/>
            <w:tcBorders>
              <w:left w:val="nil"/>
            </w:tcBorders>
          </w:tcPr>
          <w:p w:rsidR="00F31A2F" w:rsidRPr="00F9324B" w:rsidRDefault="00F31A2F" w:rsidP="000E25C9">
            <w:pPr>
              <w:rPr>
                <w:sz w:val="20"/>
                <w:szCs w:val="20"/>
              </w:rPr>
            </w:pPr>
            <w:r w:rsidRPr="00F9324B">
              <w:rPr>
                <w:sz w:val="20"/>
                <w:szCs w:val="20"/>
              </w:rPr>
              <w:t>Tasa de resolución (resoluciones expresas /solicitudes admitidas)</w:t>
            </w:r>
          </w:p>
        </w:tc>
        <w:tc>
          <w:tcPr>
            <w:tcW w:w="1559" w:type="dxa"/>
            <w:vAlign w:val="center"/>
          </w:tcPr>
          <w:p w:rsidR="00F31A2F" w:rsidRPr="00F31A2F" w:rsidRDefault="00F31A2F" w:rsidP="00F31A2F">
            <w:pPr>
              <w:jc w:val="center"/>
              <w:rPr>
                <w:sz w:val="20"/>
                <w:szCs w:val="20"/>
              </w:rPr>
            </w:pPr>
            <w:r w:rsidRPr="00F31A2F">
              <w:rPr>
                <w:sz w:val="20"/>
                <w:szCs w:val="20"/>
              </w:rPr>
              <w:t>35,29</w:t>
            </w:r>
          </w:p>
        </w:tc>
      </w:tr>
      <w:tr w:rsidR="00F31A2F" w:rsidRPr="00706E04" w:rsidTr="000E529D">
        <w:tc>
          <w:tcPr>
            <w:tcW w:w="1299" w:type="dxa"/>
            <w:vMerge/>
            <w:tcBorders>
              <w:right w:val="nil"/>
            </w:tcBorders>
            <w:shd w:val="clear" w:color="auto" w:fill="4D7F52"/>
            <w:textDirection w:val="btLr"/>
          </w:tcPr>
          <w:p w:rsidR="00F31A2F" w:rsidRPr="005B3C15" w:rsidRDefault="00F31A2F" w:rsidP="00055B15">
            <w:pPr>
              <w:ind w:left="113" w:right="113"/>
              <w:jc w:val="center"/>
              <w:rPr>
                <w:b/>
                <w:color w:val="FFFFFF" w:themeColor="background1"/>
              </w:rPr>
            </w:pPr>
          </w:p>
        </w:tc>
        <w:tc>
          <w:tcPr>
            <w:tcW w:w="6322" w:type="dxa"/>
            <w:tcBorders>
              <w:left w:val="nil"/>
            </w:tcBorders>
          </w:tcPr>
          <w:p w:rsidR="00F31A2F" w:rsidRPr="00F9324B" w:rsidRDefault="00F31A2F" w:rsidP="00FD5B21">
            <w:pPr>
              <w:rPr>
                <w:sz w:val="20"/>
                <w:szCs w:val="20"/>
              </w:rPr>
            </w:pPr>
            <w:r w:rsidRPr="00F9324B">
              <w:rPr>
                <w:sz w:val="20"/>
                <w:szCs w:val="20"/>
              </w:rPr>
              <w:t>Porcentaje de resoluciones que conceden el acceso</w:t>
            </w:r>
          </w:p>
        </w:tc>
        <w:tc>
          <w:tcPr>
            <w:tcW w:w="1559" w:type="dxa"/>
            <w:vAlign w:val="center"/>
          </w:tcPr>
          <w:p w:rsidR="00F31A2F" w:rsidRPr="00F31A2F" w:rsidRDefault="00F31A2F" w:rsidP="00F31A2F">
            <w:pPr>
              <w:jc w:val="center"/>
              <w:rPr>
                <w:sz w:val="20"/>
                <w:szCs w:val="20"/>
              </w:rPr>
            </w:pPr>
            <w:r w:rsidRPr="00F31A2F">
              <w:rPr>
                <w:sz w:val="20"/>
                <w:szCs w:val="20"/>
              </w:rPr>
              <w:t>35,29</w:t>
            </w:r>
          </w:p>
        </w:tc>
      </w:tr>
      <w:tr w:rsidR="00F31A2F" w:rsidRPr="00706E04" w:rsidTr="000E529D">
        <w:tc>
          <w:tcPr>
            <w:tcW w:w="1299" w:type="dxa"/>
            <w:vMerge/>
            <w:tcBorders>
              <w:right w:val="nil"/>
            </w:tcBorders>
            <w:shd w:val="clear" w:color="auto" w:fill="4D7F52"/>
            <w:textDirection w:val="btLr"/>
          </w:tcPr>
          <w:p w:rsidR="00F31A2F" w:rsidRPr="005B3C15" w:rsidRDefault="00F31A2F" w:rsidP="00055B15">
            <w:pPr>
              <w:ind w:left="113" w:right="113"/>
              <w:jc w:val="center"/>
              <w:rPr>
                <w:b/>
                <w:color w:val="FFFFFF" w:themeColor="background1"/>
              </w:rPr>
            </w:pPr>
          </w:p>
        </w:tc>
        <w:tc>
          <w:tcPr>
            <w:tcW w:w="6322" w:type="dxa"/>
            <w:tcBorders>
              <w:left w:val="nil"/>
            </w:tcBorders>
          </w:tcPr>
          <w:p w:rsidR="00F31A2F" w:rsidRPr="00F9324B" w:rsidRDefault="00F31A2F" w:rsidP="00055B15">
            <w:pPr>
              <w:rPr>
                <w:sz w:val="20"/>
                <w:szCs w:val="20"/>
              </w:rPr>
            </w:pPr>
            <w:r w:rsidRPr="00F9324B">
              <w:rPr>
                <w:sz w:val="20"/>
                <w:szCs w:val="20"/>
              </w:rPr>
              <w:t>Porcentaje de resoluciones que conceden acceso parcial</w:t>
            </w:r>
          </w:p>
        </w:tc>
        <w:tc>
          <w:tcPr>
            <w:tcW w:w="1559" w:type="dxa"/>
            <w:vAlign w:val="center"/>
          </w:tcPr>
          <w:p w:rsidR="00F31A2F" w:rsidRPr="00F31A2F" w:rsidRDefault="00F31A2F" w:rsidP="00F31A2F">
            <w:pPr>
              <w:jc w:val="center"/>
              <w:rPr>
                <w:sz w:val="20"/>
                <w:szCs w:val="20"/>
              </w:rPr>
            </w:pPr>
            <w:r w:rsidRPr="00F31A2F">
              <w:rPr>
                <w:sz w:val="20"/>
                <w:szCs w:val="20"/>
              </w:rPr>
              <w:t>,00</w:t>
            </w:r>
          </w:p>
        </w:tc>
      </w:tr>
      <w:tr w:rsidR="00F31A2F" w:rsidRPr="00706E04" w:rsidTr="000E529D">
        <w:tc>
          <w:tcPr>
            <w:tcW w:w="1299" w:type="dxa"/>
            <w:vMerge/>
            <w:tcBorders>
              <w:right w:val="nil"/>
            </w:tcBorders>
            <w:shd w:val="clear" w:color="auto" w:fill="4D7F52"/>
            <w:textDirection w:val="btLr"/>
          </w:tcPr>
          <w:p w:rsidR="00F31A2F" w:rsidRPr="005B3C15" w:rsidRDefault="00F31A2F" w:rsidP="00055B15">
            <w:pPr>
              <w:ind w:left="113" w:right="113"/>
              <w:jc w:val="center"/>
              <w:rPr>
                <w:b/>
                <w:color w:val="FFFFFF" w:themeColor="background1"/>
              </w:rPr>
            </w:pPr>
          </w:p>
        </w:tc>
        <w:tc>
          <w:tcPr>
            <w:tcW w:w="6322" w:type="dxa"/>
            <w:tcBorders>
              <w:left w:val="nil"/>
            </w:tcBorders>
          </w:tcPr>
          <w:p w:rsidR="00F31A2F" w:rsidRPr="00F9324B" w:rsidRDefault="00F31A2F" w:rsidP="00055B15">
            <w:pPr>
              <w:rPr>
                <w:sz w:val="20"/>
                <w:szCs w:val="20"/>
              </w:rPr>
            </w:pPr>
            <w:r w:rsidRPr="00F9324B">
              <w:rPr>
                <w:sz w:val="20"/>
                <w:szCs w:val="20"/>
              </w:rPr>
              <w:t>Porcentaje de resoluciones que conceden acceso total</w:t>
            </w:r>
          </w:p>
        </w:tc>
        <w:tc>
          <w:tcPr>
            <w:tcW w:w="1559" w:type="dxa"/>
            <w:vAlign w:val="center"/>
          </w:tcPr>
          <w:p w:rsidR="00F31A2F" w:rsidRPr="00F31A2F" w:rsidRDefault="00F31A2F" w:rsidP="00F31A2F">
            <w:pPr>
              <w:jc w:val="center"/>
              <w:rPr>
                <w:sz w:val="20"/>
                <w:szCs w:val="20"/>
              </w:rPr>
            </w:pPr>
            <w:r w:rsidRPr="00F31A2F">
              <w:rPr>
                <w:sz w:val="20"/>
                <w:szCs w:val="20"/>
              </w:rPr>
              <w:t>100,00</w:t>
            </w:r>
          </w:p>
        </w:tc>
      </w:tr>
      <w:tr w:rsidR="00F31A2F" w:rsidRPr="00706E04" w:rsidTr="000E529D">
        <w:tc>
          <w:tcPr>
            <w:tcW w:w="1299" w:type="dxa"/>
            <w:vMerge/>
            <w:tcBorders>
              <w:right w:val="nil"/>
            </w:tcBorders>
            <w:shd w:val="clear" w:color="auto" w:fill="4D7F52"/>
            <w:textDirection w:val="btLr"/>
          </w:tcPr>
          <w:p w:rsidR="00F31A2F" w:rsidRPr="005B3C15" w:rsidRDefault="00F31A2F" w:rsidP="00055B15">
            <w:pPr>
              <w:ind w:left="113" w:right="113"/>
              <w:jc w:val="center"/>
              <w:rPr>
                <w:b/>
                <w:color w:val="FFFFFF" w:themeColor="background1"/>
              </w:rPr>
            </w:pPr>
          </w:p>
        </w:tc>
        <w:tc>
          <w:tcPr>
            <w:tcW w:w="6322" w:type="dxa"/>
            <w:tcBorders>
              <w:left w:val="nil"/>
            </w:tcBorders>
          </w:tcPr>
          <w:p w:rsidR="00F31A2F" w:rsidRPr="00F9324B" w:rsidRDefault="00F31A2F" w:rsidP="00055B15">
            <w:pPr>
              <w:rPr>
                <w:sz w:val="20"/>
                <w:szCs w:val="20"/>
              </w:rPr>
            </w:pPr>
            <w:r w:rsidRPr="00F9324B">
              <w:rPr>
                <w:sz w:val="20"/>
                <w:szCs w:val="20"/>
              </w:rPr>
              <w:t>Porcentaje de resoluciones que deniegan el acceso</w:t>
            </w:r>
          </w:p>
        </w:tc>
        <w:tc>
          <w:tcPr>
            <w:tcW w:w="1559" w:type="dxa"/>
            <w:vAlign w:val="center"/>
          </w:tcPr>
          <w:p w:rsidR="00F31A2F" w:rsidRPr="00F31A2F" w:rsidRDefault="00F31A2F" w:rsidP="00F31A2F">
            <w:pPr>
              <w:jc w:val="center"/>
              <w:rPr>
                <w:sz w:val="20"/>
                <w:szCs w:val="20"/>
              </w:rPr>
            </w:pPr>
            <w:r w:rsidRPr="00F31A2F">
              <w:rPr>
                <w:sz w:val="20"/>
                <w:szCs w:val="20"/>
              </w:rPr>
              <w:t>,00</w:t>
            </w:r>
          </w:p>
        </w:tc>
      </w:tr>
      <w:tr w:rsidR="00F31A2F" w:rsidRPr="00706E04" w:rsidTr="000E529D">
        <w:tc>
          <w:tcPr>
            <w:tcW w:w="1299" w:type="dxa"/>
            <w:vMerge/>
            <w:tcBorders>
              <w:right w:val="nil"/>
            </w:tcBorders>
            <w:shd w:val="clear" w:color="auto" w:fill="4D7F52"/>
            <w:textDirection w:val="btLr"/>
          </w:tcPr>
          <w:p w:rsidR="00F31A2F" w:rsidRPr="005B3C15" w:rsidRDefault="00F31A2F" w:rsidP="00055B15">
            <w:pPr>
              <w:ind w:left="113" w:right="113"/>
              <w:jc w:val="center"/>
              <w:rPr>
                <w:b/>
                <w:color w:val="FFFFFF" w:themeColor="background1"/>
              </w:rPr>
            </w:pPr>
          </w:p>
        </w:tc>
        <w:tc>
          <w:tcPr>
            <w:tcW w:w="6322" w:type="dxa"/>
            <w:tcBorders>
              <w:left w:val="nil"/>
            </w:tcBorders>
          </w:tcPr>
          <w:p w:rsidR="00F31A2F" w:rsidRPr="00F9324B" w:rsidRDefault="00F31A2F" w:rsidP="00055B15">
            <w:pPr>
              <w:rPr>
                <w:sz w:val="20"/>
                <w:szCs w:val="20"/>
              </w:rPr>
            </w:pPr>
            <w:r w:rsidRPr="00F9324B">
              <w:rPr>
                <w:sz w:val="20"/>
                <w:szCs w:val="20"/>
              </w:rPr>
              <w:t>Porcentaje de resoluciones que finalizan por silencio administrativo</w:t>
            </w:r>
          </w:p>
        </w:tc>
        <w:tc>
          <w:tcPr>
            <w:tcW w:w="1559" w:type="dxa"/>
            <w:vAlign w:val="center"/>
          </w:tcPr>
          <w:p w:rsidR="00F31A2F" w:rsidRPr="00F31A2F" w:rsidRDefault="00F31A2F" w:rsidP="00F31A2F">
            <w:pPr>
              <w:jc w:val="center"/>
              <w:rPr>
                <w:sz w:val="20"/>
                <w:szCs w:val="20"/>
              </w:rPr>
            </w:pPr>
            <w:r w:rsidRPr="00F31A2F">
              <w:rPr>
                <w:sz w:val="20"/>
                <w:szCs w:val="20"/>
              </w:rPr>
              <w:t>,00</w:t>
            </w:r>
          </w:p>
        </w:tc>
      </w:tr>
      <w:tr w:rsidR="00F31A2F" w:rsidRPr="00706E04" w:rsidTr="000E529D">
        <w:tc>
          <w:tcPr>
            <w:tcW w:w="1299" w:type="dxa"/>
            <w:vMerge/>
            <w:tcBorders>
              <w:right w:val="nil"/>
            </w:tcBorders>
            <w:shd w:val="clear" w:color="auto" w:fill="4D7F52"/>
            <w:textDirection w:val="btLr"/>
          </w:tcPr>
          <w:p w:rsidR="00F31A2F" w:rsidRPr="005B3C15" w:rsidRDefault="00F31A2F" w:rsidP="00055B15">
            <w:pPr>
              <w:ind w:left="113" w:right="113"/>
              <w:jc w:val="center"/>
              <w:rPr>
                <w:b/>
                <w:color w:val="FFFFFF" w:themeColor="background1"/>
              </w:rPr>
            </w:pPr>
          </w:p>
        </w:tc>
        <w:tc>
          <w:tcPr>
            <w:tcW w:w="6322" w:type="dxa"/>
            <w:tcBorders>
              <w:left w:val="nil"/>
            </w:tcBorders>
          </w:tcPr>
          <w:p w:rsidR="00F31A2F" w:rsidRPr="00F9324B" w:rsidRDefault="00F31A2F" w:rsidP="00F7263F">
            <w:pPr>
              <w:rPr>
                <w:sz w:val="20"/>
                <w:szCs w:val="20"/>
              </w:rPr>
            </w:pPr>
            <w:r w:rsidRPr="00F9324B">
              <w:rPr>
                <w:sz w:val="20"/>
                <w:szCs w:val="20"/>
              </w:rPr>
              <w:t>Porcentaje de solicitudes finalizadas por desistimiento y otras causas</w:t>
            </w:r>
          </w:p>
        </w:tc>
        <w:tc>
          <w:tcPr>
            <w:tcW w:w="1559" w:type="dxa"/>
            <w:vAlign w:val="center"/>
          </w:tcPr>
          <w:p w:rsidR="00F31A2F" w:rsidRPr="00F31A2F" w:rsidRDefault="00F31A2F" w:rsidP="00F31A2F">
            <w:pPr>
              <w:jc w:val="center"/>
              <w:rPr>
                <w:sz w:val="20"/>
                <w:szCs w:val="20"/>
              </w:rPr>
            </w:pPr>
            <w:r w:rsidRPr="00F31A2F">
              <w:rPr>
                <w:sz w:val="20"/>
                <w:szCs w:val="20"/>
              </w:rPr>
              <w:t>,00</w:t>
            </w:r>
          </w:p>
        </w:tc>
      </w:tr>
    </w:tbl>
    <w:p w:rsidR="00055B15" w:rsidRDefault="00055B15" w:rsidP="00B812AB"/>
    <w:p w:rsidR="009239D9" w:rsidRDefault="009239D9" w:rsidP="00B812AB"/>
    <w:p w:rsidR="00B812AB" w:rsidRPr="00E34195" w:rsidRDefault="00487EA9"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F9324B">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242FA1" w:rsidRDefault="00242FA1" w:rsidP="00242FA1"/>
    <w:p w:rsidR="00176A94" w:rsidRDefault="00242FA1" w:rsidP="009215EC">
      <w:pPr>
        <w:ind w:left="709"/>
        <w:jc w:val="both"/>
      </w:pPr>
      <w:r>
        <w:t xml:space="preserve">El TCU cuenta con un espacio específico dentro de su </w:t>
      </w:r>
      <w:r w:rsidRPr="00242FA1">
        <w:t>Portal de Transparencia</w:t>
      </w:r>
      <w:r>
        <w:t xml:space="preserve"> en el que se</w:t>
      </w:r>
      <w:r w:rsidRPr="00242FA1">
        <w:t xml:space="preserve"> informa de la posibilidad de solicitar información y</w:t>
      </w:r>
      <w:r>
        <w:t xml:space="preserve"> se</w:t>
      </w:r>
      <w:r w:rsidRPr="00242FA1">
        <w:t xml:space="preserve"> proporciona un enlace que posiciona al visitante en el procedimiento específico de </w:t>
      </w:r>
      <w:r>
        <w:t>solicitudes de acceso a información pública del Tribunal</w:t>
      </w:r>
      <w:r w:rsidR="00F9324B" w:rsidRPr="00F9324B">
        <w:t xml:space="preserve"> </w:t>
      </w:r>
      <w:r w:rsidR="00F9324B">
        <w:t>alojado en su</w:t>
      </w:r>
      <w:r w:rsidR="00F9324B" w:rsidRPr="00242FA1">
        <w:t xml:space="preserve"> sede electrónica</w:t>
      </w:r>
      <w:r>
        <w:t>.</w:t>
      </w:r>
    </w:p>
    <w:p w:rsidR="00242FA1" w:rsidRDefault="000E529D" w:rsidP="009215EC">
      <w:pPr>
        <w:ind w:left="709"/>
        <w:jc w:val="both"/>
      </w:pPr>
      <w:r>
        <w:rPr>
          <w:rStyle w:val="Ttulo2Car"/>
          <w:b w:val="0"/>
          <w:color w:val="auto"/>
          <w:sz w:val="22"/>
          <w:szCs w:val="22"/>
          <w:lang w:bidi="es-ES"/>
        </w:rPr>
        <w:t xml:space="preserve">Para la presentación de las solicitudes solo se indica expresamente la sede electrónica. No se ha localizado en el Portal de Transparencia información sobre </w:t>
      </w:r>
      <w:r w:rsidR="00F9324B">
        <w:rPr>
          <w:rStyle w:val="Ttulo2Car"/>
          <w:b w:val="0"/>
          <w:color w:val="auto"/>
          <w:sz w:val="22"/>
          <w:szCs w:val="22"/>
          <w:lang w:bidi="es-ES"/>
        </w:rPr>
        <w:t>otros</w:t>
      </w:r>
      <w:r>
        <w:rPr>
          <w:rStyle w:val="Ttulo2Car"/>
          <w:b w:val="0"/>
          <w:color w:val="auto"/>
          <w:sz w:val="22"/>
          <w:szCs w:val="22"/>
          <w:lang w:bidi="es-ES"/>
        </w:rPr>
        <w:t xml:space="preserve"> medios de presentación de solicitudes alternativos a la sede y contemplados en la Ley 39/2015.</w:t>
      </w:r>
      <w:r w:rsidR="00242FA1">
        <w:t xml:space="preserve"> Los requisitos establecidos son </w:t>
      </w:r>
      <w:r w:rsidR="00F14CE5">
        <w:t>la</w:t>
      </w:r>
      <w:r w:rsidR="00242FA1">
        <w:t xml:space="preserve"> </w:t>
      </w:r>
      <w:r w:rsidR="00F14CE5">
        <w:t>i</w:t>
      </w:r>
      <w:r w:rsidR="00F14CE5" w:rsidRPr="00F14CE5">
        <w:t xml:space="preserve">dentificación del solicitante, </w:t>
      </w:r>
      <w:r w:rsidR="00F14CE5">
        <w:t>la</w:t>
      </w:r>
      <w:r w:rsidR="00F14CE5" w:rsidRPr="00F14CE5">
        <w:t xml:space="preserve"> información que se solicita, </w:t>
      </w:r>
      <w:r w:rsidR="00F14CE5">
        <w:t xml:space="preserve">una </w:t>
      </w:r>
      <w:r w:rsidR="00F14CE5" w:rsidRPr="00F14CE5">
        <w:t xml:space="preserve">dirección de contacto a efectos de comunicaciones, dirección postal completa y, en su caso, la modalidad que prefiera para acceder a la información solicitada. </w:t>
      </w:r>
      <w:r>
        <w:t xml:space="preserve">Dado que la </w:t>
      </w:r>
      <w:r w:rsidR="00F14CE5" w:rsidRPr="00F14CE5">
        <w:t xml:space="preserve">presentación </w:t>
      </w:r>
      <w:r>
        <w:t>se efectúa a través de la sede electrónica</w:t>
      </w:r>
      <w:r w:rsidR="00F9324B">
        <w:t xml:space="preserve"> </w:t>
      </w:r>
      <w:r>
        <w:t xml:space="preserve">del TCU </w:t>
      </w:r>
      <w:r w:rsidR="00F14CE5" w:rsidRPr="00F14CE5">
        <w:t>se requiere certificado digital</w:t>
      </w:r>
      <w:r w:rsidR="00F14CE5">
        <w:t>.</w:t>
      </w:r>
    </w:p>
    <w:p w:rsidR="00F14CE5" w:rsidRPr="00000DF7" w:rsidRDefault="00F14CE5" w:rsidP="009215EC">
      <w:pPr>
        <w:ind w:left="709"/>
        <w:jc w:val="both"/>
      </w:pPr>
      <w:r>
        <w:t xml:space="preserve">El TCU dispone de un formulario para las solicitudes que se presenten a través de su sede electrónica. También se incluye un enlace al </w:t>
      </w:r>
      <w:r w:rsidRPr="00F14CE5">
        <w:t>Acuerdo del Pleno, de 27 de noviembre de 2014 (BOE de 3/12/2014), sobre el acceso a la información pública que obre e</w:t>
      </w:r>
      <w:r>
        <w:t>n poder del Tribunal de Cuentas.</w:t>
      </w:r>
      <w:r w:rsidR="00B5359A">
        <w:t xml:space="preserve"> En dicho acuerdo se indica que la Secretaría General es la unidad responsable de la tramitación de las solicitudes y que su resolución corresponde a la Presidencia del TCU.</w:t>
      </w:r>
    </w:p>
    <w:p w:rsidR="00561402" w:rsidRDefault="00561402">
      <w:pPr>
        <w:rPr>
          <w:b/>
          <w:color w:val="00642D"/>
          <w:sz w:val="30"/>
          <w:szCs w:val="30"/>
        </w:rPr>
      </w:pPr>
    </w:p>
    <w:p w:rsidR="00C97C31" w:rsidRDefault="00C97C31">
      <w:pPr>
        <w:rPr>
          <w:b/>
          <w:color w:val="00642D"/>
          <w:sz w:val="30"/>
          <w:szCs w:val="30"/>
        </w:rPr>
      </w:pPr>
    </w:p>
    <w:p w:rsidR="00C97C31" w:rsidRDefault="00C97C31">
      <w:pPr>
        <w:rPr>
          <w:b/>
          <w:color w:val="00642D"/>
          <w:sz w:val="30"/>
          <w:szCs w:val="30"/>
        </w:rPr>
      </w:pPr>
    </w:p>
    <w:p w:rsidR="00C97C31" w:rsidRDefault="00C97C31">
      <w:pPr>
        <w:rPr>
          <w:b/>
          <w:color w:val="00642D"/>
          <w:sz w:val="30"/>
          <w:szCs w:val="30"/>
        </w:rPr>
      </w:pPr>
    </w:p>
    <w:p w:rsidR="00B40246" w:rsidRPr="00E34195" w:rsidRDefault="00487EA9"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512DA" w:rsidRDefault="00E3088D" w:rsidP="000512DA">
      <w:pPr>
        <w:pStyle w:val="Cuerpodelboletn"/>
        <w:spacing w:before="120" w:after="120" w:line="312" w:lineRule="auto"/>
        <w:ind w:left="426"/>
        <w:rPr>
          <w:color w:val="auto"/>
          <w:lang w:bidi="es-ES"/>
        </w:rPr>
      </w:pPr>
      <w:r w:rsidRPr="00C33A23">
        <w:rPr>
          <w:color w:val="00642D"/>
          <w:lang w:bidi="es-ES"/>
        </w:rPr>
        <w:t xml:space="preserve"> </w:t>
      </w:r>
      <w:r w:rsidR="000512DA" w:rsidRPr="001276B2">
        <w:rPr>
          <w:rStyle w:val="Ttulo2Car"/>
          <w:sz w:val="22"/>
          <w:szCs w:val="22"/>
        </w:rPr>
        <w:t>Inicio del procedimiento</w:t>
      </w:r>
      <w:r w:rsidR="000512DA">
        <w:rPr>
          <w:color w:val="auto"/>
          <w:lang w:bidi="es-ES"/>
        </w:rPr>
        <w:t xml:space="preserve">. </w:t>
      </w:r>
    </w:p>
    <w:p w:rsidR="000512DA" w:rsidRDefault="000512DA" w:rsidP="00FB7FBB">
      <w:pPr>
        <w:pStyle w:val="Cuerpodelboletn"/>
        <w:spacing w:before="120" w:after="120" w:line="312" w:lineRule="auto"/>
        <w:ind w:left="709"/>
        <w:rPr>
          <w:color w:val="auto"/>
          <w:lang w:bidi="es-ES"/>
        </w:rPr>
      </w:pPr>
      <w:r w:rsidRPr="005C4D89">
        <w:rPr>
          <w:color w:val="auto"/>
          <w:lang w:bidi="es-ES"/>
        </w:rPr>
        <w:t xml:space="preserve">Con fecha </w:t>
      </w:r>
      <w:r>
        <w:rPr>
          <w:color w:val="auto"/>
          <w:lang w:bidi="es-ES"/>
        </w:rPr>
        <w:t>1</w:t>
      </w:r>
      <w:r w:rsidR="009215EC">
        <w:rPr>
          <w:color w:val="auto"/>
          <w:lang w:bidi="es-ES"/>
        </w:rPr>
        <w:t>2</w:t>
      </w:r>
      <w:r>
        <w:rPr>
          <w:color w:val="auto"/>
          <w:lang w:bidi="es-ES"/>
        </w:rPr>
        <w:t xml:space="preserve">/02/2021 se presentó </w:t>
      </w:r>
      <w:r w:rsidR="009215EC">
        <w:rPr>
          <w:color w:val="auto"/>
          <w:lang w:bidi="es-ES"/>
        </w:rPr>
        <w:t>a través de la sede electrónica del TCU</w:t>
      </w:r>
      <w:r>
        <w:rPr>
          <w:color w:val="auto"/>
          <w:lang w:bidi="es-ES"/>
        </w:rPr>
        <w:t xml:space="preserve"> una solicitud de acceso a información pública. </w:t>
      </w:r>
    </w:p>
    <w:p w:rsidR="009215EC" w:rsidRDefault="009215EC" w:rsidP="00FB7FBB">
      <w:pPr>
        <w:pStyle w:val="Cuerpodelboletn"/>
        <w:spacing w:before="120" w:after="120" w:line="312" w:lineRule="auto"/>
        <w:ind w:left="709"/>
        <w:rPr>
          <w:color w:val="auto"/>
          <w:lang w:bidi="es-ES"/>
        </w:rPr>
      </w:pPr>
      <w:r>
        <w:rPr>
          <w:color w:val="auto"/>
          <w:lang w:bidi="es-ES"/>
        </w:rPr>
        <w:t>L</w:t>
      </w:r>
      <w:r w:rsidRPr="009215EC">
        <w:rPr>
          <w:color w:val="auto"/>
          <w:lang w:bidi="es-ES"/>
        </w:rPr>
        <w:t xml:space="preserve">a sede electrónica </w:t>
      </w:r>
      <w:r>
        <w:rPr>
          <w:color w:val="auto"/>
          <w:lang w:bidi="es-ES"/>
        </w:rPr>
        <w:t>posibilita la</w:t>
      </w:r>
      <w:r w:rsidRPr="009215EC">
        <w:rPr>
          <w:color w:val="auto"/>
          <w:lang w:bidi="es-ES"/>
        </w:rPr>
        <w:t xml:space="preserve"> descarga</w:t>
      </w:r>
      <w:r>
        <w:rPr>
          <w:color w:val="auto"/>
          <w:lang w:bidi="es-ES"/>
        </w:rPr>
        <w:t xml:space="preserve"> de</w:t>
      </w:r>
      <w:r w:rsidRPr="009215EC">
        <w:rPr>
          <w:color w:val="auto"/>
          <w:lang w:bidi="es-ES"/>
        </w:rPr>
        <w:t xml:space="preserve"> un acuse de recibo. </w:t>
      </w:r>
      <w:r>
        <w:rPr>
          <w:color w:val="auto"/>
          <w:lang w:bidi="es-ES"/>
        </w:rPr>
        <w:t>También,</w:t>
      </w:r>
      <w:r w:rsidRPr="009215EC">
        <w:rPr>
          <w:color w:val="auto"/>
          <w:lang w:bidi="es-ES"/>
        </w:rPr>
        <w:t xml:space="preserve"> antes de enviar la </w:t>
      </w:r>
      <w:r>
        <w:rPr>
          <w:color w:val="auto"/>
          <w:lang w:bidi="es-ES"/>
        </w:rPr>
        <w:t>solicitud</w:t>
      </w:r>
      <w:r w:rsidRPr="009215EC">
        <w:rPr>
          <w:color w:val="auto"/>
          <w:lang w:bidi="es-ES"/>
        </w:rPr>
        <w:t xml:space="preserve">, permite descargar un borrador de la </w:t>
      </w:r>
      <w:r>
        <w:rPr>
          <w:color w:val="auto"/>
          <w:lang w:bidi="es-ES"/>
        </w:rPr>
        <w:t>misma.</w:t>
      </w:r>
      <w:r w:rsidRPr="009215EC">
        <w:rPr>
          <w:color w:val="auto"/>
          <w:lang w:bidi="es-ES"/>
        </w:rPr>
        <w:t xml:space="preserve"> </w:t>
      </w:r>
      <w:r>
        <w:rPr>
          <w:color w:val="auto"/>
          <w:lang w:bidi="es-ES"/>
        </w:rPr>
        <w:t xml:space="preserve">El acuse de recibo contiene </w:t>
      </w:r>
      <w:r w:rsidRPr="009215EC">
        <w:rPr>
          <w:color w:val="auto"/>
          <w:lang w:bidi="es-ES"/>
        </w:rPr>
        <w:t xml:space="preserve">un resumen de la solicitud, con el nº de registro (no nº de </w:t>
      </w:r>
      <w:r>
        <w:rPr>
          <w:color w:val="auto"/>
          <w:lang w:bidi="es-ES"/>
        </w:rPr>
        <w:t>expediente), día y hora de presentación.</w:t>
      </w:r>
    </w:p>
    <w:p w:rsidR="000512DA" w:rsidRDefault="000512DA" w:rsidP="00FB7FBB">
      <w:pPr>
        <w:pStyle w:val="Cuerpodelboletn"/>
        <w:tabs>
          <w:tab w:val="left" w:pos="426"/>
        </w:tabs>
        <w:spacing w:before="120" w:after="120" w:line="312" w:lineRule="auto"/>
        <w:ind w:left="426"/>
        <w:rPr>
          <w:color w:val="auto"/>
          <w:lang w:bidi="es-ES"/>
        </w:rPr>
      </w:pPr>
      <w:r>
        <w:rPr>
          <w:rStyle w:val="Ttulo2Car"/>
          <w:sz w:val="22"/>
          <w:szCs w:val="22"/>
        </w:rPr>
        <w:t>Tramitación</w:t>
      </w:r>
    </w:p>
    <w:p w:rsidR="000512DA" w:rsidRDefault="000512DA" w:rsidP="00FB7FBB">
      <w:pPr>
        <w:pStyle w:val="Cuerpodelboletn"/>
        <w:spacing w:before="120" w:after="120" w:line="312" w:lineRule="auto"/>
        <w:ind w:left="709"/>
        <w:rPr>
          <w:color w:val="auto"/>
          <w:lang w:bidi="es-ES"/>
        </w:rPr>
      </w:pPr>
      <w:r>
        <w:rPr>
          <w:color w:val="auto"/>
          <w:lang w:bidi="es-ES"/>
        </w:rPr>
        <w:t xml:space="preserve">No se ha remitido una comunicación de inicio de la tramitación de la solicitud. </w:t>
      </w:r>
    </w:p>
    <w:p w:rsidR="000512DA" w:rsidRDefault="000512DA" w:rsidP="00FB7FBB">
      <w:pPr>
        <w:pStyle w:val="Cuerpodelboletn"/>
        <w:spacing w:before="120" w:after="120" w:line="312" w:lineRule="auto"/>
        <w:ind w:left="426"/>
        <w:rPr>
          <w:color w:val="auto"/>
          <w:lang w:bidi="es-ES"/>
        </w:rPr>
      </w:pPr>
      <w:r>
        <w:rPr>
          <w:rStyle w:val="Ttulo2Car"/>
          <w:sz w:val="22"/>
          <w:szCs w:val="22"/>
        </w:rPr>
        <w:t>Resolución</w:t>
      </w:r>
    </w:p>
    <w:p w:rsidR="00487EA9" w:rsidRDefault="00487EA9" w:rsidP="00487EA9">
      <w:pPr>
        <w:pStyle w:val="Cuerpodelboletn"/>
        <w:numPr>
          <w:ilvl w:val="0"/>
          <w:numId w:val="5"/>
        </w:numPr>
        <w:spacing w:before="120" w:after="120" w:line="312" w:lineRule="auto"/>
        <w:ind w:left="709" w:hanging="218"/>
        <w:rPr>
          <w:color w:val="auto"/>
          <w:lang w:bidi="es-ES"/>
        </w:rPr>
      </w:pPr>
      <w:r>
        <w:rPr>
          <w:color w:val="auto"/>
          <w:lang w:bidi="es-ES"/>
        </w:rPr>
        <w:t xml:space="preserve"> </w:t>
      </w:r>
      <w:r w:rsidR="000512DA" w:rsidRPr="00487EA9">
        <w:rPr>
          <w:color w:val="auto"/>
          <w:lang w:bidi="es-ES"/>
        </w:rPr>
        <w:t xml:space="preserve">No se dicta resolución expresa. Se </w:t>
      </w:r>
      <w:r w:rsidR="00913A53" w:rsidRPr="00487EA9">
        <w:rPr>
          <w:color w:val="auto"/>
          <w:lang w:bidi="es-ES"/>
        </w:rPr>
        <w:t>da respuesta a través de</w:t>
      </w:r>
      <w:r w:rsidR="000512DA" w:rsidRPr="00487EA9">
        <w:rPr>
          <w:color w:val="auto"/>
          <w:lang w:bidi="es-ES"/>
        </w:rPr>
        <w:t xml:space="preserve"> un correo electrónico</w:t>
      </w:r>
      <w:r w:rsidR="00FB7FBB" w:rsidRPr="00487EA9">
        <w:rPr>
          <w:color w:val="auto"/>
          <w:lang w:bidi="es-ES"/>
        </w:rPr>
        <w:t xml:space="preserve"> </w:t>
      </w:r>
      <w:r w:rsidR="00913A53" w:rsidRPr="00487EA9">
        <w:rPr>
          <w:color w:val="auto"/>
          <w:lang w:bidi="es-ES"/>
        </w:rPr>
        <w:t>suscrito por</w:t>
      </w:r>
      <w:r w:rsidR="00FB7FBB" w:rsidRPr="00487EA9">
        <w:rPr>
          <w:color w:val="auto"/>
          <w:lang w:bidi="es-ES"/>
        </w:rPr>
        <w:t xml:space="preserve"> la Secretar</w:t>
      </w:r>
      <w:r w:rsidR="00913A53" w:rsidRPr="00487EA9">
        <w:rPr>
          <w:color w:val="auto"/>
          <w:lang w:bidi="es-ES"/>
        </w:rPr>
        <w:t>ía</w:t>
      </w:r>
      <w:r w:rsidR="00FB7FBB" w:rsidRPr="00487EA9">
        <w:rPr>
          <w:color w:val="auto"/>
          <w:lang w:bidi="es-ES"/>
        </w:rPr>
        <w:t xml:space="preserve"> General</w:t>
      </w:r>
      <w:r w:rsidR="000512DA" w:rsidRPr="00487EA9">
        <w:rPr>
          <w:color w:val="auto"/>
          <w:lang w:bidi="es-ES"/>
        </w:rPr>
        <w:t xml:space="preserve"> el </w:t>
      </w:r>
      <w:r w:rsidR="009215EC" w:rsidRPr="00487EA9">
        <w:rPr>
          <w:color w:val="auto"/>
          <w:lang w:bidi="es-ES"/>
        </w:rPr>
        <w:t>12</w:t>
      </w:r>
      <w:r w:rsidR="000512DA" w:rsidRPr="00487EA9">
        <w:rPr>
          <w:color w:val="auto"/>
          <w:lang w:bidi="es-ES"/>
        </w:rPr>
        <w:t>/03/2021 en el que se comunica la remisión de la información solicitada en formato Excel.</w:t>
      </w:r>
    </w:p>
    <w:p w:rsidR="009215EC" w:rsidRPr="00487EA9" w:rsidRDefault="00487EA9" w:rsidP="00487EA9">
      <w:pPr>
        <w:pStyle w:val="Cuerpodelboletn"/>
        <w:numPr>
          <w:ilvl w:val="0"/>
          <w:numId w:val="5"/>
        </w:numPr>
        <w:spacing w:before="120" w:after="120" w:line="312" w:lineRule="auto"/>
        <w:ind w:left="709" w:hanging="218"/>
        <w:rPr>
          <w:color w:val="auto"/>
          <w:lang w:bidi="es-ES"/>
        </w:rPr>
      </w:pPr>
      <w:r>
        <w:rPr>
          <w:color w:val="auto"/>
          <w:lang w:bidi="es-ES"/>
        </w:rPr>
        <w:t xml:space="preserve"> L</w:t>
      </w:r>
      <w:r w:rsidRPr="00487EA9">
        <w:rPr>
          <w:color w:val="auto"/>
          <w:lang w:bidi="es-ES"/>
        </w:rPr>
        <w:t xml:space="preserve">a remisión de un correo electrónico no se corresponde con la forma de notificación acorde con el medio por el que se presentó, la sede electrónica, por lo que las notificaciones deberían haberse efectuado mediante comparecencia en la sede. En su </w:t>
      </w:r>
      <w:r w:rsidR="0099279E" w:rsidRPr="00487EA9">
        <w:rPr>
          <w:color w:val="auto"/>
          <w:lang w:bidi="es-ES"/>
        </w:rPr>
        <w:t>Acuerdo de 27 de noviembre de 2014, sobre derecho de acceso se dispone que “</w:t>
      </w:r>
      <w:r w:rsidR="0099279E" w:rsidRPr="00487EA9">
        <w:rPr>
          <w:i/>
        </w:rPr>
        <w:t>De acuerdo con lo establecido en el artículo 22 de la Ley 19/2013, de 9 diciembre, el acceso a la a la información se realizará preferentemente por vía electrónica, a través de la sede electrónica del Tribunal de Cuentas, salvo que el solicitante haya señalado expresamente otro medio</w:t>
      </w:r>
      <w:r w:rsidR="0099279E">
        <w:t>”.</w:t>
      </w:r>
    </w:p>
    <w:p w:rsidR="000512DA" w:rsidRDefault="000512DA" w:rsidP="0099279E">
      <w:pPr>
        <w:pStyle w:val="Cuerpodelboletn"/>
        <w:numPr>
          <w:ilvl w:val="0"/>
          <w:numId w:val="5"/>
        </w:numPr>
        <w:spacing w:before="120" w:after="120" w:line="312" w:lineRule="auto"/>
        <w:ind w:left="709"/>
        <w:rPr>
          <w:color w:val="auto"/>
          <w:lang w:bidi="es-ES"/>
        </w:rPr>
      </w:pPr>
      <w:r>
        <w:rPr>
          <w:color w:val="auto"/>
          <w:lang w:bidi="es-ES"/>
        </w:rPr>
        <w:t>Se facilita el acceso a totalidad de la información que se entrega en formato electrónico.</w:t>
      </w:r>
    </w:p>
    <w:p w:rsidR="000E529D" w:rsidRDefault="000E529D" w:rsidP="000E529D">
      <w:pPr>
        <w:pStyle w:val="Cuerpodelboletn"/>
        <w:spacing w:before="120" w:after="120" w:line="312" w:lineRule="auto"/>
        <w:ind w:left="1146"/>
        <w:rPr>
          <w:color w:val="auto"/>
          <w:lang w:bidi="es-ES"/>
        </w:rPr>
      </w:pPr>
    </w:p>
    <w:p w:rsidR="001F251B" w:rsidRPr="00256215" w:rsidRDefault="00487EA9"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 xml:space="preserve">V. </w:t>
          </w:r>
          <w:r w:rsidR="001F251B">
            <w:rPr>
              <w:b/>
              <w:color w:val="00642D"/>
              <w:sz w:val="30"/>
              <w:szCs w:val="30"/>
            </w:rPr>
            <w:t>Buenas prácticas</w:t>
          </w:r>
          <w:r w:rsidR="001F251B" w:rsidRPr="00256215">
            <w:rPr>
              <w:b/>
              <w:color w:val="00642D"/>
              <w:sz w:val="30"/>
              <w:szCs w:val="30"/>
            </w:rPr>
            <w:t xml:space="preserve"> </w:t>
          </w:r>
        </w:sdtContent>
      </w:sdt>
    </w:p>
    <w:p w:rsidR="000E529D" w:rsidRDefault="000E529D" w:rsidP="000E529D">
      <w:pPr>
        <w:ind w:left="426"/>
        <w:jc w:val="both"/>
      </w:pPr>
      <w:r>
        <w:t>La gestión de las solicitudes de acceso a la información pública por parte del TCU presenta algunas buenas prácticas que serían aplicables por otras organizaciones públicas. Así cabe destacar:</w:t>
      </w:r>
    </w:p>
    <w:p w:rsidR="000E529D" w:rsidRDefault="000E529D" w:rsidP="000E529D">
      <w:pPr>
        <w:pStyle w:val="Prrafodelista"/>
        <w:numPr>
          <w:ilvl w:val="0"/>
          <w:numId w:val="8"/>
        </w:numPr>
        <w:jc w:val="both"/>
      </w:pPr>
      <w:r>
        <w:t xml:space="preserve">La publicación del </w:t>
      </w:r>
      <w:r w:rsidRPr="000E529D">
        <w:t>Acuerdo del Pleno</w:t>
      </w:r>
      <w:r>
        <w:t xml:space="preserve"> </w:t>
      </w:r>
      <w:r w:rsidRPr="000E529D">
        <w:t>sobre el acceso a la información pública que obre en poder del Tribunal de Cuentas</w:t>
      </w:r>
      <w:r>
        <w:t>.</w:t>
      </w:r>
    </w:p>
    <w:p w:rsidR="00256215" w:rsidRDefault="00256215" w:rsidP="00256215"/>
    <w:p w:rsidR="00C97C31" w:rsidRDefault="00C97C31" w:rsidP="00256215"/>
    <w:p w:rsidR="00256215" w:rsidRDefault="00487EA9"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B7FBB" w:rsidRPr="00B70DBD" w:rsidRDefault="00FB7FBB" w:rsidP="00FB7FBB">
      <w:pPr>
        <w:pStyle w:val="Prrafodelista"/>
        <w:numPr>
          <w:ilvl w:val="0"/>
          <w:numId w:val="7"/>
        </w:numPr>
        <w:ind w:left="426"/>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B7FBB" w:rsidRDefault="00FB7FBB" w:rsidP="00FB7FBB">
      <w:pPr>
        <w:pStyle w:val="Prrafodelista"/>
        <w:ind w:left="426"/>
        <w:jc w:val="both"/>
        <w:rPr>
          <w:bCs/>
        </w:rPr>
      </w:pPr>
    </w:p>
    <w:p w:rsidR="00D36E80" w:rsidRDefault="00D36E80" w:rsidP="00D36E80">
      <w:pPr>
        <w:pStyle w:val="Prrafodelista"/>
        <w:ind w:left="426"/>
        <w:jc w:val="both"/>
        <w:rPr>
          <w:bCs/>
        </w:rPr>
      </w:pPr>
      <w:r>
        <w:rPr>
          <w:bCs/>
        </w:rPr>
        <w:t>El TCU tramita el 100% de las solicitudes que recibe y admite un 48,57% de ellas. La única causa de inadmisión sobre la que informa el TCU es el hecho de que la información solicitada no entra dentro del ámbito de aplicación de la LTAIBG al Tribunal, ya que se trata de información relativa a la actividad de fiscalización y jurisdiccional del TCU que cuenta con un régimen específico de acceso.</w:t>
      </w:r>
      <w:r w:rsidR="00F9324B">
        <w:rPr>
          <w:bCs/>
        </w:rPr>
        <w:t xml:space="preserve">  </w:t>
      </w:r>
    </w:p>
    <w:p w:rsidR="00D36E80" w:rsidRDefault="00D36E80" w:rsidP="00D36E80">
      <w:pPr>
        <w:pStyle w:val="Prrafodelista"/>
        <w:ind w:left="426"/>
        <w:jc w:val="both"/>
        <w:rPr>
          <w:bCs/>
        </w:rPr>
      </w:pPr>
    </w:p>
    <w:p w:rsidR="0027420D" w:rsidRDefault="00D36E80" w:rsidP="00D36E80">
      <w:pPr>
        <w:pStyle w:val="Prrafodelista"/>
        <w:ind w:left="426"/>
        <w:jc w:val="both"/>
        <w:rPr>
          <w:bCs/>
        </w:rPr>
      </w:pPr>
      <w:r>
        <w:rPr>
          <w:bCs/>
        </w:rPr>
        <w:t>Por lo que respecta a las resoluciones, según los datos remitidos, emite resolución expresa para un 35,29</w:t>
      </w:r>
      <w:r w:rsidR="0027420D">
        <w:rPr>
          <w:bCs/>
        </w:rPr>
        <w:t>%</w:t>
      </w:r>
      <w:r>
        <w:rPr>
          <w:bCs/>
        </w:rPr>
        <w:t xml:space="preserve"> de las solicitudes admitidas, </w:t>
      </w:r>
      <w:r w:rsidR="0027420D">
        <w:rPr>
          <w:bCs/>
        </w:rPr>
        <w:t xml:space="preserve">en los restantes casos no es posible saber, por la información disponible, si se da acceso a la información aunque no exista un resolución expresa. </w:t>
      </w:r>
    </w:p>
    <w:p w:rsidR="0027420D" w:rsidRDefault="0027420D" w:rsidP="00D36E80">
      <w:pPr>
        <w:pStyle w:val="Prrafodelista"/>
        <w:ind w:left="426"/>
        <w:jc w:val="both"/>
        <w:rPr>
          <w:bCs/>
        </w:rPr>
      </w:pPr>
    </w:p>
    <w:p w:rsidR="00D36E80" w:rsidRDefault="0027420D" w:rsidP="00D36E80">
      <w:pPr>
        <w:pStyle w:val="Prrafodelista"/>
        <w:ind w:left="426"/>
        <w:jc w:val="both"/>
        <w:rPr>
          <w:bCs/>
        </w:rPr>
      </w:pPr>
      <w:r>
        <w:rPr>
          <w:bCs/>
        </w:rPr>
        <w:t>El 100% de las resoluciones emitidas concede acceso total a la información.</w:t>
      </w:r>
      <w:r w:rsidR="00F9324B">
        <w:rPr>
          <w:bCs/>
        </w:rPr>
        <w:t xml:space="preserve"> </w:t>
      </w:r>
    </w:p>
    <w:p w:rsidR="0027420D" w:rsidRDefault="0027420D" w:rsidP="00D36E80">
      <w:pPr>
        <w:pStyle w:val="Prrafodelista"/>
        <w:ind w:left="426"/>
        <w:jc w:val="both"/>
        <w:rPr>
          <w:bCs/>
        </w:rPr>
      </w:pPr>
    </w:p>
    <w:p w:rsidR="00E579D6" w:rsidRDefault="00D36E80" w:rsidP="00E579D6">
      <w:pPr>
        <w:pStyle w:val="Prrafodelista"/>
        <w:ind w:left="426"/>
        <w:jc w:val="both"/>
        <w:rPr>
          <w:bCs/>
        </w:rPr>
      </w:pPr>
      <w:r>
        <w:rPr>
          <w:bCs/>
        </w:rPr>
        <w:t>Una cuestión adicional es que no se publican las resoluciones que deniegan el acceso a la información en aplicación de los límites del artículo 14.</w:t>
      </w:r>
      <w:r w:rsidR="00E579D6" w:rsidRPr="00E579D6">
        <w:rPr>
          <w:bCs/>
        </w:rPr>
        <w:t xml:space="preserve"> </w:t>
      </w:r>
      <w:r w:rsidR="00E579D6">
        <w:rPr>
          <w:bCs/>
        </w:rPr>
        <w:t>Por parte de este Consejo y a partir de la información proporcionada por el TCU, se ha constatado que no ha habido ninguna resolución denegatoria en 2020.</w:t>
      </w:r>
    </w:p>
    <w:p w:rsidR="00E579D6" w:rsidRDefault="00E579D6" w:rsidP="00E579D6">
      <w:pPr>
        <w:pStyle w:val="Prrafodelista"/>
        <w:ind w:left="426"/>
        <w:jc w:val="both"/>
        <w:rPr>
          <w:bCs/>
        </w:rPr>
      </w:pPr>
      <w:r>
        <w:rPr>
          <w:bCs/>
        </w:rPr>
        <w:t xml:space="preserve"> </w:t>
      </w:r>
    </w:p>
    <w:p w:rsidR="00E579D6" w:rsidRPr="008648E8" w:rsidRDefault="00E579D6" w:rsidP="00E579D6">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Esta circunstancia debería hacerse constar expresamente en el Portal de Transparencia del TCU.</w:t>
      </w:r>
    </w:p>
    <w:p w:rsidR="00E579D6" w:rsidRDefault="00E579D6" w:rsidP="00E579D6">
      <w:pPr>
        <w:pStyle w:val="Prrafodelista"/>
        <w:ind w:left="426"/>
        <w:jc w:val="both"/>
        <w:rPr>
          <w:bCs/>
        </w:rPr>
      </w:pPr>
    </w:p>
    <w:p w:rsidR="00F9324B" w:rsidRDefault="00F9324B" w:rsidP="00FB7FBB">
      <w:pPr>
        <w:pStyle w:val="Prrafodelista"/>
        <w:ind w:left="426"/>
        <w:jc w:val="both"/>
        <w:rPr>
          <w:bCs/>
        </w:rPr>
      </w:pPr>
    </w:p>
    <w:p w:rsidR="00FB7FBB" w:rsidRPr="001018C9" w:rsidRDefault="00FB7FBB" w:rsidP="00FB7FBB">
      <w:pPr>
        <w:pStyle w:val="Prrafodelista"/>
        <w:numPr>
          <w:ilvl w:val="0"/>
          <w:numId w:val="7"/>
        </w:numPr>
        <w:ind w:left="426"/>
      </w:pPr>
      <w:r w:rsidRPr="00B70DBD">
        <w:rPr>
          <w:rStyle w:val="Ttulo2Car"/>
          <w:color w:val="00642D"/>
          <w:sz w:val="22"/>
          <w:szCs w:val="22"/>
          <w:lang w:bidi="es-ES"/>
        </w:rPr>
        <w:t>Respecto de la localización de la información y facilidad de acceso al ejercicio del derecho.</w:t>
      </w:r>
    </w:p>
    <w:p w:rsidR="00FB7FBB" w:rsidRDefault="00FB7FBB" w:rsidP="00FB7FBB">
      <w:pPr>
        <w:pStyle w:val="Prrafodelista"/>
        <w:ind w:left="426"/>
      </w:pPr>
    </w:p>
    <w:p w:rsidR="00D36E80" w:rsidRDefault="00FB7FBB" w:rsidP="00D36E80">
      <w:pPr>
        <w:pStyle w:val="Prrafodelista"/>
        <w:ind w:left="426"/>
        <w:jc w:val="both"/>
      </w:pPr>
      <w:r>
        <w:t xml:space="preserve">Como se ha indicado, el Portal de Transparencia del TCU contiene un espacio específico en el que informa sobre la posibilidad de que los ciudadanos efectúen solicitudes de información pública dirigidas a la institución. </w:t>
      </w:r>
      <w:r w:rsidR="00D36E80">
        <w:t xml:space="preserve">También proporciona un enlace a su sede electrónica – único medio indicado expresamente para la presentación de solicitudes - en la que se ofrecen dos formularios para su presentación. </w:t>
      </w:r>
    </w:p>
    <w:p w:rsidR="00D36E80" w:rsidRDefault="00D36E80" w:rsidP="00D36E80">
      <w:pPr>
        <w:pStyle w:val="Prrafodelista"/>
        <w:ind w:left="426"/>
        <w:jc w:val="both"/>
      </w:pPr>
    </w:p>
    <w:p w:rsidR="00D36E80" w:rsidRDefault="00D36E80" w:rsidP="00D36E80">
      <w:pPr>
        <w:pStyle w:val="Prrafodelista"/>
        <w:pBdr>
          <w:top w:val="single" w:sz="4" w:space="1" w:color="008000"/>
          <w:left w:val="single" w:sz="4" w:space="4" w:color="008000"/>
          <w:bottom w:val="single" w:sz="4" w:space="1" w:color="008000"/>
          <w:right w:val="single" w:sz="4" w:space="4" w:color="008000"/>
        </w:pBdr>
        <w:ind w:left="426"/>
        <w:jc w:val="both"/>
      </w:pPr>
      <w:r>
        <w:t xml:space="preserve">El TCU sólo ofrece información sobre un medio de presentación de solicitudes de acceso a la información en su Portal de Transparencia, la sede electrónica, lo que a su vez, obliga a que los solicitantes dispongan de </w:t>
      </w:r>
      <w:r w:rsidR="00F9324B">
        <w:t xml:space="preserve">algún sistema de </w:t>
      </w:r>
      <w:r>
        <w:t>identificación</w:t>
      </w:r>
      <w:r w:rsidR="00F9324B">
        <w:t xml:space="preserve"> para poder relacionarse por medios electrónicos</w:t>
      </w:r>
      <w:r>
        <w:t>.</w:t>
      </w:r>
    </w:p>
    <w:p w:rsidR="00D36E80" w:rsidRDefault="00D36E80" w:rsidP="00D36E80">
      <w:pPr>
        <w:pStyle w:val="Prrafodelista"/>
        <w:pBdr>
          <w:top w:val="single" w:sz="4" w:space="1" w:color="008000"/>
          <w:left w:val="single" w:sz="4" w:space="4" w:color="008000"/>
          <w:bottom w:val="single" w:sz="4" w:space="1" w:color="008000"/>
          <w:right w:val="single" w:sz="4" w:space="4" w:color="008000"/>
        </w:pBdr>
        <w:ind w:left="426"/>
        <w:jc w:val="both"/>
      </w:pPr>
    </w:p>
    <w:p w:rsidR="00D36E80" w:rsidRDefault="00D36E80" w:rsidP="00D36E80">
      <w:pPr>
        <w:pStyle w:val="Prrafodelista"/>
        <w:pBdr>
          <w:top w:val="single" w:sz="4" w:space="1" w:color="008000"/>
          <w:left w:val="single" w:sz="4" w:space="4" w:color="008000"/>
          <w:bottom w:val="single" w:sz="4" w:space="1" w:color="008000"/>
          <w:right w:val="single" w:sz="4" w:space="4" w:color="008000"/>
        </w:pBdr>
        <w:ind w:left="426"/>
        <w:jc w:val="both"/>
      </w:pPr>
      <w:r>
        <w:t>Obviamente, esto no excluye que un ciudadano pueda dirigirse al TCU por los medios establecidos en la Ley 39/2015, pero esto implica un plus de conocimiento del funcionamiento de la Administración que no tiene por qué estar al alcance de la ciudadanía.</w:t>
      </w:r>
    </w:p>
    <w:p w:rsidR="00D36E80" w:rsidRDefault="00D36E80" w:rsidP="00D36E80">
      <w:pPr>
        <w:pStyle w:val="Prrafodelista"/>
        <w:pBdr>
          <w:top w:val="single" w:sz="4" w:space="1" w:color="008000"/>
          <w:left w:val="single" w:sz="4" w:space="4" w:color="008000"/>
          <w:bottom w:val="single" w:sz="4" w:space="1" w:color="008000"/>
          <w:right w:val="single" w:sz="4" w:space="4" w:color="008000"/>
        </w:pBdr>
        <w:ind w:left="426"/>
        <w:jc w:val="both"/>
      </w:pPr>
    </w:p>
    <w:p w:rsidR="00D36E80" w:rsidRDefault="00D36E80" w:rsidP="00D36E80">
      <w:pPr>
        <w:pStyle w:val="Prrafodelista"/>
        <w:pBdr>
          <w:top w:val="single" w:sz="4" w:space="1" w:color="008000"/>
          <w:left w:val="single" w:sz="4" w:space="4" w:color="008000"/>
          <w:bottom w:val="single" w:sz="4" w:space="1" w:color="008000"/>
          <w:right w:val="single" w:sz="4" w:space="4" w:color="008000"/>
        </w:pBdr>
        <w:ind w:left="426"/>
        <w:jc w:val="both"/>
      </w:pPr>
      <w:r>
        <w:t xml:space="preserve">Por esta razón, este Consejo recomienda que en el Portal de Transparencia del TCU se indiquen expresamente los medios a través de los cuales la ciudadanía puede relacionarse con la </w:t>
      </w:r>
      <w:r w:rsidR="00F9324B">
        <w:t>A</w:t>
      </w:r>
      <w:r>
        <w:t>dministración y en consecuencia, presentar solicitudes de información al amparo de la Ley 19/2013.</w:t>
      </w:r>
    </w:p>
    <w:p w:rsidR="00D36E80" w:rsidRDefault="00D36E80" w:rsidP="00D36E80">
      <w:pPr>
        <w:pStyle w:val="Prrafodelista"/>
        <w:ind w:left="426"/>
        <w:jc w:val="both"/>
      </w:pPr>
    </w:p>
    <w:p w:rsidR="00FB7FBB" w:rsidRDefault="00FB7FBB" w:rsidP="00FB7FBB">
      <w:pPr>
        <w:pStyle w:val="Prrafodelista"/>
        <w:ind w:left="426"/>
        <w:jc w:val="both"/>
      </w:pPr>
    </w:p>
    <w:p w:rsidR="00FB7FBB" w:rsidRDefault="00FB7FBB" w:rsidP="00FB7FBB">
      <w:pPr>
        <w:pStyle w:val="Prrafodelista"/>
        <w:ind w:left="426"/>
        <w:jc w:val="both"/>
      </w:pPr>
    </w:p>
    <w:p w:rsidR="00FB7FBB" w:rsidRPr="00B70DBD" w:rsidRDefault="00FB7FBB" w:rsidP="00FB7FBB">
      <w:pPr>
        <w:pStyle w:val="Prrafodelista"/>
        <w:numPr>
          <w:ilvl w:val="0"/>
          <w:numId w:val="6"/>
        </w:numPr>
        <w:ind w:left="426"/>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B7FBB" w:rsidRDefault="00FB7FBB" w:rsidP="00FB7FBB">
      <w:pPr>
        <w:pStyle w:val="Prrafodelista"/>
        <w:ind w:left="426"/>
        <w:jc w:val="both"/>
      </w:pPr>
    </w:p>
    <w:p w:rsidR="00FB7FBB" w:rsidRDefault="00FB7FBB" w:rsidP="00FB7FBB">
      <w:pPr>
        <w:pStyle w:val="Prrafodelista"/>
        <w:ind w:left="426"/>
        <w:jc w:val="both"/>
      </w:pPr>
      <w:r>
        <w:t>La gestión de la solicitud de acceso presentada no se ha ajustado al procedimiento establecido por la LTAIBG</w:t>
      </w:r>
      <w:r w:rsidR="009E7E1B">
        <w:t>.</w:t>
      </w:r>
    </w:p>
    <w:p w:rsidR="00FB7FBB" w:rsidRDefault="00FB7FBB" w:rsidP="00FB7FBB">
      <w:pPr>
        <w:pStyle w:val="Prrafodelista"/>
        <w:ind w:left="426"/>
        <w:jc w:val="both"/>
      </w:pPr>
    </w:p>
    <w:p w:rsidR="00FB7FBB" w:rsidRDefault="009E7E1B" w:rsidP="00FB7FBB">
      <w:pPr>
        <w:pStyle w:val="Prrafodelista"/>
        <w:ind w:left="426"/>
        <w:jc w:val="both"/>
      </w:pPr>
      <w:r>
        <w:t xml:space="preserve">El TCU </w:t>
      </w:r>
      <w:r w:rsidR="00FB7FBB">
        <w:t xml:space="preserve">no emite una resolución expresa. La información se remite en un fichero adjunto a un correo electrónico </w:t>
      </w:r>
      <w:r w:rsidR="00AB5AAA">
        <w:t xml:space="preserve">firmado por la Secretaria General, </w:t>
      </w:r>
      <w:r w:rsidR="00FB7FBB">
        <w:t xml:space="preserve">que no incluye pie de recurso, </w:t>
      </w:r>
      <w:r w:rsidR="00FB7FBB" w:rsidRPr="00330EC6">
        <w:t>carec</w:t>
      </w:r>
      <w:r w:rsidR="00FB7FBB">
        <w:t>i</w:t>
      </w:r>
      <w:r w:rsidR="00FB7FBB" w:rsidRPr="00330EC6">
        <w:t>e</w:t>
      </w:r>
      <w:r w:rsidR="00FB7FBB">
        <w:t xml:space="preserve">ndo en consecuencia, </w:t>
      </w:r>
      <w:r w:rsidR="00FB7FBB" w:rsidRPr="00330EC6">
        <w:t>de información sobre los medios de impugnación en caso de disconformidad</w:t>
      </w:r>
      <w:r w:rsidR="00F9324B">
        <w:t xml:space="preserve"> </w:t>
      </w:r>
      <w:r w:rsidR="00FB7FBB" w:rsidRPr="00330EC6">
        <w:t>con la respuesta proporcionada, cuestión sobre la que tampoco se informa en el Portal de Transparencia de la entidad.</w:t>
      </w:r>
      <w:r w:rsidR="00F9324B">
        <w:t xml:space="preserve"> </w:t>
      </w:r>
      <w:r w:rsidR="0099279E">
        <w:t xml:space="preserve">A estos efectos, no resulta suficiente el envío de un correo electrónico. </w:t>
      </w:r>
    </w:p>
    <w:p w:rsidR="0099279E" w:rsidRDefault="0099279E" w:rsidP="00FB7FBB">
      <w:pPr>
        <w:pStyle w:val="Prrafodelista"/>
        <w:ind w:left="426"/>
        <w:jc w:val="both"/>
      </w:pPr>
    </w:p>
    <w:p w:rsidR="00487EA9" w:rsidRDefault="00487EA9" w:rsidP="00487EA9">
      <w:pPr>
        <w:pStyle w:val="Prrafodelista"/>
        <w:ind w:left="426"/>
        <w:jc w:val="both"/>
      </w:pPr>
      <w:r>
        <w:t>Por otra parte el recurso a un correo electrónico tampoco se corresponde con la forma de presentación de la solicitud, la sede electrónica, ni permite dejar constancia de la misma.</w:t>
      </w:r>
    </w:p>
    <w:p w:rsidR="00F9324B" w:rsidRDefault="00F9324B" w:rsidP="00FB7FBB">
      <w:pPr>
        <w:pStyle w:val="Prrafodelista"/>
        <w:ind w:left="426"/>
        <w:jc w:val="both"/>
      </w:pPr>
    </w:p>
    <w:p w:rsidR="0099279E" w:rsidRDefault="00AB5AAA" w:rsidP="00D36E80">
      <w:pPr>
        <w:pStyle w:val="Prrafodelista"/>
        <w:pBdr>
          <w:top w:val="single" w:sz="4" w:space="1" w:color="008000"/>
          <w:left w:val="single" w:sz="4" w:space="4" w:color="008000"/>
          <w:bottom w:val="single" w:sz="4" w:space="1" w:color="008000"/>
          <w:right w:val="single" w:sz="4" w:space="4" w:color="008000"/>
        </w:pBdr>
        <w:ind w:left="426"/>
        <w:jc w:val="both"/>
      </w:pPr>
      <w:r>
        <w:t>El TCU</w:t>
      </w:r>
      <w:r w:rsidR="00FB7FBB">
        <w:t xml:space="preserve"> debe</w:t>
      </w:r>
      <w:r w:rsidR="00D36E80">
        <w:t>ría</w:t>
      </w:r>
      <w:r w:rsidR="00FB7FBB">
        <w:t xml:space="preserve"> ajustarse al procedimiento establecido por </w:t>
      </w:r>
      <w:r>
        <w:t>la Ley</w:t>
      </w:r>
      <w:r w:rsidR="00FB7FBB">
        <w:t xml:space="preserve"> 19/2013 y </w:t>
      </w:r>
      <w:r>
        <w:t>por su Acuerdo</w:t>
      </w:r>
      <w:r w:rsidRPr="00AB5AAA">
        <w:t xml:space="preserve"> </w:t>
      </w:r>
      <w:r w:rsidRPr="00F14CE5">
        <w:t>del Pleno, de 27 de noviembre de 2014</w:t>
      </w:r>
      <w:r w:rsidR="00FB7FBB">
        <w:t xml:space="preserve">, </w:t>
      </w:r>
      <w:r w:rsidR="0099279E">
        <w:t xml:space="preserve">tanto en lo que se refiere a la emisión de </w:t>
      </w:r>
      <w:r w:rsidR="00FB7FBB">
        <w:t xml:space="preserve">una resolución expresa </w:t>
      </w:r>
      <w:r w:rsidR="0099279E">
        <w:t>(</w:t>
      </w:r>
      <w:r w:rsidR="00FB7FBB">
        <w:t>que indique los recursos que contra la misma procedan, órgano administrativo o judicial ante el que presentarlos y el plazo para interponerlos</w:t>
      </w:r>
      <w:r w:rsidR="0099279E">
        <w:t xml:space="preserve">) como en lo relativo a la forma de notificación de la misma, que deberá efectuarse </w:t>
      </w:r>
      <w:r w:rsidR="0099279E" w:rsidRPr="0099279E">
        <w:t xml:space="preserve">a través de </w:t>
      </w:r>
      <w:r w:rsidR="0099279E">
        <w:t>su</w:t>
      </w:r>
      <w:r w:rsidR="0099279E" w:rsidRPr="0099279E">
        <w:t xml:space="preserve"> sede electrónica, salvo que el solicitante h</w:t>
      </w:r>
      <w:r w:rsidR="0099279E">
        <w:t xml:space="preserve">ubiera </w:t>
      </w:r>
      <w:r w:rsidR="0099279E" w:rsidRPr="0099279E">
        <w:t>señalado expresamente otro medio</w:t>
      </w:r>
      <w:r w:rsidR="00FB7FBB">
        <w:t xml:space="preserve">. </w:t>
      </w:r>
      <w:r w:rsidR="0099279E">
        <w:t xml:space="preserve"> </w:t>
      </w:r>
    </w:p>
    <w:p w:rsidR="00FB7FBB" w:rsidRDefault="00FB7FBB" w:rsidP="00FB7FBB">
      <w:pPr>
        <w:pStyle w:val="Prrafodelista"/>
        <w:tabs>
          <w:tab w:val="left" w:pos="426"/>
        </w:tabs>
        <w:ind w:left="426"/>
        <w:jc w:val="both"/>
      </w:pPr>
    </w:p>
    <w:p w:rsidR="00FB7FBB" w:rsidRDefault="00AB5AAA" w:rsidP="00FB7FBB">
      <w:pPr>
        <w:pStyle w:val="Prrafodelista"/>
        <w:tabs>
          <w:tab w:val="left" w:pos="426"/>
        </w:tabs>
        <w:ind w:left="426"/>
        <w:jc w:val="both"/>
      </w:pPr>
      <w:r>
        <w:t>L</w:t>
      </w:r>
      <w:r w:rsidR="00FB7FBB">
        <w:t>a información se proporciona en el momento de la notificación</w:t>
      </w:r>
      <w:r>
        <w:t xml:space="preserve"> y en el formato especificado por el solicitante</w:t>
      </w:r>
      <w:r w:rsidR="00FB7FBB">
        <w:t xml:space="preserve">. </w:t>
      </w:r>
      <w:r w:rsidR="00F9324B">
        <w:t>La respuesta a la solicitud</w:t>
      </w:r>
      <w:r>
        <w:t xml:space="preserve"> se produce el último día del</w:t>
      </w:r>
      <w:r w:rsidR="005843BA">
        <w:t xml:space="preserve"> </w:t>
      </w:r>
      <w:r>
        <w:t>plazo establecido por la LTAIBG.</w:t>
      </w:r>
      <w:bookmarkStart w:id="0" w:name="_GoBack"/>
      <w:bookmarkEnd w:id="0"/>
    </w:p>
    <w:sectPr w:rsidR="00FB7FBB" w:rsidSect="00F9324B">
      <w:footerReference w:type="default" r:id="rId12"/>
      <w:pgSz w:w="11906" w:h="16838"/>
      <w:pgMar w:top="1134" w:right="720" w:bottom="156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E80" w:rsidRDefault="00D36E80" w:rsidP="00932008">
      <w:pPr>
        <w:spacing w:after="0" w:line="240" w:lineRule="auto"/>
      </w:pPr>
      <w:r>
        <w:separator/>
      </w:r>
    </w:p>
  </w:endnote>
  <w:endnote w:type="continuationSeparator" w:id="0">
    <w:p w:rsidR="00D36E80" w:rsidRDefault="00D36E8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528625"/>
      <w:docPartObj>
        <w:docPartGallery w:val="Page Numbers (Bottom of Page)"/>
        <w:docPartUnique/>
      </w:docPartObj>
    </w:sdtPr>
    <w:sdtEndPr>
      <w:rPr>
        <w:sz w:val="18"/>
        <w:szCs w:val="18"/>
      </w:rPr>
    </w:sdtEndPr>
    <w:sdtContent>
      <w:p w:rsidR="00D36E80" w:rsidRPr="00913A53" w:rsidRDefault="00D36E80">
        <w:pPr>
          <w:pStyle w:val="Piedepgina"/>
          <w:jc w:val="right"/>
          <w:rPr>
            <w:sz w:val="18"/>
            <w:szCs w:val="18"/>
          </w:rPr>
        </w:pPr>
        <w:r w:rsidRPr="00913A53">
          <w:rPr>
            <w:sz w:val="18"/>
            <w:szCs w:val="18"/>
          </w:rPr>
          <w:fldChar w:fldCharType="begin"/>
        </w:r>
        <w:r w:rsidRPr="00913A53">
          <w:rPr>
            <w:sz w:val="18"/>
            <w:szCs w:val="18"/>
          </w:rPr>
          <w:instrText>PAGE   \* MERGEFORMAT</w:instrText>
        </w:r>
        <w:r w:rsidRPr="00913A53">
          <w:rPr>
            <w:sz w:val="18"/>
            <w:szCs w:val="18"/>
          </w:rPr>
          <w:fldChar w:fldCharType="separate"/>
        </w:r>
        <w:r w:rsidR="00487EA9">
          <w:rPr>
            <w:noProof/>
            <w:sz w:val="18"/>
            <w:szCs w:val="18"/>
          </w:rPr>
          <w:t>6</w:t>
        </w:r>
        <w:r w:rsidRPr="00913A53">
          <w:rPr>
            <w:sz w:val="18"/>
            <w:szCs w:val="18"/>
          </w:rPr>
          <w:fldChar w:fldCharType="end"/>
        </w:r>
      </w:p>
    </w:sdtContent>
  </w:sdt>
  <w:p w:rsidR="00D36E80" w:rsidRDefault="00D36E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E80" w:rsidRDefault="00D36E80" w:rsidP="00932008">
      <w:pPr>
        <w:spacing w:after="0" w:line="240" w:lineRule="auto"/>
      </w:pPr>
      <w:r>
        <w:separator/>
      </w:r>
    </w:p>
  </w:footnote>
  <w:footnote w:type="continuationSeparator" w:id="0">
    <w:p w:rsidR="00D36E80" w:rsidRDefault="00D36E80"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5">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2"/>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512DA"/>
    <w:rsid w:val="00055B15"/>
    <w:rsid w:val="000965B3"/>
    <w:rsid w:val="000C6CFF"/>
    <w:rsid w:val="000E25C9"/>
    <w:rsid w:val="000E529D"/>
    <w:rsid w:val="00102733"/>
    <w:rsid w:val="0012783F"/>
    <w:rsid w:val="001561A4"/>
    <w:rsid w:val="00176A94"/>
    <w:rsid w:val="00194000"/>
    <w:rsid w:val="001F251B"/>
    <w:rsid w:val="002019B0"/>
    <w:rsid w:val="00241D7A"/>
    <w:rsid w:val="00242FA1"/>
    <w:rsid w:val="00256215"/>
    <w:rsid w:val="0027420D"/>
    <w:rsid w:val="002A154B"/>
    <w:rsid w:val="00334115"/>
    <w:rsid w:val="003F271E"/>
    <w:rsid w:val="003F572A"/>
    <w:rsid w:val="00487EA9"/>
    <w:rsid w:val="004A123A"/>
    <w:rsid w:val="004D6E73"/>
    <w:rsid w:val="004F2655"/>
    <w:rsid w:val="005446A8"/>
    <w:rsid w:val="00561402"/>
    <w:rsid w:val="0057532F"/>
    <w:rsid w:val="005843BA"/>
    <w:rsid w:val="00595AAF"/>
    <w:rsid w:val="00596FDE"/>
    <w:rsid w:val="005B1F0E"/>
    <w:rsid w:val="005B3C15"/>
    <w:rsid w:val="006A2766"/>
    <w:rsid w:val="006B134A"/>
    <w:rsid w:val="00706E04"/>
    <w:rsid w:val="00707CFE"/>
    <w:rsid w:val="00710031"/>
    <w:rsid w:val="00727BA2"/>
    <w:rsid w:val="00743756"/>
    <w:rsid w:val="007B0F99"/>
    <w:rsid w:val="007B5F7A"/>
    <w:rsid w:val="007D6B40"/>
    <w:rsid w:val="00815659"/>
    <w:rsid w:val="008207D9"/>
    <w:rsid w:val="00844FA9"/>
    <w:rsid w:val="008C1E1E"/>
    <w:rsid w:val="008F352C"/>
    <w:rsid w:val="00913A53"/>
    <w:rsid w:val="009215EC"/>
    <w:rsid w:val="00923092"/>
    <w:rsid w:val="009239D9"/>
    <w:rsid w:val="00932008"/>
    <w:rsid w:val="00935E6A"/>
    <w:rsid w:val="00956BFC"/>
    <w:rsid w:val="009609E9"/>
    <w:rsid w:val="00983919"/>
    <w:rsid w:val="0099279E"/>
    <w:rsid w:val="009E7E1B"/>
    <w:rsid w:val="00A41DD5"/>
    <w:rsid w:val="00A76CE1"/>
    <w:rsid w:val="00AB5AAA"/>
    <w:rsid w:val="00AC34E4"/>
    <w:rsid w:val="00AC5306"/>
    <w:rsid w:val="00B40246"/>
    <w:rsid w:val="00B5359A"/>
    <w:rsid w:val="00B5583D"/>
    <w:rsid w:val="00B812AB"/>
    <w:rsid w:val="00B841AE"/>
    <w:rsid w:val="00BB6799"/>
    <w:rsid w:val="00BD4582"/>
    <w:rsid w:val="00BE6A46"/>
    <w:rsid w:val="00C00C90"/>
    <w:rsid w:val="00C33A23"/>
    <w:rsid w:val="00C34BB5"/>
    <w:rsid w:val="00C4479B"/>
    <w:rsid w:val="00C5744D"/>
    <w:rsid w:val="00C65054"/>
    <w:rsid w:val="00C97C31"/>
    <w:rsid w:val="00CA2D21"/>
    <w:rsid w:val="00CB5511"/>
    <w:rsid w:val="00CC2049"/>
    <w:rsid w:val="00CC587B"/>
    <w:rsid w:val="00D36E80"/>
    <w:rsid w:val="00D445A7"/>
    <w:rsid w:val="00D52E43"/>
    <w:rsid w:val="00D96F84"/>
    <w:rsid w:val="00DD3E02"/>
    <w:rsid w:val="00DD6463"/>
    <w:rsid w:val="00DE4AA9"/>
    <w:rsid w:val="00DF63E7"/>
    <w:rsid w:val="00E3088D"/>
    <w:rsid w:val="00E34195"/>
    <w:rsid w:val="00E47613"/>
    <w:rsid w:val="00E569FD"/>
    <w:rsid w:val="00E579D6"/>
    <w:rsid w:val="00EE5BDF"/>
    <w:rsid w:val="00F14CE5"/>
    <w:rsid w:val="00F14DA4"/>
    <w:rsid w:val="00F31A2F"/>
    <w:rsid w:val="00F47C3B"/>
    <w:rsid w:val="00F71D7D"/>
    <w:rsid w:val="00F7263F"/>
    <w:rsid w:val="00F876EC"/>
    <w:rsid w:val="00F9324B"/>
    <w:rsid w:val="00FA050D"/>
    <w:rsid w:val="00FB7FBB"/>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FB7FBB"/>
    <w:rPr>
      <w:sz w:val="16"/>
      <w:szCs w:val="16"/>
    </w:rPr>
  </w:style>
  <w:style w:type="paragraph" w:styleId="Textocomentario">
    <w:name w:val="annotation text"/>
    <w:basedOn w:val="Normal"/>
    <w:link w:val="TextocomentarioCar"/>
    <w:uiPriority w:val="99"/>
    <w:semiHidden/>
    <w:unhideWhenUsed/>
    <w:rsid w:val="00FB7F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7FBB"/>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FB7FBB"/>
    <w:rPr>
      <w:b/>
      <w:bCs/>
    </w:rPr>
  </w:style>
  <w:style w:type="character" w:customStyle="1" w:styleId="AsuntodelcomentarioCar">
    <w:name w:val="Asunto del comentario Car"/>
    <w:basedOn w:val="TextocomentarioCar"/>
    <w:link w:val="Asuntodelcomentario"/>
    <w:uiPriority w:val="99"/>
    <w:semiHidden/>
    <w:rsid w:val="00FB7FBB"/>
    <w:rPr>
      <w:rFonts w:ascii="Century Gothic" w:hAnsi="Century Gothic"/>
      <w:b/>
      <w:bCs/>
      <w:sz w:val="20"/>
      <w:szCs w:val="20"/>
    </w:rPr>
  </w:style>
  <w:style w:type="paragraph" w:styleId="NormalWeb">
    <w:name w:val="Normal (Web)"/>
    <w:basedOn w:val="Normal"/>
    <w:uiPriority w:val="99"/>
    <w:semiHidden/>
    <w:unhideWhenUsed/>
    <w:rsid w:val="00913A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FB7FBB"/>
    <w:rPr>
      <w:sz w:val="16"/>
      <w:szCs w:val="16"/>
    </w:rPr>
  </w:style>
  <w:style w:type="paragraph" w:styleId="Textocomentario">
    <w:name w:val="annotation text"/>
    <w:basedOn w:val="Normal"/>
    <w:link w:val="TextocomentarioCar"/>
    <w:uiPriority w:val="99"/>
    <w:semiHidden/>
    <w:unhideWhenUsed/>
    <w:rsid w:val="00FB7F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7FBB"/>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FB7FBB"/>
    <w:rPr>
      <w:b/>
      <w:bCs/>
    </w:rPr>
  </w:style>
  <w:style w:type="character" w:customStyle="1" w:styleId="AsuntodelcomentarioCar">
    <w:name w:val="Asunto del comentario Car"/>
    <w:basedOn w:val="TextocomentarioCar"/>
    <w:link w:val="Asuntodelcomentario"/>
    <w:uiPriority w:val="99"/>
    <w:semiHidden/>
    <w:rsid w:val="00FB7FBB"/>
    <w:rPr>
      <w:rFonts w:ascii="Century Gothic" w:hAnsi="Century Gothic"/>
      <w:b/>
      <w:bCs/>
      <w:sz w:val="20"/>
      <w:szCs w:val="20"/>
    </w:rPr>
  </w:style>
  <w:style w:type="paragraph" w:styleId="NormalWeb">
    <w:name w:val="Normal (Web)"/>
    <w:basedOn w:val="Normal"/>
    <w:uiPriority w:val="99"/>
    <w:semiHidden/>
    <w:unhideWhenUsed/>
    <w:rsid w:val="00913A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902">
      <w:bodyDiv w:val="1"/>
      <w:marLeft w:val="0"/>
      <w:marRight w:val="0"/>
      <w:marTop w:val="0"/>
      <w:marBottom w:val="0"/>
      <w:divBdr>
        <w:top w:val="none" w:sz="0" w:space="0" w:color="auto"/>
        <w:left w:val="none" w:sz="0" w:space="0" w:color="auto"/>
        <w:bottom w:val="none" w:sz="0" w:space="0" w:color="auto"/>
        <w:right w:val="none" w:sz="0" w:space="0" w:color="auto"/>
      </w:divBdr>
    </w:div>
    <w:div w:id="1685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60BDC"/>
    <w:rsid w:val="0013771E"/>
    <w:rsid w:val="002C7AFA"/>
    <w:rsid w:val="003D088C"/>
    <w:rsid w:val="007D4140"/>
    <w:rsid w:val="00C26568"/>
    <w:rsid w:val="00D22D97"/>
    <w:rsid w:val="00D35513"/>
    <w:rsid w:val="00E147F2"/>
    <w:rsid w:val="00E16D50"/>
    <w:rsid w:val="00E5085E"/>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E6D8EC7-87C2-430A-BCAB-F9797604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247</TotalTime>
  <Pages>6</Pages>
  <Words>1734</Words>
  <Characters>9543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21</cp:revision>
  <cp:lastPrinted>2007-10-26T10:03:00Z</cp:lastPrinted>
  <dcterms:created xsi:type="dcterms:W3CDTF">2021-02-11T13:17:00Z</dcterms:created>
  <dcterms:modified xsi:type="dcterms:W3CDTF">2021-04-23T07:17:00Z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