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0"/>
            <w:gridCol w:w="2778"/>
            <w:gridCol w:w="1561"/>
            <w:gridCol w:w="3912"/>
          </w:tblGrid>
          <w:tr w:rsidR="008876B2" w:rsidTr="008876B2">
            <w:tc>
              <w:tcPr>
                <w:tcW w:w="1050" w:type="dxa"/>
                <w:vAlign w:val="center"/>
              </w:tcPr>
              <w:p w:rsidR="00743995" w:rsidRDefault="00743995">
                <w:pPr>
                  <w:pStyle w:val="Sinespaciado"/>
                </w:pPr>
              </w:p>
            </w:tc>
            <w:tc>
              <w:tcPr>
                <w:tcW w:w="2778" w:type="dxa"/>
                <w:vAlign w:val="center"/>
              </w:tcPr>
              <w:p w:rsidR="00743995" w:rsidRDefault="00743995">
                <w:pPr>
                  <w:pStyle w:val="Sinespaciado"/>
                </w:pPr>
              </w:p>
            </w:tc>
            <w:tc>
              <w:tcPr>
                <w:tcW w:w="5473" w:type="dxa"/>
                <w:gridSpan w:val="2"/>
                <w:vAlign w:val="center"/>
              </w:tcPr>
              <w:p w:rsidR="00743995" w:rsidRDefault="00743995">
                <w:pPr>
                  <w:pStyle w:val="Sinespaciado"/>
                </w:pPr>
              </w:p>
            </w:tc>
          </w:tr>
          <w:tr w:rsidR="008876B2"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52"/>
                  <w:gridCol w:w="2646"/>
                </w:tblGrid>
                <w:tr w:rsidR="00743995">
                  <w:trPr>
                    <w:trHeight w:hRule="exact" w:val="86"/>
                  </w:trPr>
                  <w:tc>
                    <w:tcPr>
                      <w:tcW w:w="990" w:type="dxa"/>
                    </w:tcPr>
                    <w:p w:rsidR="00743995" w:rsidRDefault="00743995">
                      <w:pPr>
                        <w:pStyle w:val="Sinespaciado"/>
                        <w:framePr w:hSpace="187" w:wrap="around" w:hAnchor="text" w:yAlign="bottom"/>
                        <w:suppressOverlap/>
                      </w:pPr>
                    </w:p>
                  </w:tc>
                  <w:tc>
                    <w:tcPr>
                      <w:tcW w:w="2754" w:type="dxa"/>
                      <w:tcBorders>
                        <w:top w:val="single" w:sz="6" w:space="0" w:color="438086" w:themeColor="accent2"/>
                        <w:bottom w:val="single" w:sz="24" w:space="0" w:color="438086" w:themeColor="accent2"/>
                      </w:tcBorders>
                    </w:tcPr>
                    <w:p w:rsidR="00743995" w:rsidRDefault="00743995">
                      <w:pPr>
                        <w:pStyle w:val="Sinespaciado"/>
                        <w:framePr w:hSpace="187" w:wrap="around" w:hAnchor="text" w:yAlign="bottom"/>
                        <w:suppressOverlap/>
                      </w:pPr>
                    </w:p>
                  </w:tc>
                </w:tr>
                <w:tr w:rsidR="00743995">
                  <w:trPr>
                    <w:trHeight w:hRule="exact" w:val="86"/>
                  </w:trPr>
                  <w:tc>
                    <w:tcPr>
                      <w:tcW w:w="990" w:type="dxa"/>
                      <w:tcBorders>
                        <w:bottom w:val="single" w:sz="2" w:space="0" w:color="438086" w:themeColor="accent2"/>
                      </w:tcBorders>
                    </w:tcPr>
                    <w:p w:rsidR="00743995" w:rsidRDefault="00743995">
                      <w:pPr>
                        <w:pStyle w:val="Sinespaciado"/>
                        <w:framePr w:hSpace="187" w:wrap="around" w:hAnchor="text" w:yAlign="bottom"/>
                        <w:suppressOverlap/>
                      </w:pPr>
                    </w:p>
                  </w:tc>
                  <w:tc>
                    <w:tcPr>
                      <w:tcW w:w="2754" w:type="dxa"/>
                      <w:tcBorders>
                        <w:top w:val="single" w:sz="24" w:space="0" w:color="438086" w:themeColor="accent2"/>
                        <w:bottom w:val="single" w:sz="2" w:space="0" w:color="438086" w:themeColor="accent2"/>
                      </w:tcBorders>
                    </w:tcPr>
                    <w:p w:rsidR="00743995" w:rsidRDefault="00743995">
                      <w:pPr>
                        <w:pStyle w:val="Sinespaciado"/>
                        <w:framePr w:hSpace="187" w:wrap="around" w:hAnchor="text" w:yAlign="bottom"/>
                        <w:suppressOverlap/>
                      </w:pPr>
                    </w:p>
                  </w:tc>
                </w:tr>
                <w:tr w:rsidR="00743995">
                  <w:trPr>
                    <w:trHeight w:hRule="exact" w:val="115"/>
                  </w:trPr>
                  <w:tc>
                    <w:tcPr>
                      <w:tcW w:w="990"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r>
                <w:tr w:rsidR="00743995">
                  <w:trPr>
                    <w:trHeight w:hRule="exact" w:val="58"/>
                  </w:trPr>
                  <w:tc>
                    <w:tcPr>
                      <w:tcW w:w="990" w:type="dxa"/>
                      <w:tcBorders>
                        <w:top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8" w:space="0" w:color="438086" w:themeColor="accent2"/>
                        <w:bottom w:val="single" w:sz="12" w:space="0" w:color="438086" w:themeColor="accent2"/>
                      </w:tcBorders>
                    </w:tcPr>
                    <w:p w:rsidR="00743995" w:rsidRDefault="00743995">
                      <w:pPr>
                        <w:pStyle w:val="Sinespaciado"/>
                        <w:framePr w:hSpace="187" w:wrap="around" w:hAnchor="text" w:yAlign="bottom"/>
                        <w:suppressOverlap/>
                      </w:pPr>
                    </w:p>
                  </w:tc>
                </w:tr>
              </w:tbl>
              <w:p w:rsidR="00743995" w:rsidRDefault="00743995">
                <w:pPr>
                  <w:pStyle w:val="Sinespaciado"/>
                </w:pPr>
              </w:p>
            </w:tc>
            <w:tc>
              <w:tcPr>
                <w:tcW w:w="5473" w:type="dxa"/>
                <w:gridSpan w:val="2"/>
                <w:vAlign w:val="center"/>
              </w:tcPr>
              <w:p w:rsidR="00743995" w:rsidRDefault="00743995">
                <w:pPr>
                  <w:pStyle w:val="Sinespaciado"/>
                </w:pPr>
              </w:p>
            </w:tc>
          </w:tr>
          <w:tr w:rsidR="00743995" w:rsidTr="008876B2">
            <w:trPr>
              <w:trHeight w:val="1800"/>
            </w:trPr>
            <w:tc>
              <w:tcPr>
                <w:tcW w:w="9301" w:type="dxa"/>
                <w:gridSpan w:val="4"/>
                <w:tcMar>
                  <w:top w:w="115" w:type="dxa"/>
                  <w:left w:w="115" w:type="dxa"/>
                  <w:bottom w:w="72" w:type="dxa"/>
                  <w:right w:w="115" w:type="dxa"/>
                </w:tcMar>
                <w:vAlign w:val="center"/>
              </w:tcPr>
              <w:p w:rsidR="00743995" w:rsidRPr="008876B2" w:rsidRDefault="009A7BE1">
                <w:pPr>
                  <w:pStyle w:val="Sinespaciado"/>
                  <w:rPr>
                    <w:rFonts w:eastAsiaTheme="majorEastAsia" w:cstheme="majorBidi"/>
                    <w:color w:val="53548A" w:themeColor="accent1"/>
                    <w:sz w:val="40"/>
                    <w:szCs w:val="40"/>
                  </w:rPr>
                </w:pPr>
                <w:sdt>
                  <w:sdtPr>
                    <w:rPr>
                      <w:rFonts w:eastAsiaTheme="majorEastAsia"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Content>
                    <w:r w:rsidR="00C22A89">
                      <w:rPr>
                        <w:rFonts w:eastAsiaTheme="majorEastAsia" w:cstheme="majorBidi"/>
                        <w:sz w:val="40"/>
                        <w:szCs w:val="40"/>
                      </w:rPr>
                      <w:t>Informe de evaluación sobre el cumplimiento de la LTAIBG por parte de los Órganos Constitucionales y de relevancia constitucional</w:t>
                    </w:r>
                  </w:sdtContent>
                </w:sdt>
              </w:p>
              <w:p w:rsidR="00743995" w:rsidRPr="008876B2" w:rsidRDefault="009A7BE1" w:rsidP="00E924EF">
                <w:pPr>
                  <w:pStyle w:val="Sinespaciado"/>
                </w:pPr>
                <w:sdt>
                  <w:sdtPr>
                    <w:rPr>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Content>
                    <w:r w:rsidR="008876B2" w:rsidRPr="008876B2">
                      <w:rPr>
                        <w:i/>
                        <w:iCs/>
                        <w:color w:val="424456" w:themeColor="text2"/>
                        <w:sz w:val="28"/>
                        <w:szCs w:val="28"/>
                      </w:rPr>
                      <w:t>Evaluaci</w:t>
                    </w:r>
                    <w:r w:rsidR="00E924EF">
                      <w:rPr>
                        <w:i/>
                        <w:iCs/>
                        <w:color w:val="424456" w:themeColor="text2"/>
                        <w:sz w:val="28"/>
                        <w:szCs w:val="28"/>
                      </w:rPr>
                      <w:t>ones 2021.CTBG</w:t>
                    </w:r>
                  </w:sdtContent>
                </w:sdt>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tbl>
                <w:tblPr>
                  <w:tblW w:w="5000" w:type="pct"/>
                  <w:tblLook w:val="04A0" w:firstRow="1" w:lastRow="0" w:firstColumn="1" w:lastColumn="0" w:noHBand="0" w:noVBand="1"/>
                </w:tblPr>
                <w:tblGrid>
                  <w:gridCol w:w="1057"/>
                  <w:gridCol w:w="697"/>
                  <w:gridCol w:w="1928"/>
                </w:tblGrid>
                <w:tr w:rsidR="008876B2">
                  <w:trPr>
                    <w:trHeight w:hRule="exact" w:val="72"/>
                  </w:trPr>
                  <w:tc>
                    <w:tcPr>
                      <w:tcW w:w="1098" w:type="dxa"/>
                      <w:tcBorders>
                        <w:top w:val="single" w:sz="24" w:space="0" w:color="438086" w:themeColor="accent2"/>
                      </w:tcBorders>
                    </w:tcPr>
                    <w:p w:rsidR="00743995" w:rsidRDefault="00743995" w:rsidP="009A7BE1">
                      <w:pPr>
                        <w:pStyle w:val="Sinespaciado"/>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rsidR="00743995" w:rsidRDefault="00743995" w:rsidP="009A7BE1">
                      <w:pPr>
                        <w:pStyle w:val="Sinespaciado"/>
                        <w:framePr w:hSpace="187" w:wrap="around" w:hAnchor="text" w:yAlign="bottom"/>
                        <w:suppressOverlap/>
                        <w:rPr>
                          <w:sz w:val="12"/>
                        </w:rPr>
                      </w:pPr>
                    </w:p>
                  </w:tc>
                </w:tr>
                <w:tr w:rsidR="008876B2">
                  <w:trPr>
                    <w:trHeight w:hRule="exact" w:val="86"/>
                  </w:trPr>
                  <w:tc>
                    <w:tcPr>
                      <w:tcW w:w="1098" w:type="dxa"/>
                    </w:tcPr>
                    <w:p w:rsidR="00743995" w:rsidRDefault="00743995" w:rsidP="009A7BE1">
                      <w:pPr>
                        <w:pStyle w:val="Sinespaciado"/>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rsidR="00743995" w:rsidRDefault="00743995" w:rsidP="009A7BE1">
                      <w:pPr>
                        <w:pStyle w:val="Sinespaciado"/>
                        <w:framePr w:hSpace="187" w:wrap="around" w:hAnchor="text" w:yAlign="bottom"/>
                        <w:suppressOverlap/>
                        <w:rPr>
                          <w:sz w:val="12"/>
                        </w:rPr>
                      </w:pPr>
                    </w:p>
                  </w:tc>
                </w:tr>
                <w:tr w:rsidR="008876B2">
                  <w:trPr>
                    <w:trHeight w:hRule="exact" w:val="101"/>
                  </w:trPr>
                  <w:tc>
                    <w:tcPr>
                      <w:tcW w:w="1098" w:type="dxa"/>
                      <w:tcBorders>
                        <w:bottom w:val="single" w:sz="2" w:space="0" w:color="438086" w:themeColor="accent2"/>
                      </w:tcBorders>
                    </w:tcPr>
                    <w:p w:rsidR="00743995" w:rsidRDefault="00743995" w:rsidP="009A7BE1">
                      <w:pPr>
                        <w:pStyle w:val="Sinespaciado"/>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rsidR="00743995" w:rsidRDefault="00743995" w:rsidP="009A7BE1">
                      <w:pPr>
                        <w:pStyle w:val="Sinespaciado"/>
                        <w:framePr w:hSpace="187" w:wrap="around" w:hAnchor="text" w:yAlign="bottom"/>
                        <w:suppressOverlap/>
                        <w:rPr>
                          <w:sz w:val="12"/>
                        </w:rPr>
                      </w:pPr>
                    </w:p>
                  </w:tc>
                </w:tr>
                <w:tr w:rsidR="008876B2">
                  <w:trPr>
                    <w:trHeight w:hRule="exact" w:val="43"/>
                  </w:trPr>
                  <w:tc>
                    <w:tcPr>
                      <w:tcW w:w="1098" w:type="dxa"/>
                      <w:tcBorders>
                        <w:top w:val="single" w:sz="2" w:space="0" w:color="438086" w:themeColor="accent2"/>
                        <w:bottom w:val="single" w:sz="24" w:space="0" w:color="438086" w:themeColor="accent2"/>
                      </w:tcBorders>
                    </w:tcPr>
                    <w:p w:rsidR="00743995" w:rsidRDefault="00743995" w:rsidP="009A7BE1">
                      <w:pPr>
                        <w:pStyle w:val="Sinespaciado"/>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top w:val="single" w:sz="2" w:space="0" w:color="438086" w:themeColor="accent2"/>
                      </w:tcBorders>
                    </w:tcPr>
                    <w:p w:rsidR="00743995" w:rsidRDefault="00743995" w:rsidP="009A7BE1">
                      <w:pPr>
                        <w:pStyle w:val="Sinespaciado"/>
                        <w:framePr w:hSpace="187" w:wrap="around" w:hAnchor="text" w:yAlign="bottom"/>
                        <w:suppressOverlap/>
                        <w:rPr>
                          <w:sz w:val="12"/>
                        </w:rPr>
                      </w:pPr>
                    </w:p>
                  </w:tc>
                </w:tr>
                <w:tr w:rsidR="008876B2">
                  <w:trPr>
                    <w:trHeight w:hRule="exact" w:val="86"/>
                  </w:trPr>
                  <w:tc>
                    <w:tcPr>
                      <w:tcW w:w="1098" w:type="dxa"/>
                      <w:tcBorders>
                        <w:top w:val="single" w:sz="24" w:space="0" w:color="438086" w:themeColor="accent2"/>
                        <w:bottom w:val="single" w:sz="8" w:space="0" w:color="438086" w:themeColor="accent2"/>
                      </w:tcBorders>
                    </w:tcPr>
                    <w:p w:rsidR="00743995" w:rsidRDefault="00743995" w:rsidP="009A7BE1">
                      <w:pPr>
                        <w:pStyle w:val="Sinespaciado"/>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bottom w:val="single" w:sz="8" w:space="0" w:color="438086" w:themeColor="accent2"/>
                      </w:tcBorders>
                    </w:tcPr>
                    <w:p w:rsidR="00743995" w:rsidRDefault="00743995" w:rsidP="009A7BE1">
                      <w:pPr>
                        <w:pStyle w:val="Sinespaciado"/>
                        <w:framePr w:hSpace="187" w:wrap="around" w:hAnchor="text" w:yAlign="bottom"/>
                        <w:suppressOverlap/>
                        <w:rPr>
                          <w:sz w:val="12"/>
                        </w:rPr>
                      </w:pPr>
                    </w:p>
                  </w:tc>
                </w:tr>
                <w:tr w:rsidR="008876B2">
                  <w:trPr>
                    <w:trHeight w:hRule="exact" w:val="58"/>
                  </w:trPr>
                  <w:tc>
                    <w:tcPr>
                      <w:tcW w:w="1098" w:type="dxa"/>
                      <w:tcBorders>
                        <w:top w:val="single" w:sz="8" w:space="0" w:color="438086" w:themeColor="accent2"/>
                      </w:tcBorders>
                    </w:tcPr>
                    <w:p w:rsidR="00743995" w:rsidRDefault="00743995" w:rsidP="009A7BE1">
                      <w:pPr>
                        <w:pStyle w:val="Sinespaciado"/>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rsidR="00743995" w:rsidRDefault="00743995" w:rsidP="009A7BE1">
                      <w:pPr>
                        <w:pStyle w:val="Sinespaciado"/>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rsidR="00743995" w:rsidRDefault="00743995" w:rsidP="009A7BE1">
                      <w:pPr>
                        <w:pStyle w:val="Sinespaciado"/>
                        <w:framePr w:hSpace="187" w:wrap="around" w:hAnchor="text" w:yAlign="bottom"/>
                        <w:suppressOverlap/>
                        <w:rPr>
                          <w:sz w:val="12"/>
                        </w:rPr>
                      </w:pPr>
                    </w:p>
                  </w:tc>
                </w:tr>
              </w:tbl>
              <w:p w:rsidR="00743995" w:rsidRDefault="00743995">
                <w:pPr>
                  <w:pStyle w:val="Sinespaciado"/>
                </w:pPr>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p w:rsidR="00743995" w:rsidRPr="008876B2" w:rsidRDefault="009A7BE1" w:rsidP="004E4E8E">
                <w:pPr>
                  <w:pStyle w:val="Sinespaciado"/>
                </w:pPr>
                <w:sdt>
                  <w:sdtPr>
                    <w:rPr>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Content>
                    <w:r w:rsidR="004E4E8E">
                      <w:rPr>
                        <w:color w:val="424456" w:themeColor="text2"/>
                        <w:szCs w:val="22"/>
                      </w:rPr>
                      <w:t xml:space="preserve">CTBG. </w:t>
                    </w:r>
                    <w:r w:rsidR="006D0307">
                      <w:rPr>
                        <w:color w:val="424456" w:themeColor="text2"/>
                        <w:szCs w:val="22"/>
                      </w:rPr>
                      <w:t xml:space="preserve">Subdirección General de Transparencia y Buen Gobierno. </w:t>
                    </w:r>
                  </w:sdtContent>
                </w:sdt>
              </w:p>
            </w:tc>
          </w:tr>
        </w:tbl>
        <w:p w:rsidR="00743995" w:rsidRDefault="008876B2">
          <w:pPr>
            <w:pStyle w:val="Ttulo"/>
            <w:rPr>
              <w:rFonts w:eastAsiaTheme="majorEastAsia" w:cstheme="majorBidi"/>
              <w:szCs w:val="20"/>
            </w:rPr>
          </w:pPr>
          <w:r>
            <w:rPr>
              <w:noProof/>
            </w:rPr>
            <w:drawing>
              <wp:inline distT="0" distB="0" distL="0" distR="0" wp14:anchorId="536CD87B" wp14:editId="11B9D9DA">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Content>
        <w:p w:rsidR="00E924EF" w:rsidRPr="00A41982" w:rsidRDefault="00E924EF">
          <w:pPr>
            <w:pStyle w:val="TtulodeTDC"/>
            <w:rPr>
              <w:sz w:val="20"/>
              <w:szCs w:val="20"/>
            </w:rPr>
          </w:pPr>
          <w:r w:rsidRPr="00A41982">
            <w:rPr>
              <w:sz w:val="20"/>
              <w:szCs w:val="20"/>
            </w:rPr>
            <w:t>Contenido</w:t>
          </w:r>
        </w:p>
        <w:p w:rsidR="00A41982" w:rsidRPr="00A41982" w:rsidRDefault="00E924EF">
          <w:pPr>
            <w:pStyle w:val="TDC1"/>
            <w:tabs>
              <w:tab w:val="left" w:pos="400"/>
              <w:tab w:val="right" w:pos="9061"/>
            </w:tabs>
            <w:rPr>
              <w:rFonts w:asciiTheme="minorHAnsi" w:hAnsiTheme="minorHAnsi"/>
              <w:noProof/>
              <w:sz w:val="20"/>
              <w:szCs w:val="20"/>
            </w:rPr>
          </w:pPr>
          <w:r w:rsidRPr="00A41982">
            <w:rPr>
              <w:sz w:val="20"/>
              <w:szCs w:val="20"/>
            </w:rPr>
            <w:fldChar w:fldCharType="begin"/>
          </w:r>
          <w:r w:rsidRPr="00A41982">
            <w:rPr>
              <w:sz w:val="20"/>
              <w:szCs w:val="20"/>
            </w:rPr>
            <w:instrText xml:space="preserve"> TOC \o "1-3" \h \z \u </w:instrText>
          </w:r>
          <w:r w:rsidRPr="00A41982">
            <w:rPr>
              <w:sz w:val="20"/>
              <w:szCs w:val="20"/>
            </w:rPr>
            <w:fldChar w:fldCharType="separate"/>
          </w:r>
          <w:hyperlink w:anchor="_Toc69312044" w:history="1">
            <w:r w:rsidR="00A41982" w:rsidRPr="00A41982">
              <w:rPr>
                <w:rStyle w:val="Hipervnculo"/>
                <w:noProof/>
                <w:sz w:val="20"/>
                <w:szCs w:val="20"/>
              </w:rPr>
              <w:t>I.</w:t>
            </w:r>
            <w:r w:rsidR="00A41982" w:rsidRPr="00A41982">
              <w:rPr>
                <w:rFonts w:asciiTheme="minorHAnsi" w:hAnsiTheme="minorHAnsi"/>
                <w:noProof/>
                <w:sz w:val="20"/>
                <w:szCs w:val="20"/>
              </w:rPr>
              <w:tab/>
            </w:r>
            <w:r w:rsidR="00A41982" w:rsidRPr="00A41982">
              <w:rPr>
                <w:rStyle w:val="Hipervnculo"/>
                <w:noProof/>
                <w:sz w:val="20"/>
                <w:szCs w:val="20"/>
              </w:rPr>
              <w:t>Introducción</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_Toc69312044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2</w:t>
            </w:r>
            <w:r w:rsidR="00A41982" w:rsidRPr="00A41982">
              <w:rPr>
                <w:noProof/>
                <w:webHidden/>
                <w:sz w:val="20"/>
                <w:szCs w:val="20"/>
              </w:rPr>
              <w:fldChar w:fldCharType="end"/>
            </w:r>
          </w:hyperlink>
        </w:p>
        <w:p w:rsidR="00A41982" w:rsidRPr="00A41982" w:rsidRDefault="009A7BE1">
          <w:pPr>
            <w:pStyle w:val="TDC1"/>
            <w:tabs>
              <w:tab w:val="left" w:pos="400"/>
              <w:tab w:val="right" w:pos="9061"/>
            </w:tabs>
            <w:rPr>
              <w:rFonts w:asciiTheme="minorHAnsi" w:hAnsiTheme="minorHAnsi"/>
              <w:noProof/>
              <w:sz w:val="20"/>
              <w:szCs w:val="20"/>
            </w:rPr>
          </w:pPr>
          <w:hyperlink w:anchor="_Toc69312045" w:history="1">
            <w:r w:rsidR="00A41982" w:rsidRPr="00A41982">
              <w:rPr>
                <w:rStyle w:val="Hipervnculo"/>
                <w:noProof/>
                <w:sz w:val="20"/>
                <w:szCs w:val="20"/>
              </w:rPr>
              <w:t>II.</w:t>
            </w:r>
            <w:r w:rsidR="00A41982" w:rsidRPr="00A41982">
              <w:rPr>
                <w:rFonts w:asciiTheme="minorHAnsi" w:hAnsiTheme="minorHAnsi"/>
                <w:noProof/>
                <w:sz w:val="20"/>
                <w:szCs w:val="20"/>
              </w:rPr>
              <w:tab/>
            </w:r>
            <w:r w:rsidR="00A41982" w:rsidRPr="00A41982">
              <w:rPr>
                <w:rStyle w:val="Hipervnculo"/>
                <w:noProof/>
                <w:sz w:val="20"/>
                <w:szCs w:val="20"/>
              </w:rPr>
              <w:t>Alcance de la evaluación.</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_Toc69312045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2</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46" w:history="1">
            <w:r w:rsidR="00A41982" w:rsidRPr="00A41982">
              <w:rPr>
                <w:rStyle w:val="Hipervnculo"/>
                <w:noProof/>
                <w:sz w:val="20"/>
                <w:szCs w:val="20"/>
              </w:rPr>
              <w:t>II.1 Entidades incluidas en este grupo de sujetos obligados</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_Toc69312046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2</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47" w:history="1">
            <w:r w:rsidR="00A41982" w:rsidRPr="00A41982">
              <w:rPr>
                <w:rStyle w:val="Hipervnculo"/>
                <w:noProof/>
                <w:sz w:val="20"/>
                <w:szCs w:val="20"/>
              </w:rPr>
              <w:t>II.2 Delimitación de las obligaciones de publicidad activa aplicables.</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_Toc69312047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3</w:t>
            </w:r>
            <w:r w:rsidR="00A41982" w:rsidRPr="00A41982">
              <w:rPr>
                <w:noProof/>
                <w:webHidden/>
                <w:sz w:val="20"/>
                <w:szCs w:val="20"/>
              </w:rPr>
              <w:fldChar w:fldCharType="end"/>
            </w:r>
          </w:hyperlink>
        </w:p>
        <w:p w:rsidR="00A41982" w:rsidRPr="00A41982" w:rsidRDefault="009A7BE1">
          <w:pPr>
            <w:pStyle w:val="TDC1"/>
            <w:tabs>
              <w:tab w:val="right" w:pos="9061"/>
            </w:tabs>
            <w:rPr>
              <w:rFonts w:asciiTheme="minorHAnsi" w:hAnsiTheme="minorHAnsi"/>
              <w:noProof/>
              <w:sz w:val="20"/>
              <w:szCs w:val="20"/>
            </w:rPr>
          </w:pPr>
          <w:hyperlink w:anchor="_Toc69312048" w:history="1">
            <w:r w:rsidR="00A41982" w:rsidRPr="00A41982">
              <w:rPr>
                <w:rStyle w:val="Hipervnculo"/>
                <w:noProof/>
                <w:sz w:val="20"/>
                <w:szCs w:val="20"/>
              </w:rPr>
              <w:t>III Evaluación del cumplimiento de las obligaciones de publicidad activa por parte de los Órganos Constitucionales y de relevancia constitucional.</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_Toc69312048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4</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49" w:history="1">
            <w:r w:rsidR="00A41982" w:rsidRPr="00A41982">
              <w:rPr>
                <w:rStyle w:val="Hipervnculo"/>
                <w:noProof/>
                <w:sz w:val="20"/>
                <w:szCs w:val="20"/>
              </w:rPr>
              <w:t>III.1. Localización y estructuración de la información</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_Toc69312049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4</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50" w:history="1">
            <w:r w:rsidR="00A41982" w:rsidRPr="00A41982">
              <w:rPr>
                <w:rStyle w:val="Hipervnculo"/>
                <w:noProof/>
                <w:sz w:val="20"/>
                <w:szCs w:val="20"/>
              </w:rPr>
              <w:t>III.2. Cumplimiento de las obligaciones de publicidad activa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_Toc69312050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5</w:t>
            </w:r>
            <w:r w:rsidR="00A41982" w:rsidRPr="00A41982">
              <w:rPr>
                <w:noProof/>
                <w:webHidden/>
                <w:sz w:val="20"/>
                <w:szCs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51" w:history="1">
            <w:r w:rsidR="00A41982" w:rsidRPr="00A41982">
              <w:rPr>
                <w:rStyle w:val="Hipervnculo"/>
                <w:noProof/>
                <w:sz w:val="20"/>
              </w:rPr>
              <w:t>III.2.1.  Información Institucional y Organizativa.</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_Toc69312051 \h </w:instrText>
            </w:r>
            <w:r w:rsidR="00A41982" w:rsidRPr="00A41982">
              <w:rPr>
                <w:noProof/>
                <w:webHidden/>
                <w:sz w:val="20"/>
              </w:rPr>
            </w:r>
            <w:r w:rsidR="00A41982" w:rsidRPr="00A41982">
              <w:rPr>
                <w:noProof/>
                <w:webHidden/>
                <w:sz w:val="20"/>
              </w:rPr>
              <w:fldChar w:fldCharType="separate"/>
            </w:r>
            <w:r w:rsidR="0078130A">
              <w:rPr>
                <w:noProof/>
                <w:webHidden/>
                <w:sz w:val="20"/>
              </w:rPr>
              <w:t>5</w:t>
            </w:r>
            <w:r w:rsidR="00A41982" w:rsidRPr="00A41982">
              <w:rPr>
                <w:noProof/>
                <w:webHidden/>
                <w:sz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52" w:history="1">
            <w:r w:rsidR="00A41982" w:rsidRPr="00A41982">
              <w:rPr>
                <w:rStyle w:val="Hipervnculo"/>
                <w:noProof/>
                <w:sz w:val="20"/>
              </w:rPr>
              <w:t>III.2.2  Información Económica y Presupuestaria.</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_Toc69312052 \h </w:instrText>
            </w:r>
            <w:r w:rsidR="00A41982" w:rsidRPr="00A41982">
              <w:rPr>
                <w:noProof/>
                <w:webHidden/>
                <w:sz w:val="20"/>
              </w:rPr>
            </w:r>
            <w:r w:rsidR="00A41982" w:rsidRPr="00A41982">
              <w:rPr>
                <w:noProof/>
                <w:webHidden/>
                <w:sz w:val="20"/>
              </w:rPr>
              <w:fldChar w:fldCharType="separate"/>
            </w:r>
            <w:r w:rsidR="0078130A">
              <w:rPr>
                <w:noProof/>
                <w:webHidden/>
                <w:sz w:val="20"/>
              </w:rPr>
              <w:t>6</w:t>
            </w:r>
            <w:r w:rsidR="00A41982" w:rsidRPr="00A41982">
              <w:rPr>
                <w:noProof/>
                <w:webHidden/>
                <w:sz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53" w:history="1">
            <w:r w:rsidR="00A41982" w:rsidRPr="00A41982">
              <w:rPr>
                <w:rStyle w:val="Hipervnculo"/>
                <w:noProof/>
                <w:sz w:val="20"/>
              </w:rPr>
              <w:t>III.2.3. Índice de Cumplimiento de la Información Obligatoria (ICIO)</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_Toc69312053 \h </w:instrText>
            </w:r>
            <w:r w:rsidR="00A41982" w:rsidRPr="00A41982">
              <w:rPr>
                <w:noProof/>
                <w:webHidden/>
                <w:sz w:val="20"/>
              </w:rPr>
            </w:r>
            <w:r w:rsidR="00A41982" w:rsidRPr="00A41982">
              <w:rPr>
                <w:noProof/>
                <w:webHidden/>
                <w:sz w:val="20"/>
              </w:rPr>
              <w:fldChar w:fldCharType="separate"/>
            </w:r>
            <w:r w:rsidR="0078130A">
              <w:rPr>
                <w:noProof/>
                <w:webHidden/>
                <w:sz w:val="20"/>
              </w:rPr>
              <w:t>7</w:t>
            </w:r>
            <w:r w:rsidR="00A41982" w:rsidRPr="00A41982">
              <w:rPr>
                <w:noProof/>
                <w:webHidden/>
                <w:sz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54" w:history="1">
            <w:r w:rsidR="00A41982" w:rsidRPr="00A41982">
              <w:rPr>
                <w:rStyle w:val="Hipervnculo"/>
                <w:noProof/>
                <w:sz w:val="20"/>
              </w:rPr>
              <w:t>III.2.4. Transparencia Voluntaria y Buenas  Prácticas</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_Toc69312054 \h </w:instrText>
            </w:r>
            <w:r w:rsidR="00A41982" w:rsidRPr="00A41982">
              <w:rPr>
                <w:noProof/>
                <w:webHidden/>
                <w:sz w:val="20"/>
              </w:rPr>
            </w:r>
            <w:r w:rsidR="00A41982" w:rsidRPr="00A41982">
              <w:rPr>
                <w:noProof/>
                <w:webHidden/>
                <w:sz w:val="20"/>
              </w:rPr>
              <w:fldChar w:fldCharType="separate"/>
            </w:r>
            <w:r w:rsidR="0078130A">
              <w:rPr>
                <w:noProof/>
                <w:webHidden/>
                <w:sz w:val="20"/>
              </w:rPr>
              <w:t>8</w:t>
            </w:r>
            <w:r w:rsidR="00A41982" w:rsidRPr="00A41982">
              <w:rPr>
                <w:noProof/>
                <w:webHidden/>
                <w:sz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55" w:history="1">
            <w:r w:rsidR="00A41982" w:rsidRPr="00A41982">
              <w:rPr>
                <w:rStyle w:val="Hipervnculo"/>
                <w:noProof/>
                <w:sz w:val="20"/>
                <w:szCs w:val="20"/>
              </w:rPr>
              <w:t>IV. Evaluación del derecho de acceso a la información pública.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_Toc69312055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10</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56" w:history="1">
            <w:r w:rsidR="00A41982" w:rsidRPr="00A41982">
              <w:rPr>
                <w:rStyle w:val="Hipervnculo"/>
                <w:noProof/>
                <w:sz w:val="20"/>
                <w:szCs w:val="20"/>
              </w:rPr>
              <w:t>IV.1 Recursos disponibles para la tramitación de las solicitudes de acceso a información pública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_Toc69312056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10</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57" w:history="1">
            <w:r w:rsidR="00A41982" w:rsidRPr="00A41982">
              <w:rPr>
                <w:rStyle w:val="Hipervnculo"/>
                <w:noProof/>
                <w:sz w:val="20"/>
                <w:szCs w:val="20"/>
              </w:rPr>
              <w:t>IV.2 Actividad generada en 2020 por las solicitudes de acceso a información pública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_Toc69312057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11</w:t>
            </w:r>
            <w:r w:rsidR="00A41982" w:rsidRPr="00A41982">
              <w:rPr>
                <w:noProof/>
                <w:webHidden/>
                <w:sz w:val="20"/>
                <w:szCs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58" w:history="1">
            <w:r w:rsidR="00A41982" w:rsidRPr="00A41982">
              <w:rPr>
                <w:rStyle w:val="Hipervnculo"/>
                <w:noProof/>
                <w:sz w:val="20"/>
              </w:rPr>
              <w:t>Solicitudes gestionadas en 2020</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_Toc69312058 \h </w:instrText>
            </w:r>
            <w:r w:rsidR="00A41982" w:rsidRPr="00A41982">
              <w:rPr>
                <w:noProof/>
                <w:webHidden/>
                <w:sz w:val="20"/>
              </w:rPr>
            </w:r>
            <w:r w:rsidR="00A41982" w:rsidRPr="00A41982">
              <w:rPr>
                <w:noProof/>
                <w:webHidden/>
                <w:sz w:val="20"/>
              </w:rPr>
              <w:fldChar w:fldCharType="separate"/>
            </w:r>
            <w:r w:rsidR="0078130A">
              <w:rPr>
                <w:noProof/>
                <w:webHidden/>
                <w:sz w:val="20"/>
              </w:rPr>
              <w:t>11</w:t>
            </w:r>
            <w:r w:rsidR="00A41982" w:rsidRPr="00A41982">
              <w:rPr>
                <w:noProof/>
                <w:webHidden/>
                <w:sz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59" w:history="1">
            <w:r w:rsidR="00A41982" w:rsidRPr="00A41982">
              <w:rPr>
                <w:rStyle w:val="Hipervnculo"/>
                <w:noProof/>
                <w:sz w:val="20"/>
                <w:szCs w:val="20"/>
              </w:rPr>
              <w:t>IV.3 Ejercicio del derecho de acceso a la información pública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_Toc69312059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13</w:t>
            </w:r>
            <w:r w:rsidR="00A41982" w:rsidRPr="00A41982">
              <w:rPr>
                <w:noProof/>
                <w:webHidden/>
                <w:sz w:val="20"/>
                <w:szCs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60" w:history="1">
            <w:r w:rsidR="00A41982" w:rsidRPr="00A41982">
              <w:rPr>
                <w:rStyle w:val="Hipervnculo"/>
                <w:noProof/>
                <w:sz w:val="20"/>
              </w:rPr>
              <w:t>IV.3.1 Localización de la información y facilidad de acceso</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_Toc69312060 \h </w:instrText>
            </w:r>
            <w:r w:rsidR="00A41982" w:rsidRPr="00A41982">
              <w:rPr>
                <w:noProof/>
                <w:webHidden/>
                <w:sz w:val="20"/>
              </w:rPr>
            </w:r>
            <w:r w:rsidR="00A41982" w:rsidRPr="00A41982">
              <w:rPr>
                <w:noProof/>
                <w:webHidden/>
                <w:sz w:val="20"/>
              </w:rPr>
              <w:fldChar w:fldCharType="separate"/>
            </w:r>
            <w:r w:rsidR="0078130A">
              <w:rPr>
                <w:noProof/>
                <w:webHidden/>
                <w:sz w:val="20"/>
              </w:rPr>
              <w:t>13</w:t>
            </w:r>
            <w:r w:rsidR="00A41982" w:rsidRPr="00A41982">
              <w:rPr>
                <w:noProof/>
                <w:webHidden/>
                <w:sz w:val="20"/>
              </w:rPr>
              <w:fldChar w:fldCharType="end"/>
            </w:r>
          </w:hyperlink>
        </w:p>
        <w:p w:rsidR="00A41982" w:rsidRPr="00A41982" w:rsidRDefault="009A7BE1">
          <w:pPr>
            <w:pStyle w:val="TDC3"/>
            <w:tabs>
              <w:tab w:val="right" w:pos="9061"/>
            </w:tabs>
            <w:rPr>
              <w:rFonts w:asciiTheme="minorHAnsi" w:eastAsiaTheme="minorEastAsia" w:hAnsiTheme="minorHAnsi"/>
              <w:noProof/>
              <w:sz w:val="20"/>
            </w:rPr>
          </w:pPr>
          <w:hyperlink w:anchor="_Toc69312061" w:history="1">
            <w:r w:rsidR="00A41982" w:rsidRPr="00A41982">
              <w:rPr>
                <w:rStyle w:val="Hipervnculo"/>
                <w:noProof/>
                <w:sz w:val="20"/>
              </w:rPr>
              <w:t>IV.3.2 Gestión de las solicitudes de acceso</w:t>
            </w:r>
            <w:r w:rsidR="00A41982" w:rsidRPr="00A41982">
              <w:rPr>
                <w:noProof/>
                <w:webHidden/>
                <w:sz w:val="20"/>
              </w:rPr>
              <w:tab/>
            </w:r>
            <w:r w:rsidR="00A41982" w:rsidRPr="00A41982">
              <w:rPr>
                <w:noProof/>
                <w:webHidden/>
                <w:sz w:val="20"/>
              </w:rPr>
              <w:fldChar w:fldCharType="begin"/>
            </w:r>
            <w:r w:rsidR="00A41982" w:rsidRPr="00A41982">
              <w:rPr>
                <w:noProof/>
                <w:webHidden/>
                <w:sz w:val="20"/>
              </w:rPr>
              <w:instrText xml:space="preserve"> PAGEREF _Toc69312061 \h </w:instrText>
            </w:r>
            <w:r w:rsidR="00A41982" w:rsidRPr="00A41982">
              <w:rPr>
                <w:noProof/>
                <w:webHidden/>
                <w:sz w:val="20"/>
              </w:rPr>
            </w:r>
            <w:r w:rsidR="00A41982" w:rsidRPr="00A41982">
              <w:rPr>
                <w:noProof/>
                <w:webHidden/>
                <w:sz w:val="20"/>
              </w:rPr>
              <w:fldChar w:fldCharType="separate"/>
            </w:r>
            <w:r w:rsidR="0078130A">
              <w:rPr>
                <w:noProof/>
                <w:webHidden/>
                <w:sz w:val="20"/>
              </w:rPr>
              <w:t>15</w:t>
            </w:r>
            <w:r w:rsidR="00A41982" w:rsidRPr="00A41982">
              <w:rPr>
                <w:noProof/>
                <w:webHidden/>
                <w:sz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62" w:history="1">
            <w:r w:rsidR="00A41982" w:rsidRPr="00A41982">
              <w:rPr>
                <w:rStyle w:val="Hipervnculo"/>
                <w:i/>
                <w:noProof/>
                <w:sz w:val="20"/>
                <w:szCs w:val="20"/>
              </w:rPr>
              <w:t>Inicio del procedimiento</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_Toc69312062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15</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63" w:history="1">
            <w:r w:rsidR="00A41982" w:rsidRPr="00A41982">
              <w:rPr>
                <w:rStyle w:val="Hipervnculo"/>
                <w:i/>
                <w:noProof/>
                <w:sz w:val="20"/>
                <w:szCs w:val="20"/>
              </w:rPr>
              <w:t>Tramitación</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_Toc69312063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15</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64" w:history="1">
            <w:r w:rsidR="00A41982" w:rsidRPr="00A41982">
              <w:rPr>
                <w:rStyle w:val="Hipervnculo"/>
                <w:i/>
                <w:noProof/>
                <w:sz w:val="20"/>
                <w:szCs w:val="20"/>
              </w:rPr>
              <w:t>Resolución</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_Toc69312064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16</w:t>
            </w:r>
            <w:r w:rsidR="00A41982" w:rsidRPr="00A41982">
              <w:rPr>
                <w:noProof/>
                <w:webHidden/>
                <w:sz w:val="20"/>
                <w:szCs w:val="20"/>
              </w:rPr>
              <w:fldChar w:fldCharType="end"/>
            </w:r>
          </w:hyperlink>
        </w:p>
        <w:p w:rsidR="00A41982" w:rsidRPr="00A41982" w:rsidRDefault="009A7BE1">
          <w:pPr>
            <w:pStyle w:val="TDC1"/>
            <w:tabs>
              <w:tab w:val="right" w:pos="9061"/>
            </w:tabs>
            <w:rPr>
              <w:rFonts w:asciiTheme="minorHAnsi" w:hAnsiTheme="minorHAnsi"/>
              <w:noProof/>
              <w:sz w:val="20"/>
              <w:szCs w:val="20"/>
            </w:rPr>
          </w:pPr>
          <w:hyperlink w:anchor="_Toc69312066" w:history="1">
            <w:r w:rsidR="00A41982" w:rsidRPr="00A41982">
              <w:rPr>
                <w:rStyle w:val="Hipervnculo"/>
                <w:noProof/>
                <w:sz w:val="20"/>
                <w:szCs w:val="20"/>
              </w:rPr>
              <w:t>V. Conclusiones y Recomendaciones</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_Toc69312066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17</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67" w:history="1">
            <w:r w:rsidR="00A41982" w:rsidRPr="00A41982">
              <w:rPr>
                <w:rStyle w:val="Hipervnculo"/>
                <w:noProof/>
                <w:sz w:val="20"/>
                <w:szCs w:val="20"/>
              </w:rPr>
              <w:t>V.1 En materia de publicidad activa</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_Toc69312067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17</w:t>
            </w:r>
            <w:r w:rsidR="00A41982" w:rsidRPr="00A41982">
              <w:rPr>
                <w:noProof/>
                <w:webHidden/>
                <w:sz w:val="20"/>
                <w:szCs w:val="20"/>
              </w:rPr>
              <w:fldChar w:fldCharType="end"/>
            </w:r>
          </w:hyperlink>
        </w:p>
        <w:p w:rsidR="00A41982" w:rsidRPr="00A41982" w:rsidRDefault="009A7BE1">
          <w:pPr>
            <w:pStyle w:val="TDC2"/>
            <w:tabs>
              <w:tab w:val="right" w:pos="9061"/>
            </w:tabs>
            <w:rPr>
              <w:rFonts w:asciiTheme="minorHAnsi" w:hAnsiTheme="minorHAnsi"/>
              <w:noProof/>
              <w:sz w:val="20"/>
              <w:szCs w:val="20"/>
            </w:rPr>
          </w:pPr>
          <w:hyperlink w:anchor="_Toc69312068" w:history="1">
            <w:r w:rsidR="00A41982" w:rsidRPr="00A41982">
              <w:rPr>
                <w:rStyle w:val="Hipervnculo"/>
                <w:noProof/>
                <w:sz w:val="20"/>
                <w:szCs w:val="20"/>
              </w:rPr>
              <w:t>V.2. En materia de derecho de acceso.</w:t>
            </w:r>
            <w:r w:rsidR="00A41982" w:rsidRPr="00A41982">
              <w:rPr>
                <w:noProof/>
                <w:webHidden/>
                <w:sz w:val="20"/>
                <w:szCs w:val="20"/>
              </w:rPr>
              <w:tab/>
            </w:r>
            <w:r w:rsidR="00A41982" w:rsidRPr="00A41982">
              <w:rPr>
                <w:noProof/>
                <w:webHidden/>
                <w:sz w:val="20"/>
                <w:szCs w:val="20"/>
              </w:rPr>
              <w:fldChar w:fldCharType="begin"/>
            </w:r>
            <w:r w:rsidR="00A41982" w:rsidRPr="00A41982">
              <w:rPr>
                <w:noProof/>
                <w:webHidden/>
                <w:sz w:val="20"/>
                <w:szCs w:val="20"/>
              </w:rPr>
              <w:instrText xml:space="preserve"> PAGEREF _Toc69312068 \h </w:instrText>
            </w:r>
            <w:r w:rsidR="00A41982" w:rsidRPr="00A41982">
              <w:rPr>
                <w:noProof/>
                <w:webHidden/>
                <w:sz w:val="20"/>
                <w:szCs w:val="20"/>
              </w:rPr>
            </w:r>
            <w:r w:rsidR="00A41982" w:rsidRPr="00A41982">
              <w:rPr>
                <w:noProof/>
                <w:webHidden/>
                <w:sz w:val="20"/>
                <w:szCs w:val="20"/>
              </w:rPr>
              <w:fldChar w:fldCharType="separate"/>
            </w:r>
            <w:r w:rsidR="0078130A">
              <w:rPr>
                <w:noProof/>
                <w:webHidden/>
                <w:sz w:val="20"/>
                <w:szCs w:val="20"/>
              </w:rPr>
              <w:t>22</w:t>
            </w:r>
            <w:r w:rsidR="00A41982" w:rsidRPr="00A41982">
              <w:rPr>
                <w:noProof/>
                <w:webHidden/>
                <w:sz w:val="20"/>
                <w:szCs w:val="20"/>
              </w:rPr>
              <w:fldChar w:fldCharType="end"/>
            </w:r>
          </w:hyperlink>
        </w:p>
        <w:p w:rsidR="00E924EF" w:rsidRDefault="00E924EF">
          <w:r w:rsidRPr="00A41982">
            <w:rPr>
              <w:b/>
              <w:bCs/>
              <w:sz w:val="20"/>
            </w:rPr>
            <w:fldChar w:fldCharType="end"/>
          </w:r>
        </w:p>
      </w:sdtContent>
    </w:sdt>
    <w:p w:rsidR="00E924EF" w:rsidRDefault="00E924EF">
      <w:pPr>
        <w:jc w:val="left"/>
      </w:pPr>
      <w:r>
        <w:br w:type="page"/>
      </w:r>
    </w:p>
    <w:p w:rsidR="00743995" w:rsidRDefault="005F586A" w:rsidP="000B5A54">
      <w:pPr>
        <w:pStyle w:val="Ttulo1"/>
        <w:numPr>
          <w:ilvl w:val="0"/>
          <w:numId w:val="40"/>
        </w:numPr>
      </w:pPr>
      <w:bookmarkStart w:id="0" w:name="_Toc69312044"/>
      <w:r>
        <w:lastRenderedPageBreak/>
        <w:t>Introducción</w:t>
      </w:r>
      <w:bookmarkEnd w:id="0"/>
    </w:p>
    <w:p w:rsidR="00743995" w:rsidRDefault="00743995"/>
    <w:p w:rsidR="005F586A" w:rsidRDefault="002C07EB">
      <w:r>
        <w:t xml:space="preserve">El presente informe recoge los resultados agregados de la evaluación del cumplimiento de las obligaciones de publicidad activa y de </w:t>
      </w:r>
      <w:r w:rsidR="001E6796">
        <w:t>la gestión</w:t>
      </w:r>
      <w:r>
        <w:t xml:space="preserve"> de las solicitudes de acceso a la información pública correspondientes a los órganos constitucionales y de relevancia constitucional.</w:t>
      </w:r>
    </w:p>
    <w:p w:rsidR="002C07EB" w:rsidRDefault="001E6796">
      <w:r>
        <w:t>Para l</w:t>
      </w:r>
      <w:r w:rsidR="002C07EB">
        <w:t xml:space="preserve">a evaluación del cumplimiento de las obligaciones de publicidad activa se ha </w:t>
      </w:r>
      <w:r>
        <w:t xml:space="preserve">aplicado la metodología MESTA desarrollada conjuntamente por el CTBG y la extinguida AEVAL. Se ha analizado el grado de publicación de contenidos obligatorios así como el cumplimiento de los criterios en cuanto a la forma de publicación y de los </w:t>
      </w:r>
      <w:r w:rsidR="00F52B23">
        <w:t>atributos</w:t>
      </w:r>
      <w:r>
        <w:t xml:space="preserve"> de calidad aplicables a la información publicada que establece la LTAIBG.</w:t>
      </w:r>
    </w:p>
    <w:p w:rsidR="001E6796" w:rsidRDefault="001E6796" w:rsidP="001E6796">
      <w:pPr>
        <w:pBdr>
          <w:top w:val="single" w:sz="4" w:space="1" w:color="438086" w:themeColor="accent2"/>
          <w:left w:val="single" w:sz="4" w:space="4" w:color="438086" w:themeColor="accent2"/>
          <w:bottom w:val="single" w:sz="4" w:space="1" w:color="438086" w:themeColor="accent2"/>
          <w:right w:val="single" w:sz="4" w:space="4" w:color="438086" w:themeColor="accent2"/>
        </w:pBdr>
      </w:pPr>
      <w:r>
        <w:t>Una cuestión a señalar es que</w:t>
      </w:r>
      <w:r w:rsidR="00506ABD">
        <w:t>,</w:t>
      </w:r>
      <w:r>
        <w:t xml:space="preserve"> tanto la metodología aplicada como el hecho de que se han incorporado nuevas obligaciones de información, </w:t>
      </w:r>
      <w:r w:rsidRPr="001E6796">
        <w:rPr>
          <w:b/>
        </w:rPr>
        <w:t>impiden la comparación</w:t>
      </w:r>
      <w:r>
        <w:t xml:space="preserve"> entre los resultados de la presente evaluación y los obtenidos en 2016, año en el que se evaluó por primera vez a las instituciones integrantes de este grupo de sujetos obligados.</w:t>
      </w:r>
    </w:p>
    <w:p w:rsidR="000B5590" w:rsidRDefault="001E6796">
      <w:r>
        <w:t>Para la evaluación de la gestión de las solicitudes de información pública, se ha utilizado dos herramientas</w:t>
      </w:r>
      <w:r w:rsidR="00506ABD">
        <w:t>: u</w:t>
      </w:r>
      <w:r>
        <w:t xml:space="preserve">n análisis de la actividad generada por estas solicitudes a partir de la información proporcionada por las propias instituciones y en segundo lugar, un análisis de la gestión concreta de las solicitudes aplicando la técnica del cliente misterioso, efectuando una solicitud de información – con el mismo contenido en todos los casos - a cada una de ellas. </w:t>
      </w:r>
    </w:p>
    <w:p w:rsidR="005F586A" w:rsidRDefault="000B5590">
      <w:r>
        <w:t>Tanto la evaluación del cumplimiento de las obligaciones de publicidad activa como de la</w:t>
      </w:r>
      <w:r w:rsidR="001E6796">
        <w:t xml:space="preserve"> </w:t>
      </w:r>
      <w:r>
        <w:t>gestión de las solicitudes de acceso a información pública se ha realizado con recursos propios del CTBG.</w:t>
      </w:r>
    </w:p>
    <w:p w:rsidR="005F586A" w:rsidRDefault="00504935" w:rsidP="00504935">
      <w:pPr>
        <w:pStyle w:val="Ttulo1"/>
        <w:numPr>
          <w:ilvl w:val="0"/>
          <w:numId w:val="40"/>
        </w:numPr>
      </w:pPr>
      <w:bookmarkStart w:id="1" w:name="_Toc69312045"/>
      <w:r w:rsidRPr="00504935">
        <w:t>Alcance de la evaluación</w:t>
      </w:r>
      <w:r w:rsidR="005F586A">
        <w:t>.</w:t>
      </w:r>
      <w:bookmarkEnd w:id="1"/>
    </w:p>
    <w:p w:rsidR="005F586A" w:rsidRDefault="005F586A" w:rsidP="005F586A"/>
    <w:p w:rsidR="005A1B1B" w:rsidRPr="005A1B1B" w:rsidRDefault="005A1B1B" w:rsidP="00504935">
      <w:pPr>
        <w:pStyle w:val="Ttulo2"/>
      </w:pPr>
      <w:bookmarkStart w:id="2" w:name="_Toc62629073"/>
      <w:bookmarkStart w:id="3" w:name="_Toc62645220"/>
      <w:bookmarkStart w:id="4" w:name="_Toc69312046"/>
      <w:r w:rsidRPr="005A1B1B">
        <w:t>II.1 Entidades incluidas en este grupo de sujetos obligados</w:t>
      </w:r>
      <w:bookmarkEnd w:id="2"/>
      <w:bookmarkEnd w:id="3"/>
      <w:bookmarkEnd w:id="4"/>
    </w:p>
    <w:p w:rsidR="005A1B1B" w:rsidRPr="005A1B1B" w:rsidRDefault="005A1B1B" w:rsidP="005A1B1B">
      <w:pPr>
        <w:spacing w:after="0"/>
        <w:outlineLvl w:val="1"/>
        <w:rPr>
          <w:rFonts w:asciiTheme="majorHAnsi" w:hAnsiTheme="majorHAnsi"/>
          <w:b/>
          <w:color w:val="438086" w:themeColor="accent2"/>
          <w:sz w:val="28"/>
          <w:szCs w:val="28"/>
        </w:rPr>
      </w:pPr>
    </w:p>
    <w:p w:rsidR="005A1B1B" w:rsidRPr="005A1B1B" w:rsidRDefault="005A1B1B" w:rsidP="005A1B1B">
      <w:r w:rsidRPr="005A1B1B">
        <w:t>Las instituciones comprendidas en este grupo de sujetos obligados son:</w:t>
      </w:r>
    </w:p>
    <w:p w:rsidR="005A1B1B" w:rsidRDefault="005A1B1B" w:rsidP="005A1B1B">
      <w:pPr>
        <w:numPr>
          <w:ilvl w:val="0"/>
          <w:numId w:val="41"/>
        </w:numPr>
        <w:contextualSpacing/>
      </w:pPr>
      <w:r w:rsidRPr="005A1B1B">
        <w:t>Casa de su Majestad el Rey</w:t>
      </w:r>
    </w:p>
    <w:p w:rsidR="004D1D09" w:rsidRDefault="004D1D09" w:rsidP="004D1D09">
      <w:pPr>
        <w:numPr>
          <w:ilvl w:val="0"/>
          <w:numId w:val="41"/>
        </w:numPr>
        <w:contextualSpacing/>
      </w:pPr>
      <w:r w:rsidRPr="004D1D09">
        <w:t>Congreso de los Diputados</w:t>
      </w:r>
    </w:p>
    <w:p w:rsidR="004D1D09" w:rsidRPr="005A1B1B" w:rsidRDefault="004D1D09" w:rsidP="004D1D09">
      <w:pPr>
        <w:numPr>
          <w:ilvl w:val="0"/>
          <w:numId w:val="41"/>
        </w:numPr>
        <w:contextualSpacing/>
      </w:pPr>
      <w:r>
        <w:t>Senado</w:t>
      </w:r>
    </w:p>
    <w:p w:rsidR="005A1B1B" w:rsidRPr="005A1B1B" w:rsidRDefault="005A1B1B" w:rsidP="005A1B1B">
      <w:pPr>
        <w:numPr>
          <w:ilvl w:val="0"/>
          <w:numId w:val="41"/>
        </w:numPr>
        <w:contextualSpacing/>
      </w:pPr>
      <w:r w:rsidRPr="005A1B1B">
        <w:t>Tribunal Constitucional</w:t>
      </w:r>
    </w:p>
    <w:p w:rsidR="005A1B1B" w:rsidRPr="005A1B1B" w:rsidRDefault="004D1D09" w:rsidP="004D1D09">
      <w:pPr>
        <w:numPr>
          <w:ilvl w:val="0"/>
          <w:numId w:val="41"/>
        </w:numPr>
        <w:contextualSpacing/>
      </w:pPr>
      <w:r w:rsidRPr="004D1D09">
        <w:t>Consejo General del Poder Judicial</w:t>
      </w:r>
    </w:p>
    <w:p w:rsidR="004F7D22" w:rsidRDefault="004D1D09" w:rsidP="004D1D09">
      <w:pPr>
        <w:numPr>
          <w:ilvl w:val="0"/>
          <w:numId w:val="41"/>
        </w:numPr>
        <w:contextualSpacing/>
      </w:pPr>
      <w:r w:rsidRPr="004D1D09">
        <w:lastRenderedPageBreak/>
        <w:t xml:space="preserve">Consejo de Estado </w:t>
      </w:r>
    </w:p>
    <w:p w:rsidR="004D1D09" w:rsidRDefault="005A1B1B" w:rsidP="004D1D09">
      <w:pPr>
        <w:numPr>
          <w:ilvl w:val="0"/>
          <w:numId w:val="41"/>
        </w:numPr>
        <w:contextualSpacing/>
      </w:pPr>
      <w:r w:rsidRPr="005A1B1B">
        <w:t>Tribunal de Cuentas</w:t>
      </w:r>
    </w:p>
    <w:p w:rsidR="004D1D09" w:rsidRPr="004D1D09" w:rsidRDefault="004D1D09" w:rsidP="004D1D09">
      <w:pPr>
        <w:numPr>
          <w:ilvl w:val="0"/>
          <w:numId w:val="41"/>
        </w:numPr>
        <w:contextualSpacing/>
      </w:pPr>
      <w:r w:rsidRPr="004D1D09">
        <w:t>Fiscalía General del Estado</w:t>
      </w:r>
    </w:p>
    <w:p w:rsidR="005A1B1B" w:rsidRPr="005A1B1B" w:rsidRDefault="005A1B1B" w:rsidP="005A1B1B">
      <w:pPr>
        <w:numPr>
          <w:ilvl w:val="0"/>
          <w:numId w:val="41"/>
        </w:numPr>
        <w:contextualSpacing/>
      </w:pPr>
      <w:r w:rsidRPr="005A1B1B">
        <w:t>Defensor del Pueblo</w:t>
      </w:r>
    </w:p>
    <w:p w:rsidR="005A1B1B" w:rsidRDefault="00500E35" w:rsidP="005A1B1B">
      <w:pPr>
        <w:numPr>
          <w:ilvl w:val="0"/>
          <w:numId w:val="41"/>
        </w:numPr>
        <w:contextualSpacing/>
      </w:pPr>
      <w:r>
        <w:t>C</w:t>
      </w:r>
      <w:r w:rsidR="005A1B1B" w:rsidRPr="005A1B1B">
        <w:t>onsejo Económico y Social</w:t>
      </w:r>
    </w:p>
    <w:p w:rsidR="005A1B1B" w:rsidRDefault="005A1B1B" w:rsidP="00683852"/>
    <w:p w:rsidR="005A1B1B" w:rsidRPr="005A1B1B" w:rsidRDefault="005A1B1B" w:rsidP="00504935">
      <w:pPr>
        <w:pStyle w:val="Ttulo2"/>
      </w:pPr>
      <w:bookmarkStart w:id="5" w:name="_Toc69312047"/>
      <w:r w:rsidRPr="005A1B1B">
        <w:t xml:space="preserve">II.2 </w:t>
      </w:r>
      <w:r w:rsidR="004A60E2">
        <w:t>Delimitación de las obligaciones de publicidad activa aplicables.</w:t>
      </w:r>
      <w:bookmarkEnd w:id="5"/>
    </w:p>
    <w:p w:rsidR="00504935" w:rsidRDefault="00504935" w:rsidP="00683852"/>
    <w:p w:rsidR="00C12FE5" w:rsidRDefault="003D5691" w:rsidP="00504935">
      <w:r>
        <w:t xml:space="preserve">El alcance de la evaluación se </w:t>
      </w:r>
      <w:r w:rsidR="00CE43A8">
        <w:t xml:space="preserve">ha </w:t>
      </w:r>
      <w:r>
        <w:t>definido en función de las obligaciones de publicidad activa que son aplicables a este grupo de sujetos obligados</w:t>
      </w:r>
      <w:r w:rsidR="00C12FE5">
        <w:t>. En el caso de los Órganos Constitucionales</w:t>
      </w:r>
      <w:r w:rsidR="001F5549">
        <w:rPr>
          <w:rStyle w:val="Refdenotaalpie"/>
        </w:rPr>
        <w:footnoteReference w:id="1"/>
      </w:r>
      <w:r w:rsidR="00C12FE5">
        <w:t xml:space="preserve"> </w:t>
      </w:r>
      <w:r w:rsidR="00C12FE5" w:rsidRPr="00C12FE5">
        <w:t>la obligación de publicar se circunscribe a sus actividades sujetas a derecho administrativo, no a aquellas otras que desarrollen en cumplimiento de las funciones que constitucionalmente tienen encomendadas.</w:t>
      </w:r>
      <w:r w:rsidR="00C12FE5">
        <w:t xml:space="preserve"> </w:t>
      </w:r>
    </w:p>
    <w:p w:rsidR="003D5691" w:rsidRDefault="00C12FE5" w:rsidP="00683852">
      <w:r>
        <w:t>Por otra parte no todas las informaciones obligatorias establecidas por la LTAIBG son de aplicación a este grupo de sujetos obligados. Dentro del bloque de obligaciones Información Institucional, Organizativa y de Planificación (en adelante IOP), no les son aplicables las informaciones relativas a planificación y están exentos de publica</w:t>
      </w:r>
      <w:r w:rsidR="00506ABD">
        <w:t>r</w:t>
      </w:r>
      <w:r>
        <w:t xml:space="preserve"> las informaciones de relevancia jurídica (en adelante, IRJ), aplicables solo a las entidades que el artículo 2.2 de la LTAIBG encuadra en el concepto de administraciones públicas. En el caso de la Información Económica, Presupuestaria y Estadística (en adelante EPE) no están obligados a publicar </w:t>
      </w:r>
      <w:r w:rsidR="00C95495">
        <w:t xml:space="preserve">la información sobre </w:t>
      </w:r>
      <w:r w:rsidR="00506ABD">
        <w:t>e</w:t>
      </w:r>
      <w:r w:rsidR="00C95495">
        <w:t xml:space="preserve">ncomiendas </w:t>
      </w:r>
      <w:r w:rsidR="00506ABD">
        <w:t>de gestión</w:t>
      </w:r>
      <w:r w:rsidR="00C95495">
        <w:t xml:space="preserve">, las cuentas anuales y los informes de auditoría de cuentas efectuados por órganos de control externo, </w:t>
      </w:r>
      <w:r w:rsidR="007E1A7A">
        <w:t xml:space="preserve">el cumplimiento de los objetivos </w:t>
      </w:r>
      <w:r w:rsidR="001D364C">
        <w:t xml:space="preserve">de </w:t>
      </w:r>
      <w:r w:rsidR="001D364C" w:rsidRPr="001D364C">
        <w:t>estabilidad presupuestaria y sostenibilidad financiera</w:t>
      </w:r>
      <w:r w:rsidR="007E1A7A">
        <w:t>, la información estadística relativa al cumplimiento y calidad de los servicios que prestan y la información patrimonial.</w:t>
      </w:r>
      <w:r w:rsidR="00504935">
        <w:t xml:space="preserve"> En el caso de los órganos constitucionales no les es de aplicación </w:t>
      </w:r>
      <w:r w:rsidR="00504935" w:rsidRPr="00504935">
        <w:t>el artículo 15 de la Ley 3/2015, reguladora del Alto Cargo en la Administración General del Estado,</w:t>
      </w:r>
      <w:r w:rsidR="00504935">
        <w:t xml:space="preserve"> y por lo tanto no tienen la obligación de publicar las autorizaciones para el ejercicio de actividades privadas al cese de altos cargos</w:t>
      </w:r>
      <w:r w:rsidR="00504935" w:rsidRPr="00504935">
        <w:t>.</w:t>
      </w:r>
    </w:p>
    <w:p w:rsidR="007E1A7A" w:rsidRDefault="007E1A7A" w:rsidP="00683852">
      <w:r>
        <w:t>El siguiente cuadro recoge las obligaciones de publicidad activa que son aplicables a los Órganos Constitucionales y de relevancia constitucional</w:t>
      </w:r>
      <w:r w:rsidR="005A1B1B">
        <w:t>.</w:t>
      </w:r>
    </w:p>
    <w:p w:rsidR="007A2C04" w:rsidRDefault="007A2C04" w:rsidP="00683852"/>
    <w:p w:rsidR="007A2C04" w:rsidRDefault="007A2C04" w:rsidP="00683852"/>
    <w:p w:rsidR="007A2C04" w:rsidRDefault="007A2C04" w:rsidP="00683852"/>
    <w:p w:rsidR="005A1B1B" w:rsidRPr="005A1B1B" w:rsidRDefault="005A1B1B" w:rsidP="005A1B1B">
      <w:pPr>
        <w:pStyle w:val="Epgrafe"/>
        <w:keepNext/>
        <w:rPr>
          <w:color w:val="325F64" w:themeColor="accent2" w:themeShade="BF"/>
          <w:sz w:val="22"/>
          <w:szCs w:val="22"/>
        </w:rPr>
      </w:pPr>
      <w:r w:rsidRPr="005A1B1B">
        <w:rPr>
          <w:color w:val="325F64" w:themeColor="accent2" w:themeShade="BF"/>
          <w:sz w:val="22"/>
          <w:szCs w:val="22"/>
        </w:rPr>
        <w:lastRenderedPageBreak/>
        <w:t xml:space="preserve">Cuadro </w:t>
      </w:r>
      <w:r w:rsidRPr="005A1B1B">
        <w:rPr>
          <w:color w:val="325F64" w:themeColor="accent2" w:themeShade="BF"/>
          <w:sz w:val="22"/>
          <w:szCs w:val="22"/>
        </w:rPr>
        <w:fldChar w:fldCharType="begin"/>
      </w:r>
      <w:r w:rsidRPr="005A1B1B">
        <w:rPr>
          <w:color w:val="325F64" w:themeColor="accent2" w:themeShade="BF"/>
          <w:sz w:val="22"/>
          <w:szCs w:val="22"/>
        </w:rPr>
        <w:instrText xml:space="preserve"> SEQ Cuadro \* ARABIC </w:instrText>
      </w:r>
      <w:r w:rsidRPr="005A1B1B">
        <w:rPr>
          <w:color w:val="325F64" w:themeColor="accent2" w:themeShade="BF"/>
          <w:sz w:val="22"/>
          <w:szCs w:val="22"/>
        </w:rPr>
        <w:fldChar w:fldCharType="separate"/>
      </w:r>
      <w:r w:rsidR="00DD555A">
        <w:rPr>
          <w:noProof/>
          <w:color w:val="325F64" w:themeColor="accent2" w:themeShade="BF"/>
          <w:sz w:val="22"/>
          <w:szCs w:val="22"/>
        </w:rPr>
        <w:t>1</w:t>
      </w:r>
      <w:r w:rsidRPr="005A1B1B">
        <w:rPr>
          <w:color w:val="325F64" w:themeColor="accent2" w:themeShade="BF"/>
          <w:sz w:val="22"/>
          <w:szCs w:val="22"/>
        </w:rPr>
        <w:fldChar w:fldCharType="end"/>
      </w:r>
      <w:r w:rsidRPr="005A1B1B">
        <w:rPr>
          <w:color w:val="325F64" w:themeColor="accent2" w:themeShade="BF"/>
          <w:sz w:val="22"/>
          <w:szCs w:val="22"/>
        </w:rPr>
        <w:t xml:space="preserve">: Obligaciones de publicidad activa aplicables a los Órganos Constitucionales </w:t>
      </w:r>
    </w:p>
    <w:tbl>
      <w:tblPr>
        <w:tblStyle w:val="Tablaconcuadrcula1"/>
        <w:tblW w:w="932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F931F3" w:rsidRPr="00F931F3" w:rsidTr="00F931F3">
        <w:tc>
          <w:tcPr>
            <w:tcW w:w="2093" w:type="dxa"/>
            <w:tcBorders>
              <w:top w:val="nil"/>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r w:rsidRPr="00F931F3">
              <w:rPr>
                <w:rFonts w:cs="Times New Roman"/>
                <w:b/>
                <w:color w:val="FFFFFF"/>
                <w:sz w:val="20"/>
              </w:rPr>
              <w:t>Bloque de obligaciones</w:t>
            </w:r>
          </w:p>
        </w:tc>
        <w:tc>
          <w:tcPr>
            <w:tcW w:w="7229" w:type="dxa"/>
            <w:tcBorders>
              <w:top w:val="nil"/>
              <w:bottom w:val="single" w:sz="4" w:space="0" w:color="F2F2F2" w:themeColor="background1" w:themeShade="F2"/>
              <w:right w:val="single" w:sz="4" w:space="0" w:color="438086" w:themeColor="accent2"/>
            </w:tcBorders>
            <w:shd w:val="clear" w:color="auto" w:fill="438086" w:themeFill="accent2"/>
          </w:tcPr>
          <w:p w:rsidR="00F931F3" w:rsidRPr="00F931F3" w:rsidRDefault="00F931F3" w:rsidP="00C12FE5">
            <w:pPr>
              <w:jc w:val="center"/>
              <w:rPr>
                <w:rFonts w:cs="Times New Roman"/>
                <w:b/>
                <w:color w:val="FFFFFF"/>
                <w:sz w:val="20"/>
              </w:rPr>
            </w:pPr>
            <w:r w:rsidRPr="00F931F3">
              <w:rPr>
                <w:rFonts w:cs="Times New Roman"/>
                <w:b/>
                <w:color w:val="FFFFFF"/>
                <w:sz w:val="20"/>
              </w:rPr>
              <w:t>Obligaciones</w:t>
            </w:r>
          </w:p>
        </w:tc>
      </w:tr>
      <w:tr w:rsidR="00F931F3" w:rsidRPr="00F931F3" w:rsidTr="00F931F3">
        <w:tc>
          <w:tcPr>
            <w:tcW w:w="2093" w:type="dxa"/>
            <w:vMerge w:val="restart"/>
            <w:tcBorders>
              <w:top w:val="single" w:sz="4" w:space="0" w:color="F2F2F2" w:themeColor="background1" w:themeShade="F2"/>
              <w:bottom w:val="single" w:sz="4" w:space="0" w:color="F2F2F2" w:themeColor="background1" w:themeShade="F2"/>
            </w:tcBorders>
            <w:shd w:val="clear" w:color="auto" w:fill="438086" w:themeFill="accent2"/>
            <w:textDirection w:val="btLr"/>
          </w:tcPr>
          <w:p w:rsidR="00F931F3" w:rsidRPr="00F931F3" w:rsidRDefault="00F931F3" w:rsidP="00F931F3">
            <w:pPr>
              <w:ind w:left="113" w:right="113"/>
              <w:jc w:val="center"/>
              <w:rPr>
                <w:rFonts w:cs="Times New Roman"/>
                <w:b/>
                <w:color w:val="FFFFFF"/>
                <w:sz w:val="20"/>
              </w:rPr>
            </w:pPr>
            <w:r w:rsidRPr="00F931F3">
              <w:rPr>
                <w:rFonts w:cs="Times New Roman"/>
                <w:b/>
                <w:color w:val="FFFFFF"/>
                <w:sz w:val="20"/>
              </w:rPr>
              <w:t>Institucional, Organizativa. Registro de Actividades de Tratamiento</w:t>
            </w:r>
          </w:p>
        </w:tc>
        <w:tc>
          <w:tcPr>
            <w:tcW w:w="7229" w:type="dxa"/>
            <w:tcBorders>
              <w:top w:val="single" w:sz="4" w:space="0" w:color="F2F2F2" w:themeColor="background1" w:themeShade="F2"/>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Normativa aplicable</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Funciones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Registro de Actividades de Tratamiento</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Descripción estructura organizativa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Organigrama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Identificación Responsables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Perfil y trayectoria profesional responsables</w:t>
            </w:r>
          </w:p>
        </w:tc>
      </w:tr>
      <w:tr w:rsidR="00F931F3" w:rsidRPr="00F931F3" w:rsidTr="00F931F3">
        <w:tc>
          <w:tcPr>
            <w:tcW w:w="2093" w:type="dxa"/>
            <w:vMerge w:val="restart"/>
            <w:tcBorders>
              <w:bottom w:val="single" w:sz="4" w:space="0" w:color="F2F2F2" w:themeColor="background1" w:themeShade="F2"/>
            </w:tcBorders>
            <w:shd w:val="clear" w:color="auto" w:fill="438086" w:themeFill="accent2"/>
            <w:textDirection w:val="btLr"/>
          </w:tcPr>
          <w:p w:rsidR="00F931F3" w:rsidRDefault="00F931F3" w:rsidP="00C12FE5">
            <w:pPr>
              <w:ind w:left="113" w:right="113"/>
              <w:jc w:val="center"/>
              <w:rPr>
                <w:rFonts w:cs="Times New Roman"/>
                <w:b/>
                <w:color w:val="FFFFFF"/>
                <w:sz w:val="20"/>
              </w:rPr>
            </w:pPr>
            <w:r w:rsidRPr="00F931F3">
              <w:rPr>
                <w:rFonts w:cs="Times New Roman"/>
                <w:b/>
                <w:color w:val="FFFFFF"/>
                <w:sz w:val="20"/>
              </w:rPr>
              <w:t xml:space="preserve">Económica, Presupuestaria y </w:t>
            </w:r>
          </w:p>
          <w:p w:rsidR="00F931F3" w:rsidRPr="00F931F3" w:rsidRDefault="00F931F3" w:rsidP="00C12FE5">
            <w:pPr>
              <w:ind w:left="113" w:right="113"/>
              <w:jc w:val="center"/>
              <w:rPr>
                <w:rFonts w:cs="Times New Roman"/>
                <w:b/>
                <w:color w:val="FFFFFF"/>
                <w:sz w:val="20"/>
              </w:rPr>
            </w:pPr>
            <w:r w:rsidRPr="00F931F3">
              <w:rPr>
                <w:rFonts w:cs="Times New Roman"/>
                <w:b/>
                <w:color w:val="FFFFFF"/>
                <w:sz w:val="20"/>
              </w:rPr>
              <w:t>Estadística</w:t>
            </w:r>
          </w:p>
        </w:tc>
        <w:tc>
          <w:tcPr>
            <w:tcW w:w="7229" w:type="dxa"/>
            <w:tcBorders>
              <w:top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Contratos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Modificaciones  de contratos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Desistimientos y Renuncias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Datos estadísticos sobre contratos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Contratos Menores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Relación de los convenios suscritos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Subvenciones y ayudas públicas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Presupuestos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Ejecución presupuestaria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Retribuciones anuales Altos Cargos y máximos responsables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Indemnizaciones percibidas por Altos Cargos </w:t>
            </w:r>
            <w:r w:rsidR="00506ABD">
              <w:rPr>
                <w:rFonts w:cs="Times New Roman"/>
                <w:sz w:val="20"/>
              </w:rPr>
              <w:t xml:space="preserve">y máximos responsables </w:t>
            </w:r>
            <w:r w:rsidRPr="00F931F3">
              <w:rPr>
                <w:rFonts w:cs="Times New Roman"/>
                <w:sz w:val="20"/>
              </w:rPr>
              <w:t>con ocasión del abandono del cargo</w:t>
            </w:r>
          </w:p>
        </w:tc>
      </w:tr>
      <w:tr w:rsidR="00F931F3" w:rsidRPr="00F931F3" w:rsidTr="00053BF4">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Resoluciones de autorización o reconocimiento de compatibilidad de empleados.</w:t>
            </w:r>
          </w:p>
        </w:tc>
      </w:tr>
      <w:tr w:rsidR="00F931F3" w:rsidRPr="00F931F3" w:rsidTr="00053BF4">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p>
        </w:tc>
      </w:tr>
    </w:tbl>
    <w:p w:rsidR="00F931F3" w:rsidRDefault="00F931F3" w:rsidP="00683852"/>
    <w:p w:rsidR="00BD3DF5" w:rsidRDefault="003220BF" w:rsidP="00683852">
      <w:r>
        <w:t xml:space="preserve">Además pueden existir </w:t>
      </w:r>
      <w:r w:rsidR="00500E35">
        <w:t>ámbitos en los</w:t>
      </w:r>
      <w:r w:rsidR="006B7A84">
        <w:t xml:space="preserve"> que </w:t>
      </w:r>
      <w:r>
        <w:t xml:space="preserve">la institución carezca de competencias </w:t>
      </w:r>
      <w:r w:rsidR="000F6C27">
        <w:t>para desarrollar las a</w:t>
      </w:r>
      <w:r w:rsidR="006B7A84">
        <w:t>ctividades a las que se refiere una determinada obligación de publicidad activa</w:t>
      </w:r>
      <w:r w:rsidR="00504935">
        <w:t xml:space="preserve"> </w:t>
      </w:r>
      <w:r w:rsidR="006B7A84">
        <w:t>o</w:t>
      </w:r>
      <w:r w:rsidR="00504935">
        <w:t xml:space="preserve"> porque en </w:t>
      </w:r>
      <w:r w:rsidR="006B7A84">
        <w:t>un</w:t>
      </w:r>
      <w:r w:rsidR="00504935">
        <w:t xml:space="preserve"> ámbito concreto no haya existido actividad</w:t>
      </w:r>
      <w:r w:rsidR="000F6C27">
        <w:t xml:space="preserve"> –por ejemplo, que no se haya celebrado </w:t>
      </w:r>
      <w:r w:rsidR="00174861">
        <w:t>ningún convenio de colaboración</w:t>
      </w:r>
      <w:r w:rsidR="00504935">
        <w:t xml:space="preserve"> </w:t>
      </w:r>
      <w:r w:rsidR="006B7A84">
        <w:t>– o porque la información no sea publicable por existir algún tipo de restricción legal</w:t>
      </w:r>
      <w:r w:rsidR="00174861">
        <w:t>.</w:t>
      </w:r>
    </w:p>
    <w:p w:rsidR="006B7A84" w:rsidRDefault="006B7A84" w:rsidP="00683852"/>
    <w:p w:rsidR="00683852" w:rsidRDefault="00683852" w:rsidP="00504935">
      <w:pPr>
        <w:pStyle w:val="Ttulo1"/>
      </w:pPr>
      <w:bookmarkStart w:id="6" w:name="_Toc69312048"/>
      <w:r>
        <w:t>II</w:t>
      </w:r>
      <w:r w:rsidR="00504935">
        <w:t>I</w:t>
      </w:r>
      <w:r w:rsidRPr="00090A3E">
        <w:t xml:space="preserve"> Evaluación del cumplimiento de las obligaciones de publicidad activa</w:t>
      </w:r>
      <w:r>
        <w:t xml:space="preserve"> por parte de los Órganos Constitucionales y de relevancia constitucional.</w:t>
      </w:r>
      <w:bookmarkEnd w:id="6"/>
    </w:p>
    <w:p w:rsidR="00683852" w:rsidRPr="00683852" w:rsidRDefault="00683852" w:rsidP="00683852"/>
    <w:p w:rsidR="00090A3E" w:rsidRDefault="00504935" w:rsidP="00504935">
      <w:pPr>
        <w:pStyle w:val="Ttulo2"/>
      </w:pPr>
      <w:bookmarkStart w:id="7" w:name="_Toc69312049"/>
      <w:r>
        <w:t>III</w:t>
      </w:r>
      <w:r w:rsidR="00090A3E">
        <w:t>.1. Localización y estructuración de la información</w:t>
      </w:r>
      <w:bookmarkEnd w:id="7"/>
    </w:p>
    <w:p w:rsidR="00090A3E" w:rsidRDefault="00090A3E" w:rsidP="005F586A"/>
    <w:p w:rsidR="00090A3E" w:rsidRDefault="00090A3E" w:rsidP="005F586A">
      <w:r>
        <w:t xml:space="preserve">Todas las instituciones evaluadas han habilitado </w:t>
      </w:r>
      <w:r w:rsidR="00053BF4" w:rsidRPr="00053BF4">
        <w:t xml:space="preserve">en sus webs institucionales </w:t>
      </w:r>
      <w:r>
        <w:t xml:space="preserve">un espacio específico para la publicación de las informaciones sujetas a obligaciones de publicidad activa. </w:t>
      </w:r>
      <w:r w:rsidR="00406C3D">
        <w:t>Diez</w:t>
      </w:r>
      <w:r>
        <w:t xml:space="preserve"> de ellas dan acceso a este espacio mediante un banner </w:t>
      </w:r>
      <w:r>
        <w:lastRenderedPageBreak/>
        <w:t xml:space="preserve">o enlace ubicado en la página home. Sólo en un caso este enlace se localiza </w:t>
      </w:r>
      <w:r w:rsidR="00683852">
        <w:t xml:space="preserve">en uno de los accesos principales de </w:t>
      </w:r>
      <w:r w:rsidR="00504935">
        <w:t>la</w:t>
      </w:r>
      <w:r w:rsidR="00683852">
        <w:t xml:space="preserve"> web</w:t>
      </w:r>
      <w:r w:rsidR="00504935">
        <w:t xml:space="preserve"> institucional</w:t>
      </w:r>
      <w:r w:rsidR="00683852">
        <w:t>.</w:t>
      </w:r>
    </w:p>
    <w:p w:rsidR="005F586A" w:rsidRDefault="00683852" w:rsidP="005F586A">
      <w:r w:rsidRPr="00285713">
        <w:t xml:space="preserve">La información está estructurada y organizada. En </w:t>
      </w:r>
      <w:r w:rsidR="004F7D22">
        <w:t>siete</w:t>
      </w:r>
      <w:r w:rsidRPr="00285713">
        <w:t xml:space="preserve"> casos esta organización se ajusta al patrón definido por la LTAIBG – Información Institucional y Organizativa e Información Económica</w:t>
      </w:r>
      <w:r w:rsidR="00053BF4" w:rsidRPr="00285713">
        <w:t xml:space="preserve"> y Presupuestaria – en los tres restantes la información está organizada y resulta de fácil localización aunque no se ajuste exactamente al patrón de la LTAIBG.</w:t>
      </w:r>
      <w:r w:rsidR="00053BF4">
        <w:t xml:space="preserve"> </w:t>
      </w:r>
    </w:p>
    <w:p w:rsidR="00053BF4" w:rsidRDefault="00053BF4" w:rsidP="005F586A">
      <w:r>
        <w:t xml:space="preserve">Por último, tres de las </w:t>
      </w:r>
      <w:r w:rsidR="002248F4">
        <w:t>diez</w:t>
      </w:r>
      <w:r>
        <w:t xml:space="preserve"> instituciones evaluadas, publican información sujeta a obligaciones de publicidad activa fuera del Portal de transparencia, lo que dificulta la accesibilidad a la misma ya que </w:t>
      </w:r>
      <w:r w:rsidR="004A60E2">
        <w:t>obliga a navegar por toda la web para localizar</w:t>
      </w:r>
      <w:r w:rsidR="00734470">
        <w:t>la</w:t>
      </w:r>
      <w:r w:rsidR="004A60E2">
        <w:t>.</w:t>
      </w:r>
    </w:p>
    <w:p w:rsidR="004A60E2" w:rsidRDefault="004A60E2" w:rsidP="005F586A"/>
    <w:p w:rsidR="004A60E2" w:rsidRDefault="004A60E2" w:rsidP="008A4271">
      <w:pPr>
        <w:pStyle w:val="Ttulo2"/>
      </w:pPr>
      <w:bookmarkStart w:id="8" w:name="_Toc69312050"/>
      <w:r>
        <w:t>II</w:t>
      </w:r>
      <w:r w:rsidR="008A4271">
        <w:t>I</w:t>
      </w:r>
      <w:r>
        <w:t>.2. Cumplimiento de las obligaciones de publicidad activa</w:t>
      </w:r>
      <w:bookmarkEnd w:id="8"/>
    </w:p>
    <w:p w:rsidR="004A60E2" w:rsidRDefault="004A60E2" w:rsidP="004A60E2"/>
    <w:p w:rsidR="004A60E2" w:rsidRDefault="008A4271" w:rsidP="008A4271">
      <w:pPr>
        <w:pStyle w:val="Ttulo3"/>
      </w:pPr>
      <w:bookmarkStart w:id="9" w:name="_Toc69312051"/>
      <w:r>
        <w:t>I</w:t>
      </w:r>
      <w:r w:rsidR="004A60E2">
        <w:t>II.2.1.  Información Institucional y Organizativa.</w:t>
      </w:r>
      <w:bookmarkEnd w:id="9"/>
      <w:r w:rsidR="004A60E2">
        <w:t xml:space="preserve"> </w:t>
      </w:r>
    </w:p>
    <w:p w:rsidR="004A60E2" w:rsidRDefault="004A60E2" w:rsidP="005F586A"/>
    <w:p w:rsidR="00563729" w:rsidRDefault="00563729" w:rsidP="005F586A">
      <w:r>
        <w:t xml:space="preserve">La proporción de informaciones obligatorias publicadas correspondientes a este bloque asciende al </w:t>
      </w:r>
      <w:r w:rsidR="00285713">
        <w:t>8</w:t>
      </w:r>
      <w:r w:rsidR="002248F4">
        <w:t>7</w:t>
      </w:r>
      <w:r w:rsidR="00285713">
        <w:t>,</w:t>
      </w:r>
      <w:r w:rsidR="002248F4">
        <w:t>6</w:t>
      </w:r>
      <w:r>
        <w:t xml:space="preserve">%, con un rango que oscila entre </w:t>
      </w:r>
      <w:r w:rsidRPr="00CB6D6C">
        <w:t xml:space="preserve">el </w:t>
      </w:r>
      <w:r w:rsidR="00CB6D6C">
        <w:t>71,4</w:t>
      </w:r>
      <w:r w:rsidRPr="00CB6D6C">
        <w:t xml:space="preserve"> y el 100%.</w:t>
      </w:r>
      <w:r>
        <w:t xml:space="preserve"> </w:t>
      </w:r>
      <w:r w:rsidR="002248F4">
        <w:t>Tres</w:t>
      </w:r>
      <w:r>
        <w:t xml:space="preserve"> de las </w:t>
      </w:r>
      <w:r w:rsidR="00B86CD2">
        <w:t>diez</w:t>
      </w:r>
      <w:r>
        <w:t xml:space="preserve"> instituciones evaluadas publican la totalidad de las informaciones obligatorias. </w:t>
      </w:r>
    </w:p>
    <w:p w:rsidR="00497839" w:rsidRDefault="00497839" w:rsidP="005F586A">
      <w:r>
        <w:t xml:space="preserve">El incumplimiento de la obligación de publicar se localiza fundamentalmente en la información sobre el Registro de Actividades de Tratamiento, que sólo publican </w:t>
      </w:r>
      <w:r w:rsidR="002248F4">
        <w:t>tres</w:t>
      </w:r>
      <w:r>
        <w:t xml:space="preserve"> de las </w:t>
      </w:r>
      <w:r w:rsidR="002248F4">
        <w:t>diez</w:t>
      </w:r>
      <w:r>
        <w:t xml:space="preserve"> instituciones y en menor medida, la publicación de los perfiles y trayectorias profesionales, obligación que incumple</w:t>
      </w:r>
      <w:r w:rsidR="00285713">
        <w:t>n</w:t>
      </w:r>
      <w:r>
        <w:t xml:space="preserve"> dos instituciones.  </w:t>
      </w:r>
    </w:p>
    <w:p w:rsidR="00115E70" w:rsidRDefault="00497839" w:rsidP="005F586A">
      <w:r>
        <w:t>El</w:t>
      </w:r>
      <w:r w:rsidR="00115E70">
        <w:t xml:space="preserve"> nivel de cumplimiento en este bloque de obligaciones </w:t>
      </w:r>
      <w:r w:rsidR="00285713">
        <w:t>se sitúa en</w:t>
      </w:r>
      <w:r w:rsidR="00115E70">
        <w:t xml:space="preserve"> </w:t>
      </w:r>
      <w:r w:rsidR="00285713">
        <w:t>e</w:t>
      </w:r>
      <w:r w:rsidR="00115E70">
        <w:t xml:space="preserve">l </w:t>
      </w:r>
      <w:r w:rsidR="002248F4">
        <w:t>79,1</w:t>
      </w:r>
      <w:r w:rsidR="00115E70">
        <w:t xml:space="preserve">% como consecuencia </w:t>
      </w:r>
      <w:r w:rsidR="00285713">
        <w:t>de que menos de la mita</w:t>
      </w:r>
      <w:r w:rsidR="00734470">
        <w:t>d</w:t>
      </w:r>
      <w:r w:rsidR="00285713">
        <w:t xml:space="preserve"> de</w:t>
      </w:r>
      <w:r w:rsidR="00734470">
        <w:t xml:space="preserve"> </w:t>
      </w:r>
      <w:r w:rsidR="00285713">
        <w:t xml:space="preserve">la información está </w:t>
      </w:r>
      <w:r w:rsidR="00115E70">
        <w:t xml:space="preserve"> datada </w:t>
      </w:r>
      <w:r w:rsidR="008176A6">
        <w:t>y/</w:t>
      </w:r>
      <w:r w:rsidR="00115E70">
        <w:t xml:space="preserve">o contiene referencias a la fecha en que se revisó o  actualizó por última vez. </w:t>
      </w:r>
    </w:p>
    <w:p w:rsidR="00115E70" w:rsidRDefault="00D438E9" w:rsidP="005F586A">
      <w:r>
        <w:t>Existe una gran variabilidad en el índice de cumplimiento respecto de la información institucional y organizativa,</w:t>
      </w:r>
      <w:r w:rsidR="00734470">
        <w:t xml:space="preserve"> ya que </w:t>
      </w:r>
      <w:r>
        <w:t>el rango</w:t>
      </w:r>
      <w:r w:rsidR="00734470">
        <w:t xml:space="preserve"> de </w:t>
      </w:r>
      <w:r w:rsidR="002248F4">
        <w:t>variación se sitúa</w:t>
      </w:r>
      <w:r>
        <w:t xml:space="preserve"> entre el </w:t>
      </w:r>
      <w:r w:rsidR="002248F4">
        <w:t>90,8</w:t>
      </w:r>
      <w:r>
        <w:t xml:space="preserve"> y el </w:t>
      </w:r>
      <w:r w:rsidR="00285713">
        <w:t>63,3</w:t>
      </w:r>
      <w:r>
        <w:t xml:space="preserve">%. </w:t>
      </w:r>
      <w:r w:rsidR="003C4162">
        <w:t>Cuatro</w:t>
      </w:r>
      <w:r>
        <w:t xml:space="preserve"> de las </w:t>
      </w:r>
      <w:r w:rsidR="002248F4">
        <w:t>diez</w:t>
      </w:r>
      <w:r>
        <w:t xml:space="preserve"> instituciones alcanzan o superan el 80% de cumplimiento.</w:t>
      </w:r>
    </w:p>
    <w:p w:rsidR="00D438E9" w:rsidRDefault="00D438E9" w:rsidP="005F586A"/>
    <w:p w:rsidR="00B305DD" w:rsidRPr="00B305DD" w:rsidRDefault="00B305DD" w:rsidP="00B305DD">
      <w:pPr>
        <w:pStyle w:val="Epgrafe"/>
        <w:keepNext/>
        <w:rPr>
          <w:sz w:val="22"/>
          <w:szCs w:val="22"/>
        </w:rPr>
      </w:pPr>
      <w:r w:rsidRPr="00B305DD">
        <w:rPr>
          <w:color w:val="438086" w:themeColor="accent2"/>
          <w:sz w:val="22"/>
          <w:szCs w:val="22"/>
        </w:rPr>
        <w:lastRenderedPageBreak/>
        <w:t xml:space="preserve">Gráfico </w:t>
      </w:r>
      <w:r w:rsidRPr="00B305DD">
        <w:rPr>
          <w:color w:val="438086" w:themeColor="accent2"/>
          <w:sz w:val="22"/>
          <w:szCs w:val="22"/>
        </w:rPr>
        <w:fldChar w:fldCharType="begin"/>
      </w:r>
      <w:r w:rsidRPr="00B305DD">
        <w:rPr>
          <w:color w:val="438086" w:themeColor="accent2"/>
          <w:sz w:val="22"/>
          <w:szCs w:val="22"/>
        </w:rPr>
        <w:instrText xml:space="preserve"> SEQ Gráfico \* ARABIC </w:instrText>
      </w:r>
      <w:r w:rsidRPr="00B305DD">
        <w:rPr>
          <w:color w:val="438086" w:themeColor="accent2"/>
          <w:sz w:val="22"/>
          <w:szCs w:val="22"/>
        </w:rPr>
        <w:fldChar w:fldCharType="separate"/>
      </w:r>
      <w:r w:rsidR="00BB4D6D">
        <w:rPr>
          <w:noProof/>
          <w:color w:val="438086" w:themeColor="accent2"/>
          <w:sz w:val="22"/>
          <w:szCs w:val="22"/>
        </w:rPr>
        <w:t>1</w:t>
      </w:r>
      <w:r w:rsidRPr="00B305DD">
        <w:rPr>
          <w:color w:val="438086" w:themeColor="accent2"/>
          <w:sz w:val="22"/>
          <w:szCs w:val="22"/>
        </w:rPr>
        <w:fldChar w:fldCharType="end"/>
      </w:r>
      <w:r w:rsidRPr="00B305DD">
        <w:rPr>
          <w:color w:val="438086" w:themeColor="accent2"/>
          <w:sz w:val="22"/>
          <w:szCs w:val="22"/>
        </w:rPr>
        <w:t>: Evaluación de la publicación (contenido) y de los atributos de calid</w:t>
      </w:r>
      <w:r>
        <w:rPr>
          <w:color w:val="438086" w:themeColor="accent2"/>
          <w:sz w:val="22"/>
          <w:szCs w:val="22"/>
        </w:rPr>
        <w:t xml:space="preserve">ad de información Institucional y </w:t>
      </w:r>
      <w:r w:rsidRPr="00B305DD">
        <w:rPr>
          <w:color w:val="438086" w:themeColor="accent2"/>
          <w:sz w:val="22"/>
          <w:szCs w:val="22"/>
        </w:rPr>
        <w:t xml:space="preserve"> </w:t>
      </w:r>
      <w:r>
        <w:rPr>
          <w:color w:val="438086" w:themeColor="accent2"/>
          <w:sz w:val="22"/>
          <w:szCs w:val="22"/>
        </w:rPr>
        <w:t>Organizativa. Órganos constitucionales y de relevancia constitucional.</w:t>
      </w:r>
    </w:p>
    <w:p w:rsidR="00D438E9" w:rsidRDefault="009A7BE1" w:rsidP="005F586A">
      <w:r>
        <w:rPr>
          <w:noProof/>
        </w:rPr>
        <w:drawing>
          <wp:inline distT="0" distB="0" distL="0" distR="0" wp14:anchorId="28926671" wp14:editId="6AC59C70">
            <wp:extent cx="5704885" cy="2743200"/>
            <wp:effectExtent l="0" t="0" r="1016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3BF4" w:rsidRDefault="00053BF4" w:rsidP="005F586A"/>
    <w:p w:rsidR="00004C5D" w:rsidRDefault="008A4271" w:rsidP="008A4271">
      <w:pPr>
        <w:pStyle w:val="Ttulo3"/>
      </w:pPr>
      <w:bookmarkStart w:id="10" w:name="_Toc69312052"/>
      <w:r>
        <w:t>I</w:t>
      </w:r>
      <w:r w:rsidR="00004C5D">
        <w:t>II.2.2  Información Económica y Presupuestaria.</w:t>
      </w:r>
      <w:bookmarkEnd w:id="10"/>
    </w:p>
    <w:p w:rsidR="00004C5D" w:rsidRDefault="00004C5D" w:rsidP="00004C5D"/>
    <w:p w:rsidR="00004C5D" w:rsidRDefault="00004C5D" w:rsidP="00004C5D">
      <w:r>
        <w:t xml:space="preserve">El nivel de cumplimiento de este bloque de obligaciones desciende notoriamente respecto del bloque anterior, fundamentalmente por la omisión de publicación </w:t>
      </w:r>
      <w:r w:rsidR="00285713">
        <w:t>d</w:t>
      </w:r>
      <w:r w:rsidR="00CB6D6C">
        <w:t>e</w:t>
      </w:r>
      <w:r w:rsidR="005E1BC9">
        <w:t xml:space="preserve"> una cuarta parte</w:t>
      </w:r>
      <w:r w:rsidR="00CB6D6C">
        <w:t xml:space="preserve"> </w:t>
      </w:r>
      <w:r>
        <w:t xml:space="preserve">de las informaciones obligatorias. </w:t>
      </w:r>
      <w:r w:rsidR="00CA722F">
        <w:t xml:space="preserve">También se observa una importante variabilidad en cuanto a los contenidos que publican unas instituciones u otras: desde un </w:t>
      </w:r>
      <w:r w:rsidR="002248F4">
        <w:t xml:space="preserve">98,7 </w:t>
      </w:r>
      <w:r w:rsidR="00CA722F">
        <w:t xml:space="preserve">hasta un </w:t>
      </w:r>
      <w:r w:rsidR="00CB6D6C">
        <w:t>40</w:t>
      </w:r>
      <w:r w:rsidR="00CA722F">
        <w:t xml:space="preserve">%. </w:t>
      </w:r>
      <w:r w:rsidR="009A7BE1">
        <w:t>Seis</w:t>
      </w:r>
      <w:r w:rsidR="00CA722F">
        <w:t xml:space="preserve"> de las </w:t>
      </w:r>
      <w:r w:rsidR="002248F4">
        <w:t>diez</w:t>
      </w:r>
      <w:r w:rsidR="00CA722F">
        <w:t xml:space="preserve"> instituciones publican un 80% o más de los contenidos obligatorios.</w:t>
      </w:r>
    </w:p>
    <w:p w:rsidR="00CA722F" w:rsidRDefault="00CA722F" w:rsidP="00004C5D">
      <w:r>
        <w:t xml:space="preserve">Las informaciones que presentan un menor nivel de </w:t>
      </w:r>
      <w:r w:rsidR="008A4271">
        <w:t>publicación</w:t>
      </w:r>
      <w:r>
        <w:t xml:space="preserve"> son:</w:t>
      </w:r>
    </w:p>
    <w:p w:rsidR="00CA722F" w:rsidRDefault="008A4271" w:rsidP="00CA722F">
      <w:pPr>
        <w:pStyle w:val="Prrafodelista"/>
        <w:numPr>
          <w:ilvl w:val="0"/>
          <w:numId w:val="43"/>
        </w:numPr>
      </w:pPr>
      <w:r>
        <w:t>La información estadística sobre contratos adjudicados se</w:t>
      </w:r>
      <w:r w:rsidR="002248F4">
        <w:t xml:space="preserve">gún procedimiento de licitación. </w:t>
      </w:r>
    </w:p>
    <w:p w:rsidR="00CA722F" w:rsidRDefault="001F5549" w:rsidP="00CA722F">
      <w:pPr>
        <w:pStyle w:val="Prrafodelista"/>
        <w:numPr>
          <w:ilvl w:val="0"/>
          <w:numId w:val="43"/>
        </w:numPr>
      </w:pPr>
      <w:r>
        <w:t>L</w:t>
      </w:r>
      <w:r w:rsidR="00CA722F">
        <w:t xml:space="preserve">as indemnizaciones </w:t>
      </w:r>
      <w:r w:rsidR="00CD2637">
        <w:t>percibidas</w:t>
      </w:r>
      <w:r w:rsidR="00CA722F">
        <w:t xml:space="preserve"> </w:t>
      </w:r>
      <w:r w:rsidR="00CD2637">
        <w:t>por</w:t>
      </w:r>
      <w:r w:rsidR="00CA722F">
        <w:t xml:space="preserve"> </w:t>
      </w:r>
      <w:r w:rsidR="00A06568">
        <w:t>al</w:t>
      </w:r>
      <w:r w:rsidR="00CA722F">
        <w:t>tos cargos tras su cese</w:t>
      </w:r>
    </w:p>
    <w:p w:rsidR="00CA722F" w:rsidRDefault="00B305DD" w:rsidP="00CA722F">
      <w:pPr>
        <w:pStyle w:val="Prrafodelista"/>
        <w:numPr>
          <w:ilvl w:val="0"/>
          <w:numId w:val="43"/>
        </w:numPr>
      </w:pPr>
      <w:r>
        <w:t>Las autorizaciones de compatibilidad para el ejercicio de actividades públicas o privadas efectuadas a los empleados públicos</w:t>
      </w:r>
    </w:p>
    <w:p w:rsidR="00B305DD" w:rsidRDefault="00B305DD" w:rsidP="00B305DD">
      <w:r>
        <w:t xml:space="preserve">Respecto del bloque de información institucional y organizativa mejora </w:t>
      </w:r>
      <w:r w:rsidR="008A4271">
        <w:t>la</w:t>
      </w:r>
      <w:r>
        <w:t xml:space="preserve"> inclusión de referencias que permitan conocer si la información está actualizada. Pero en paralelo, disminuye la publicación de informaciones en los Portales de Transparencia – se redirige a fuentes centralizadas como la Plataforma de Contratación del Sector Público o la Base de Datos Nacional de Subvenciones – lo que a su vez, repercute en la accesibilidad a la información.</w:t>
      </w:r>
    </w:p>
    <w:p w:rsidR="008A4271" w:rsidRDefault="008A4271" w:rsidP="00B305DD">
      <w:r>
        <w:lastRenderedPageBreak/>
        <w:t>El índice de cumplimiento de este bloque de obligaciones supera ligeramente el 7</w:t>
      </w:r>
      <w:r w:rsidR="009A7BE1">
        <w:t>3</w:t>
      </w:r>
      <w:r>
        <w:t xml:space="preserve">%, también con una gran variabilidad: entre el 34,3 y el </w:t>
      </w:r>
      <w:r w:rsidR="005E1BC9">
        <w:t>89,8</w:t>
      </w:r>
      <w:r>
        <w:t>%. El nivel de cumplimiento alcanzado se explica además de por la falta de publicación de contenidos obligatorios, por el recurso a fuentes de datos centralizadas para la publicación de algunos contenidos y por la falta de referencias a la fecha de actualización de la información.</w:t>
      </w:r>
    </w:p>
    <w:p w:rsidR="00B305DD" w:rsidRPr="002D79EE" w:rsidRDefault="00B305DD" w:rsidP="00B305DD">
      <w:pPr>
        <w:pStyle w:val="Epgrafe"/>
        <w:keepNext/>
        <w:rPr>
          <w:color w:val="438086" w:themeColor="accent2"/>
          <w:sz w:val="22"/>
          <w:szCs w:val="22"/>
        </w:rPr>
      </w:pPr>
      <w:r w:rsidRPr="002D79EE">
        <w:rPr>
          <w:color w:val="438086" w:themeColor="accent2"/>
          <w:sz w:val="22"/>
          <w:szCs w:val="22"/>
        </w:rPr>
        <w:t xml:space="preserve">Gráfico </w:t>
      </w:r>
      <w:r w:rsidRPr="002D79EE">
        <w:rPr>
          <w:color w:val="438086" w:themeColor="accent2"/>
          <w:sz w:val="22"/>
          <w:szCs w:val="22"/>
        </w:rPr>
        <w:fldChar w:fldCharType="begin"/>
      </w:r>
      <w:r w:rsidRPr="002D79EE">
        <w:rPr>
          <w:color w:val="438086" w:themeColor="accent2"/>
          <w:sz w:val="22"/>
          <w:szCs w:val="22"/>
        </w:rPr>
        <w:instrText xml:space="preserve"> SEQ Gráfico \* ARABIC </w:instrText>
      </w:r>
      <w:r w:rsidRPr="002D79EE">
        <w:rPr>
          <w:color w:val="438086" w:themeColor="accent2"/>
          <w:sz w:val="22"/>
          <w:szCs w:val="22"/>
        </w:rPr>
        <w:fldChar w:fldCharType="separate"/>
      </w:r>
      <w:r w:rsidR="00BB4D6D">
        <w:rPr>
          <w:noProof/>
          <w:color w:val="438086" w:themeColor="accent2"/>
          <w:sz w:val="22"/>
          <w:szCs w:val="22"/>
        </w:rPr>
        <w:t>2</w:t>
      </w:r>
      <w:r w:rsidRPr="002D79EE">
        <w:rPr>
          <w:color w:val="438086" w:themeColor="accent2"/>
          <w:sz w:val="22"/>
          <w:szCs w:val="22"/>
        </w:rPr>
        <w:fldChar w:fldCharType="end"/>
      </w:r>
      <w:r w:rsidRPr="002D79EE">
        <w:rPr>
          <w:color w:val="438086" w:themeColor="accent2"/>
          <w:sz w:val="22"/>
          <w:szCs w:val="22"/>
        </w:rPr>
        <w:t xml:space="preserve">: Evaluación de la publicación (contenido) y de los atributos de calidad de información </w:t>
      </w:r>
      <w:r w:rsidR="002D79EE" w:rsidRPr="002D79EE">
        <w:rPr>
          <w:color w:val="438086" w:themeColor="accent2"/>
          <w:sz w:val="22"/>
          <w:szCs w:val="22"/>
        </w:rPr>
        <w:t>Económica y Presupuestaria. Órganos constitucionales y de relevancia constitucional</w:t>
      </w:r>
    </w:p>
    <w:p w:rsidR="00CA722F" w:rsidRPr="00004C5D" w:rsidRDefault="009A7BE1" w:rsidP="00004C5D">
      <w:r>
        <w:rPr>
          <w:noProof/>
        </w:rPr>
        <w:drawing>
          <wp:inline distT="0" distB="0" distL="0" distR="0" wp14:anchorId="457BAD23" wp14:editId="114398D0">
            <wp:extent cx="5753437" cy="2799844"/>
            <wp:effectExtent l="0" t="0" r="19050" b="196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5F66" w:rsidRDefault="00915F66" w:rsidP="002D79EE">
      <w:pPr>
        <w:pStyle w:val="Ttulo3"/>
      </w:pPr>
    </w:p>
    <w:p w:rsidR="002D79EE" w:rsidRPr="00915F66" w:rsidRDefault="002D79EE" w:rsidP="00915F66">
      <w:pPr>
        <w:pStyle w:val="Ttulo3"/>
      </w:pPr>
      <w:bookmarkStart w:id="11" w:name="_Toc69312053"/>
      <w:r w:rsidRPr="00915F66">
        <w:t>II</w:t>
      </w:r>
      <w:r w:rsidR="00915F66" w:rsidRPr="00915F66">
        <w:t>I</w:t>
      </w:r>
      <w:r w:rsidRPr="00915F66">
        <w:t>.2.3. Índice de Cumplimiento de la Información Obligatoria (ICIO)</w:t>
      </w:r>
      <w:bookmarkEnd w:id="11"/>
    </w:p>
    <w:p w:rsidR="002D79EE" w:rsidRDefault="002D79EE" w:rsidP="005F586A"/>
    <w:p w:rsidR="00004C5D" w:rsidRDefault="002D79EE" w:rsidP="005F586A">
      <w:r>
        <w:t xml:space="preserve">En promedio el Índice de cumplimiento de la información obligatoria se sitúa en el </w:t>
      </w:r>
      <w:r w:rsidR="009A7BE1">
        <w:t>75,7</w:t>
      </w:r>
      <w:r>
        <w:t xml:space="preserve">%, con un rango que varía entre el </w:t>
      </w:r>
      <w:r w:rsidR="005E1BC9">
        <w:t>87,4</w:t>
      </w:r>
      <w:r w:rsidR="00A06568">
        <w:t xml:space="preserve"> </w:t>
      </w:r>
      <w:r>
        <w:t xml:space="preserve">y el </w:t>
      </w:r>
      <w:r w:rsidR="00915F66">
        <w:t>48,6</w:t>
      </w:r>
      <w:r>
        <w:t>% de cumplimiento.</w:t>
      </w:r>
    </w:p>
    <w:p w:rsidR="002D79EE" w:rsidRDefault="002D79EE" w:rsidP="00915F66">
      <w:r>
        <w:t xml:space="preserve">A la falta de publicación de informaciones obligatorias – no se publica </w:t>
      </w:r>
      <w:r w:rsidR="002F2CAA">
        <w:t>más d</w:t>
      </w:r>
      <w:r>
        <w:t xml:space="preserve">el </w:t>
      </w:r>
      <w:r w:rsidR="005E1BC9">
        <w:t>1</w:t>
      </w:r>
      <w:r w:rsidR="009A7BE1">
        <w:t>8</w:t>
      </w:r>
      <w:r>
        <w:t xml:space="preserve">% de las informaciones – se añade la inexistencia de referencias sobre la actualización de la información y en menor medida, el recurso a fuentes centralizadas que dificultan la </w:t>
      </w:r>
      <w:r w:rsidR="001F5549">
        <w:t>localización de</w:t>
      </w:r>
      <w:r>
        <w:t xml:space="preserve"> la información.</w:t>
      </w:r>
    </w:p>
    <w:p w:rsidR="002D79EE" w:rsidRPr="002D79EE" w:rsidRDefault="002D79EE" w:rsidP="002D79EE">
      <w:pPr>
        <w:pStyle w:val="Epgrafe"/>
        <w:keepNext/>
        <w:rPr>
          <w:color w:val="438086" w:themeColor="accent2"/>
          <w:sz w:val="22"/>
          <w:szCs w:val="22"/>
        </w:rPr>
      </w:pPr>
      <w:r w:rsidRPr="002D79EE">
        <w:rPr>
          <w:color w:val="438086" w:themeColor="accent2"/>
          <w:sz w:val="22"/>
          <w:szCs w:val="22"/>
        </w:rPr>
        <w:lastRenderedPageBreak/>
        <w:t xml:space="preserve">Gráfico </w:t>
      </w:r>
      <w:r w:rsidRPr="002D79EE">
        <w:rPr>
          <w:color w:val="438086" w:themeColor="accent2"/>
          <w:sz w:val="22"/>
          <w:szCs w:val="22"/>
        </w:rPr>
        <w:fldChar w:fldCharType="begin"/>
      </w:r>
      <w:r w:rsidRPr="002D79EE">
        <w:rPr>
          <w:color w:val="438086" w:themeColor="accent2"/>
          <w:sz w:val="22"/>
          <w:szCs w:val="22"/>
        </w:rPr>
        <w:instrText xml:space="preserve"> SEQ Gráfico \* ARABIC </w:instrText>
      </w:r>
      <w:r w:rsidRPr="002D79EE">
        <w:rPr>
          <w:color w:val="438086" w:themeColor="accent2"/>
          <w:sz w:val="22"/>
          <w:szCs w:val="22"/>
        </w:rPr>
        <w:fldChar w:fldCharType="separate"/>
      </w:r>
      <w:r w:rsidR="00BB4D6D">
        <w:rPr>
          <w:noProof/>
          <w:color w:val="438086" w:themeColor="accent2"/>
          <w:sz w:val="22"/>
          <w:szCs w:val="22"/>
        </w:rPr>
        <w:t>3</w:t>
      </w:r>
      <w:r w:rsidRPr="002D79EE">
        <w:rPr>
          <w:color w:val="438086" w:themeColor="accent2"/>
          <w:sz w:val="22"/>
          <w:szCs w:val="22"/>
        </w:rPr>
        <w:fldChar w:fldCharType="end"/>
      </w:r>
      <w:r w:rsidRPr="002D79EE">
        <w:rPr>
          <w:color w:val="438086" w:themeColor="accent2"/>
          <w:sz w:val="22"/>
          <w:szCs w:val="22"/>
        </w:rPr>
        <w:t>: Índice de Cumplimiento de la Información Obligatoria. Órganos constitucionales y de relevancia constitucional.</w:t>
      </w:r>
    </w:p>
    <w:p w:rsidR="00004C5D" w:rsidRDefault="009A7BE1" w:rsidP="005F586A">
      <w:r>
        <w:rPr>
          <w:noProof/>
        </w:rPr>
        <w:drawing>
          <wp:inline distT="0" distB="0" distL="0" distR="0" wp14:anchorId="3E308293" wp14:editId="482934D2">
            <wp:extent cx="5696793" cy="2743200"/>
            <wp:effectExtent l="0" t="0" r="1841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0613" w:rsidRDefault="006C0613" w:rsidP="006C0613">
      <w:pPr>
        <w:pStyle w:val="Ttulo3"/>
      </w:pPr>
    </w:p>
    <w:p w:rsidR="004B5A06" w:rsidRDefault="004B5A06" w:rsidP="006C0613">
      <w:pPr>
        <w:pStyle w:val="Ttulo3"/>
      </w:pPr>
    </w:p>
    <w:p w:rsidR="006C0613" w:rsidRPr="00915F66" w:rsidRDefault="00915F66" w:rsidP="00915F66">
      <w:pPr>
        <w:pStyle w:val="Ttulo3"/>
      </w:pPr>
      <w:bookmarkStart w:id="12" w:name="_Toc69312054"/>
      <w:r w:rsidRPr="00915F66">
        <w:t>I</w:t>
      </w:r>
      <w:r w:rsidR="006C0613" w:rsidRPr="00915F66">
        <w:t xml:space="preserve">II.2.4. Transparencia </w:t>
      </w:r>
      <w:r w:rsidR="0040196E" w:rsidRPr="00915F66">
        <w:t>Voluntaria</w:t>
      </w:r>
      <w:r w:rsidR="006C0613" w:rsidRPr="00915F66">
        <w:t xml:space="preserve"> y Buenas  Prácticas</w:t>
      </w:r>
      <w:bookmarkEnd w:id="12"/>
    </w:p>
    <w:p w:rsidR="006C0613" w:rsidRDefault="006C0613" w:rsidP="006C0613"/>
    <w:p w:rsidR="00811B08" w:rsidRDefault="00811B08" w:rsidP="00811B08">
      <w:r>
        <w:t xml:space="preserve">Todos los organismos evaluados </w:t>
      </w:r>
      <w:r w:rsidR="008367DC">
        <w:t xml:space="preserve">de este grupo </w:t>
      </w:r>
      <w:r>
        <w:t>publican información complementaria, relevante desde el punto de vista de la transparencia, lo que constituye una muestra de su interés por hacer más transparente su gestión.</w:t>
      </w:r>
    </w:p>
    <w:p w:rsidR="00811B08" w:rsidRDefault="007A2C04" w:rsidP="00811B08">
      <w:r>
        <w:t>El siguiente cuadro</w:t>
      </w:r>
      <w:r w:rsidR="00811B08">
        <w:t xml:space="preserve"> recoge, las informaciones voluntarias adicionales a las obligatorias que se publican, ordenadas en función de la frecuencia de publicación. También se recogen otras informaciones </w:t>
      </w:r>
      <w:r>
        <w:t>voluntarias</w:t>
      </w:r>
      <w:r w:rsidR="00811B08">
        <w:t xml:space="preserve"> menos frecuentes, pero significativas respecto de la rendición de cuentas. </w:t>
      </w:r>
    </w:p>
    <w:p w:rsidR="00734470" w:rsidRDefault="00734470" w:rsidP="00811B08"/>
    <w:p w:rsidR="007A2C04" w:rsidRDefault="007A2C04" w:rsidP="00811B08"/>
    <w:p w:rsidR="007A2C04" w:rsidRDefault="007A2C04" w:rsidP="00811B08"/>
    <w:p w:rsidR="007A2C04" w:rsidRDefault="007A2C04" w:rsidP="00811B08"/>
    <w:p w:rsidR="00734470" w:rsidRDefault="00734470" w:rsidP="00811B08"/>
    <w:p w:rsidR="00734470" w:rsidRDefault="00734470" w:rsidP="00811B08"/>
    <w:p w:rsidR="00734470" w:rsidRDefault="00734470" w:rsidP="00811B08"/>
    <w:p w:rsidR="00734470" w:rsidRDefault="00734470" w:rsidP="00811B08"/>
    <w:p w:rsidR="00811B08" w:rsidRPr="000F5663" w:rsidRDefault="00811B08" w:rsidP="00811B08">
      <w:pPr>
        <w:pStyle w:val="Epgrafe"/>
        <w:keepNext/>
        <w:rPr>
          <w:color w:val="438086" w:themeColor="accent2"/>
          <w:sz w:val="22"/>
          <w:szCs w:val="22"/>
        </w:rPr>
      </w:pPr>
      <w:r w:rsidRPr="000F5663">
        <w:rPr>
          <w:color w:val="438086" w:themeColor="accent2"/>
          <w:sz w:val="22"/>
          <w:szCs w:val="22"/>
        </w:rPr>
        <w:lastRenderedPageBreak/>
        <w:t xml:space="preserve">Cuadro </w:t>
      </w:r>
      <w:r w:rsidRPr="000F5663">
        <w:rPr>
          <w:color w:val="438086" w:themeColor="accent2"/>
          <w:sz w:val="22"/>
          <w:szCs w:val="22"/>
        </w:rPr>
        <w:fldChar w:fldCharType="begin"/>
      </w:r>
      <w:r w:rsidRPr="000F5663">
        <w:rPr>
          <w:color w:val="438086" w:themeColor="accent2"/>
          <w:sz w:val="22"/>
          <w:szCs w:val="22"/>
        </w:rPr>
        <w:instrText xml:space="preserve"> SEQ Cuadro \* ARABIC </w:instrText>
      </w:r>
      <w:r w:rsidRPr="000F5663">
        <w:rPr>
          <w:color w:val="438086" w:themeColor="accent2"/>
          <w:sz w:val="22"/>
          <w:szCs w:val="22"/>
        </w:rPr>
        <w:fldChar w:fldCharType="separate"/>
      </w:r>
      <w:r w:rsidR="00DD555A">
        <w:rPr>
          <w:noProof/>
          <w:color w:val="438086" w:themeColor="accent2"/>
          <w:sz w:val="22"/>
          <w:szCs w:val="22"/>
        </w:rPr>
        <w:t>2</w:t>
      </w:r>
      <w:r w:rsidRPr="000F5663">
        <w:rPr>
          <w:color w:val="438086" w:themeColor="accent2"/>
          <w:sz w:val="22"/>
          <w:szCs w:val="22"/>
        </w:rPr>
        <w:fldChar w:fldCharType="end"/>
      </w:r>
      <w:r w:rsidRPr="000F5663">
        <w:rPr>
          <w:color w:val="438086" w:themeColor="accent2"/>
          <w:sz w:val="22"/>
          <w:szCs w:val="22"/>
        </w:rPr>
        <w:t>: Transparencia Voluntaria en los Órganos Constitucionales y de relevancia Constitucional</w:t>
      </w:r>
    </w:p>
    <w:tbl>
      <w:tblPr>
        <w:tblStyle w:val="Listavistosa-nfasis2"/>
        <w:tblW w:w="9889" w:type="dxa"/>
        <w:tblLook w:val="04A0" w:firstRow="1" w:lastRow="0" w:firstColumn="1" w:lastColumn="0" w:noHBand="0" w:noVBand="1"/>
      </w:tblPr>
      <w:tblGrid>
        <w:gridCol w:w="5440"/>
        <w:gridCol w:w="4449"/>
      </w:tblGrid>
      <w:tr w:rsidR="00811B08" w:rsidRPr="00596EDD" w:rsidTr="00811B0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811B08" w:rsidP="00811B08">
            <w:pPr>
              <w:jc w:val="center"/>
              <w:rPr>
                <w:sz w:val="18"/>
                <w:szCs w:val="18"/>
              </w:rPr>
            </w:pPr>
            <w:r w:rsidRPr="00596EDD">
              <w:rPr>
                <w:sz w:val="18"/>
                <w:szCs w:val="18"/>
              </w:rPr>
              <w:t>Información</w:t>
            </w:r>
          </w:p>
        </w:tc>
        <w:tc>
          <w:tcPr>
            <w:tcW w:w="4449" w:type="dxa"/>
            <w:noWrap/>
          </w:tcPr>
          <w:p w:rsidR="00811B08" w:rsidRPr="00596EDD" w:rsidRDefault="00811B08" w:rsidP="00811B08">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6EDD">
              <w:rPr>
                <w:sz w:val="18"/>
                <w:szCs w:val="18"/>
              </w:rPr>
              <w:t>Entidades</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811B08" w:rsidP="00811B08">
            <w:pPr>
              <w:rPr>
                <w:b w:val="0"/>
                <w:sz w:val="18"/>
                <w:szCs w:val="18"/>
              </w:rPr>
            </w:pPr>
            <w:r w:rsidRPr="00596EDD">
              <w:rPr>
                <w:b w:val="0"/>
                <w:sz w:val="18"/>
                <w:szCs w:val="18"/>
              </w:rPr>
              <w:t xml:space="preserve">Agendas </w:t>
            </w:r>
          </w:p>
        </w:tc>
        <w:tc>
          <w:tcPr>
            <w:tcW w:w="4449" w:type="dxa"/>
            <w:noWrap/>
            <w:hideMark/>
          </w:tcPr>
          <w:p w:rsidR="00811B08" w:rsidRPr="00596EDD" w:rsidRDefault="000E1511" w:rsidP="005E1BC9">
            <w:pPr>
              <w:cnfStyle w:val="000000100000" w:firstRow="0" w:lastRow="0" w:firstColumn="0" w:lastColumn="0" w:oddVBand="0" w:evenVBand="0" w:oddHBand="1" w:evenHBand="0" w:firstRowFirstColumn="0" w:firstRowLastColumn="0" w:lastRowFirstColumn="0" w:lastRowLastColumn="0"/>
              <w:rPr>
                <w:sz w:val="18"/>
                <w:szCs w:val="18"/>
              </w:rPr>
            </w:pPr>
            <w:r w:rsidRPr="000E1511">
              <w:rPr>
                <w:sz w:val="18"/>
                <w:szCs w:val="18"/>
              </w:rPr>
              <w:t>Casa Real, CGPJ, Congreso, CES, Consejo de Estado, Defensor, FGE, Senado</w:t>
            </w:r>
          </w:p>
        </w:tc>
      </w:tr>
      <w:tr w:rsidR="000E1511"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0E1511" w:rsidRPr="00596EDD" w:rsidRDefault="000E1511" w:rsidP="00811B08">
            <w:pPr>
              <w:rPr>
                <w:b w:val="0"/>
                <w:sz w:val="18"/>
                <w:szCs w:val="18"/>
              </w:rPr>
            </w:pPr>
            <w:r w:rsidRPr="00596EDD">
              <w:rPr>
                <w:b w:val="0"/>
                <w:sz w:val="18"/>
                <w:szCs w:val="18"/>
              </w:rPr>
              <w:t>Código ético o de conducta</w:t>
            </w:r>
          </w:p>
        </w:tc>
        <w:tc>
          <w:tcPr>
            <w:tcW w:w="4449" w:type="dxa"/>
            <w:noWrap/>
          </w:tcPr>
          <w:p w:rsidR="000E1511" w:rsidRPr="00596EDD" w:rsidRDefault="000E1511" w:rsidP="005E1BC9">
            <w:pPr>
              <w:cnfStyle w:val="000000000000" w:firstRow="0" w:lastRow="0" w:firstColumn="0" w:lastColumn="0" w:oddVBand="0" w:evenVBand="0" w:oddHBand="0" w:evenHBand="0" w:firstRowFirstColumn="0" w:firstRowLastColumn="0" w:lastRowFirstColumn="0" w:lastRowLastColumn="0"/>
              <w:rPr>
                <w:sz w:val="18"/>
                <w:szCs w:val="18"/>
              </w:rPr>
            </w:pPr>
            <w:r w:rsidRPr="000E1511">
              <w:rPr>
                <w:sz w:val="18"/>
                <w:szCs w:val="18"/>
              </w:rPr>
              <w:t>Casa Real, CGPJ, Consejo de Estado, Senado, FGE</w:t>
            </w:r>
          </w:p>
        </w:tc>
      </w:tr>
      <w:tr w:rsidR="00F279CA" w:rsidRPr="00F279CA"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F279CA" w:rsidRPr="00F279CA" w:rsidRDefault="00F279CA" w:rsidP="00B529FF">
            <w:pPr>
              <w:rPr>
                <w:b w:val="0"/>
                <w:sz w:val="18"/>
                <w:szCs w:val="18"/>
              </w:rPr>
            </w:pPr>
            <w:r w:rsidRPr="00F279CA">
              <w:rPr>
                <w:b w:val="0"/>
                <w:sz w:val="18"/>
                <w:szCs w:val="18"/>
              </w:rPr>
              <w:t xml:space="preserve">Convocatorias provisión de puestos, </w:t>
            </w:r>
            <w:proofErr w:type="spellStart"/>
            <w:r w:rsidRPr="00F279CA">
              <w:rPr>
                <w:b w:val="0"/>
                <w:sz w:val="18"/>
                <w:szCs w:val="18"/>
              </w:rPr>
              <w:t>RPTs</w:t>
            </w:r>
            <w:proofErr w:type="spellEnd"/>
            <w:r w:rsidRPr="00F279CA">
              <w:rPr>
                <w:b w:val="0"/>
                <w:sz w:val="18"/>
                <w:szCs w:val="18"/>
              </w:rPr>
              <w:t>, otra información relativa a los recursos humanos de la institución</w:t>
            </w:r>
          </w:p>
        </w:tc>
        <w:tc>
          <w:tcPr>
            <w:tcW w:w="4449" w:type="dxa"/>
            <w:noWrap/>
          </w:tcPr>
          <w:p w:rsidR="00F279CA" w:rsidRPr="00F279CA" w:rsidRDefault="00F279CA" w:rsidP="00B529FF">
            <w:pPr>
              <w:cnfStyle w:val="000000100000" w:firstRow="0" w:lastRow="0" w:firstColumn="0" w:lastColumn="0" w:oddVBand="0" w:evenVBand="0" w:oddHBand="1" w:evenHBand="0" w:firstRowFirstColumn="0" w:firstRowLastColumn="0" w:lastRowFirstColumn="0" w:lastRowLastColumn="0"/>
              <w:rPr>
                <w:bCs/>
                <w:sz w:val="18"/>
                <w:szCs w:val="18"/>
              </w:rPr>
            </w:pPr>
            <w:r w:rsidRPr="00F279CA">
              <w:rPr>
                <w:bCs/>
                <w:sz w:val="18"/>
                <w:szCs w:val="18"/>
              </w:rPr>
              <w:t xml:space="preserve">CGPJ,TCU,TC, Congreso, Consejo de Estado, Defensor, </w:t>
            </w:r>
          </w:p>
        </w:tc>
      </w:tr>
      <w:tr w:rsidR="000E1511"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0E1511" w:rsidRPr="00596EDD" w:rsidRDefault="000E1511" w:rsidP="00811B08">
            <w:pPr>
              <w:rPr>
                <w:b w:val="0"/>
                <w:sz w:val="18"/>
                <w:szCs w:val="18"/>
              </w:rPr>
            </w:pPr>
            <w:r>
              <w:rPr>
                <w:b w:val="0"/>
                <w:sz w:val="18"/>
                <w:szCs w:val="18"/>
              </w:rPr>
              <w:t>Bienes patrimoniales</w:t>
            </w:r>
          </w:p>
        </w:tc>
        <w:tc>
          <w:tcPr>
            <w:tcW w:w="4449" w:type="dxa"/>
            <w:noWrap/>
          </w:tcPr>
          <w:p w:rsidR="000E1511" w:rsidRPr="00596EDD" w:rsidRDefault="000E1511" w:rsidP="005E1BC9">
            <w:pPr>
              <w:cnfStyle w:val="000000000000" w:firstRow="0" w:lastRow="0" w:firstColumn="0" w:lastColumn="0" w:oddVBand="0" w:evenVBand="0" w:oddHBand="0" w:evenHBand="0" w:firstRowFirstColumn="0" w:firstRowLastColumn="0" w:lastRowFirstColumn="0" w:lastRowLastColumn="0"/>
              <w:rPr>
                <w:sz w:val="18"/>
                <w:szCs w:val="18"/>
              </w:rPr>
            </w:pPr>
            <w:r w:rsidRPr="000E1511">
              <w:rPr>
                <w:sz w:val="18"/>
                <w:szCs w:val="18"/>
              </w:rPr>
              <w:t>CGPJ, Congreso, Consejo de Estado, TCU, Senado</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811B08" w:rsidP="00811B08">
            <w:pPr>
              <w:rPr>
                <w:b w:val="0"/>
                <w:sz w:val="18"/>
                <w:szCs w:val="18"/>
              </w:rPr>
            </w:pPr>
            <w:r w:rsidRPr="00596EDD">
              <w:rPr>
                <w:b w:val="0"/>
                <w:sz w:val="18"/>
                <w:szCs w:val="18"/>
              </w:rPr>
              <w:t xml:space="preserve">Actas y acuerdos </w:t>
            </w:r>
          </w:p>
        </w:tc>
        <w:tc>
          <w:tcPr>
            <w:tcW w:w="4449" w:type="dxa"/>
            <w:noWrap/>
          </w:tcPr>
          <w:p w:rsidR="00811B08" w:rsidRPr="00596EDD" w:rsidRDefault="000E1511" w:rsidP="00811B08">
            <w:pPr>
              <w:cnfStyle w:val="000000100000" w:firstRow="0" w:lastRow="0" w:firstColumn="0" w:lastColumn="0" w:oddVBand="0" w:evenVBand="0" w:oddHBand="1" w:evenHBand="0" w:firstRowFirstColumn="0" w:firstRowLastColumn="0" w:lastRowFirstColumn="0" w:lastRowLastColumn="0"/>
              <w:rPr>
                <w:sz w:val="18"/>
                <w:szCs w:val="18"/>
              </w:rPr>
            </w:pPr>
            <w:r w:rsidRPr="000E1511">
              <w:rPr>
                <w:sz w:val="18"/>
                <w:szCs w:val="18"/>
              </w:rPr>
              <w:t>CGPJ, FGE,  TC, Consejo de Estado</w:t>
            </w:r>
          </w:p>
        </w:tc>
      </w:tr>
      <w:tr w:rsidR="000E1511"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0E1511" w:rsidRPr="00596EDD" w:rsidRDefault="000E1511" w:rsidP="00811B08">
            <w:pPr>
              <w:rPr>
                <w:b w:val="0"/>
                <w:sz w:val="18"/>
                <w:szCs w:val="18"/>
              </w:rPr>
            </w:pPr>
            <w:r>
              <w:rPr>
                <w:b w:val="0"/>
                <w:sz w:val="18"/>
                <w:szCs w:val="18"/>
              </w:rPr>
              <w:t>Declaraciones de actividades y bienes de los máximos responsables</w:t>
            </w:r>
          </w:p>
        </w:tc>
        <w:tc>
          <w:tcPr>
            <w:tcW w:w="4449" w:type="dxa"/>
            <w:noWrap/>
          </w:tcPr>
          <w:p w:rsidR="000E1511" w:rsidRPr="00596EDD" w:rsidRDefault="000E1511" w:rsidP="00811B08">
            <w:pPr>
              <w:cnfStyle w:val="000000000000" w:firstRow="0" w:lastRow="0" w:firstColumn="0" w:lastColumn="0" w:oddVBand="0" w:evenVBand="0" w:oddHBand="0" w:evenHBand="0" w:firstRowFirstColumn="0" w:firstRowLastColumn="0" w:lastRowFirstColumn="0" w:lastRowLastColumn="0"/>
              <w:rPr>
                <w:sz w:val="18"/>
                <w:szCs w:val="18"/>
              </w:rPr>
            </w:pPr>
            <w:r w:rsidRPr="000E1511">
              <w:rPr>
                <w:sz w:val="18"/>
                <w:szCs w:val="18"/>
              </w:rPr>
              <w:t>CGPJ, Congreso, Senado</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811B08" w:rsidP="00811B08">
            <w:pPr>
              <w:rPr>
                <w:b w:val="0"/>
                <w:sz w:val="18"/>
                <w:szCs w:val="18"/>
              </w:rPr>
            </w:pPr>
            <w:r w:rsidRPr="00596EDD">
              <w:rPr>
                <w:b w:val="0"/>
                <w:sz w:val="18"/>
                <w:szCs w:val="18"/>
              </w:rPr>
              <w:t>Gastos de viajes</w:t>
            </w:r>
          </w:p>
        </w:tc>
        <w:tc>
          <w:tcPr>
            <w:tcW w:w="4449" w:type="dxa"/>
            <w:noWrap/>
          </w:tcPr>
          <w:p w:rsidR="00811B08" w:rsidRPr="00596EDD" w:rsidRDefault="000E1511" w:rsidP="00811B08">
            <w:pPr>
              <w:cnfStyle w:val="000000100000" w:firstRow="0" w:lastRow="0" w:firstColumn="0" w:lastColumn="0" w:oddVBand="0" w:evenVBand="0" w:oddHBand="1" w:evenHBand="0" w:firstRowFirstColumn="0" w:firstRowLastColumn="0" w:lastRowFirstColumn="0" w:lastRowLastColumn="0"/>
              <w:rPr>
                <w:sz w:val="18"/>
                <w:szCs w:val="18"/>
              </w:rPr>
            </w:pPr>
            <w:r w:rsidRPr="000E1511">
              <w:rPr>
                <w:sz w:val="18"/>
                <w:szCs w:val="18"/>
              </w:rPr>
              <w:t>CGPJ, Congreso, Defensor</w:t>
            </w:r>
          </w:p>
        </w:tc>
      </w:tr>
      <w:tr w:rsidR="00811B08"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F279CA" w:rsidP="00811B08">
            <w:pPr>
              <w:rPr>
                <w:b w:val="0"/>
                <w:sz w:val="18"/>
                <w:szCs w:val="18"/>
              </w:rPr>
            </w:pPr>
            <w:r>
              <w:rPr>
                <w:b w:val="0"/>
                <w:sz w:val="18"/>
                <w:szCs w:val="18"/>
              </w:rPr>
              <w:t>Vehículos</w:t>
            </w:r>
          </w:p>
        </w:tc>
        <w:tc>
          <w:tcPr>
            <w:tcW w:w="4449" w:type="dxa"/>
            <w:noWrap/>
          </w:tcPr>
          <w:p w:rsidR="00811B08" w:rsidRPr="00596EDD" w:rsidRDefault="00F279CA" w:rsidP="00811B08">
            <w:pPr>
              <w:cnfStyle w:val="000000000000" w:firstRow="0" w:lastRow="0" w:firstColumn="0" w:lastColumn="0" w:oddVBand="0" w:evenVBand="0" w:oddHBand="0" w:evenHBand="0" w:firstRowFirstColumn="0" w:firstRowLastColumn="0" w:lastRowFirstColumn="0" w:lastRowLastColumn="0"/>
              <w:rPr>
                <w:sz w:val="18"/>
                <w:szCs w:val="18"/>
              </w:rPr>
            </w:pPr>
            <w:r w:rsidRPr="00F279CA">
              <w:rPr>
                <w:sz w:val="18"/>
                <w:szCs w:val="18"/>
              </w:rPr>
              <w:t>CGPJ, Consejo de Estado, Defensor</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F279CA" w:rsidP="00F279CA">
            <w:pPr>
              <w:rPr>
                <w:b w:val="0"/>
                <w:sz w:val="18"/>
                <w:szCs w:val="18"/>
              </w:rPr>
            </w:pPr>
            <w:r>
              <w:rPr>
                <w:b w:val="0"/>
                <w:sz w:val="18"/>
                <w:szCs w:val="18"/>
              </w:rPr>
              <w:t>Gastos protocolarios</w:t>
            </w:r>
          </w:p>
        </w:tc>
        <w:tc>
          <w:tcPr>
            <w:tcW w:w="4449" w:type="dxa"/>
            <w:noWrap/>
          </w:tcPr>
          <w:p w:rsidR="00811B08" w:rsidRPr="00596EDD" w:rsidRDefault="00F279CA" w:rsidP="00811B08">
            <w:pPr>
              <w:cnfStyle w:val="000000100000" w:firstRow="0" w:lastRow="0" w:firstColumn="0" w:lastColumn="0" w:oddVBand="0" w:evenVBand="0" w:oddHBand="1" w:evenHBand="0" w:firstRowFirstColumn="0" w:firstRowLastColumn="0" w:lastRowFirstColumn="0" w:lastRowLastColumn="0"/>
              <w:rPr>
                <w:sz w:val="18"/>
                <w:szCs w:val="18"/>
              </w:rPr>
            </w:pPr>
            <w:r w:rsidRPr="00F279CA">
              <w:rPr>
                <w:sz w:val="18"/>
                <w:szCs w:val="18"/>
              </w:rPr>
              <w:t>CGPJ, Defensor (supresión de estos gastos)</w:t>
            </w:r>
          </w:p>
        </w:tc>
      </w:tr>
      <w:tr w:rsidR="00811B08"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F279CA" w:rsidP="00811B08">
            <w:pPr>
              <w:rPr>
                <w:b w:val="0"/>
                <w:sz w:val="18"/>
                <w:szCs w:val="18"/>
              </w:rPr>
            </w:pPr>
            <w:r w:rsidRPr="00F279CA">
              <w:rPr>
                <w:b w:val="0"/>
                <w:sz w:val="18"/>
                <w:szCs w:val="18"/>
              </w:rPr>
              <w:t>Identificación personas que dirigen unidades administrativas</w:t>
            </w:r>
          </w:p>
        </w:tc>
        <w:tc>
          <w:tcPr>
            <w:tcW w:w="4449" w:type="dxa"/>
            <w:noWrap/>
          </w:tcPr>
          <w:p w:rsidR="00811B08" w:rsidRPr="00596EDD" w:rsidRDefault="00F279CA" w:rsidP="00811B0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Casa Real, TC, Senado, Defensor</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811B08" w:rsidP="00811B08">
            <w:pPr>
              <w:rPr>
                <w:b w:val="0"/>
                <w:sz w:val="18"/>
                <w:szCs w:val="18"/>
              </w:rPr>
            </w:pPr>
            <w:r w:rsidRPr="00596EDD">
              <w:rPr>
                <w:b w:val="0"/>
                <w:sz w:val="18"/>
                <w:szCs w:val="18"/>
              </w:rPr>
              <w:t xml:space="preserve">informes de evaluaciones externas </w:t>
            </w:r>
          </w:p>
        </w:tc>
        <w:tc>
          <w:tcPr>
            <w:tcW w:w="4449" w:type="dxa"/>
            <w:noWrap/>
          </w:tcPr>
          <w:p w:rsidR="00811B08" w:rsidRPr="00596EDD" w:rsidRDefault="00F279CA" w:rsidP="00811B0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TCU</w:t>
            </w:r>
          </w:p>
        </w:tc>
      </w:tr>
      <w:tr w:rsidR="00811B08" w:rsidRPr="00596EDD" w:rsidTr="00811B08">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F279CA" w:rsidP="00811B08">
            <w:pPr>
              <w:rPr>
                <w:b w:val="0"/>
                <w:sz w:val="18"/>
                <w:szCs w:val="18"/>
              </w:rPr>
            </w:pPr>
            <w:r>
              <w:rPr>
                <w:b w:val="0"/>
                <w:sz w:val="18"/>
                <w:szCs w:val="18"/>
              </w:rPr>
              <w:t>Gastos en actividades internacionales</w:t>
            </w:r>
          </w:p>
        </w:tc>
        <w:tc>
          <w:tcPr>
            <w:tcW w:w="4449" w:type="dxa"/>
            <w:noWrap/>
            <w:hideMark/>
          </w:tcPr>
          <w:p w:rsidR="00811B08" w:rsidRPr="00596EDD" w:rsidRDefault="00F279CA" w:rsidP="00811B0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Congreso</w:t>
            </w:r>
          </w:p>
        </w:tc>
      </w:tr>
      <w:tr w:rsidR="00F279CA" w:rsidRPr="00F279CA"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tcPr>
          <w:p w:rsidR="00F279CA" w:rsidRPr="00F279CA" w:rsidRDefault="00F279CA" w:rsidP="00B529FF">
            <w:pPr>
              <w:rPr>
                <w:b w:val="0"/>
                <w:sz w:val="18"/>
                <w:szCs w:val="18"/>
              </w:rPr>
            </w:pPr>
            <w:r w:rsidRPr="00F279CA">
              <w:rPr>
                <w:b w:val="0"/>
                <w:sz w:val="18"/>
                <w:szCs w:val="18"/>
              </w:rPr>
              <w:t xml:space="preserve">Obsequios percibidos </w:t>
            </w:r>
          </w:p>
        </w:tc>
        <w:tc>
          <w:tcPr>
            <w:tcW w:w="4449" w:type="dxa"/>
            <w:noWrap/>
          </w:tcPr>
          <w:p w:rsidR="00F279CA" w:rsidRPr="00F279CA" w:rsidRDefault="00F279CA" w:rsidP="00B529FF">
            <w:pPr>
              <w:cnfStyle w:val="000000100000" w:firstRow="0" w:lastRow="0" w:firstColumn="0" w:lastColumn="0" w:oddVBand="0" w:evenVBand="0" w:oddHBand="1" w:evenHBand="0" w:firstRowFirstColumn="0" w:firstRowLastColumn="0" w:lastRowFirstColumn="0" w:lastRowLastColumn="0"/>
              <w:rPr>
                <w:sz w:val="18"/>
                <w:szCs w:val="18"/>
              </w:rPr>
            </w:pPr>
            <w:r w:rsidRPr="00F279CA">
              <w:rPr>
                <w:sz w:val="18"/>
                <w:szCs w:val="18"/>
              </w:rPr>
              <w:t>Casa Real (normativa), CGPJ, Congreso</w:t>
            </w:r>
          </w:p>
        </w:tc>
      </w:tr>
      <w:tr w:rsidR="00811B08" w:rsidRPr="00F279CA" w:rsidTr="00811B08">
        <w:trPr>
          <w:trHeight w:val="300"/>
        </w:trPr>
        <w:tc>
          <w:tcPr>
            <w:cnfStyle w:val="001000000000" w:firstRow="0" w:lastRow="0" w:firstColumn="1" w:lastColumn="0" w:oddVBand="0" w:evenVBand="0" w:oddHBand="0" w:evenHBand="0" w:firstRowFirstColumn="0" w:firstRowLastColumn="0" w:lastRowFirstColumn="0" w:lastRowLastColumn="0"/>
            <w:tcW w:w="5440" w:type="dxa"/>
            <w:noWrap/>
          </w:tcPr>
          <w:p w:rsidR="00811B08" w:rsidRPr="00596EDD" w:rsidRDefault="00F279CA" w:rsidP="00811B08">
            <w:pPr>
              <w:rPr>
                <w:b w:val="0"/>
                <w:sz w:val="18"/>
                <w:szCs w:val="18"/>
              </w:rPr>
            </w:pPr>
            <w:r>
              <w:rPr>
                <w:b w:val="0"/>
                <w:sz w:val="18"/>
                <w:szCs w:val="18"/>
              </w:rPr>
              <w:t>Información sobre actividades desarrolladas</w:t>
            </w:r>
          </w:p>
        </w:tc>
        <w:tc>
          <w:tcPr>
            <w:tcW w:w="4449" w:type="dxa"/>
            <w:noWrap/>
          </w:tcPr>
          <w:p w:rsidR="00811B08" w:rsidRPr="00F279CA" w:rsidRDefault="00F279CA" w:rsidP="005E1BC9">
            <w:pPr>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CGPJ, Defensor, TC, FGE</w:t>
            </w:r>
          </w:p>
        </w:tc>
      </w:tr>
      <w:tr w:rsidR="00B529FF"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tcPr>
          <w:p w:rsidR="00B529FF" w:rsidRDefault="00B529FF" w:rsidP="00811B08">
            <w:pPr>
              <w:rPr>
                <w:b w:val="0"/>
                <w:sz w:val="18"/>
                <w:szCs w:val="18"/>
              </w:rPr>
            </w:pPr>
            <w:r>
              <w:rPr>
                <w:b w:val="0"/>
                <w:sz w:val="18"/>
                <w:szCs w:val="18"/>
              </w:rPr>
              <w:t>Contratación de emergencia COVID-19</w:t>
            </w:r>
          </w:p>
        </w:tc>
        <w:tc>
          <w:tcPr>
            <w:tcW w:w="4449" w:type="dxa"/>
            <w:noWrap/>
          </w:tcPr>
          <w:p w:rsidR="00B529FF" w:rsidRDefault="00B529FF" w:rsidP="00811B0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TC</w:t>
            </w:r>
          </w:p>
        </w:tc>
      </w:tr>
      <w:tr w:rsidR="00811B08" w:rsidRPr="00596EDD" w:rsidTr="00811B08">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B529FF" w:rsidP="00811B08">
            <w:pPr>
              <w:rPr>
                <w:b w:val="0"/>
                <w:sz w:val="18"/>
                <w:szCs w:val="18"/>
              </w:rPr>
            </w:pPr>
            <w:r>
              <w:rPr>
                <w:b w:val="0"/>
                <w:sz w:val="18"/>
                <w:szCs w:val="18"/>
              </w:rPr>
              <w:t>Planes y Programas</w:t>
            </w:r>
          </w:p>
        </w:tc>
        <w:tc>
          <w:tcPr>
            <w:tcW w:w="4449" w:type="dxa"/>
            <w:noWrap/>
            <w:hideMark/>
          </w:tcPr>
          <w:p w:rsidR="00811B08" w:rsidRPr="00596EDD" w:rsidRDefault="00B529FF" w:rsidP="00811B0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TCU</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B529FF" w:rsidP="00811B08">
            <w:pPr>
              <w:rPr>
                <w:b w:val="0"/>
                <w:sz w:val="18"/>
                <w:szCs w:val="18"/>
              </w:rPr>
            </w:pPr>
            <w:r>
              <w:rPr>
                <w:b w:val="0"/>
                <w:sz w:val="18"/>
                <w:szCs w:val="18"/>
              </w:rPr>
              <w:t>Compromisos de Calidad y Transparencia</w:t>
            </w:r>
          </w:p>
        </w:tc>
        <w:tc>
          <w:tcPr>
            <w:tcW w:w="4449" w:type="dxa"/>
            <w:noWrap/>
            <w:hideMark/>
          </w:tcPr>
          <w:p w:rsidR="00811B08" w:rsidRPr="00596EDD" w:rsidRDefault="00B529FF" w:rsidP="00811B0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Senado</w:t>
            </w:r>
          </w:p>
        </w:tc>
      </w:tr>
      <w:tr w:rsidR="00811B08" w:rsidRPr="00596EDD" w:rsidTr="00811B08">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B529FF" w:rsidP="00811B08">
            <w:pPr>
              <w:rPr>
                <w:b w:val="0"/>
                <w:sz w:val="18"/>
                <w:szCs w:val="18"/>
              </w:rPr>
            </w:pPr>
            <w:r>
              <w:rPr>
                <w:b w:val="0"/>
                <w:sz w:val="18"/>
                <w:szCs w:val="18"/>
              </w:rPr>
              <w:t xml:space="preserve">Anticipos de Caja Fija </w:t>
            </w:r>
          </w:p>
        </w:tc>
        <w:tc>
          <w:tcPr>
            <w:tcW w:w="4449" w:type="dxa"/>
            <w:noWrap/>
            <w:hideMark/>
          </w:tcPr>
          <w:p w:rsidR="00811B08" w:rsidRPr="00596EDD" w:rsidRDefault="00B529FF" w:rsidP="00811B0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FGE</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811B08" w:rsidRPr="00596EDD" w:rsidRDefault="00B529FF" w:rsidP="00811B08">
            <w:pPr>
              <w:rPr>
                <w:b w:val="0"/>
                <w:sz w:val="18"/>
                <w:szCs w:val="18"/>
              </w:rPr>
            </w:pPr>
            <w:r w:rsidRPr="00B529FF">
              <w:rPr>
                <w:b w:val="0"/>
                <w:sz w:val="18"/>
                <w:szCs w:val="18"/>
              </w:rPr>
              <w:t>Currículum y vídeos de las entrevistas de los/as candidatos/as de procesos selectivos de nombramientos discrecionales en órganos judiciales</w:t>
            </w:r>
          </w:p>
        </w:tc>
        <w:tc>
          <w:tcPr>
            <w:tcW w:w="4449" w:type="dxa"/>
            <w:noWrap/>
            <w:hideMark/>
          </w:tcPr>
          <w:p w:rsidR="00811B08" w:rsidRPr="00596EDD" w:rsidRDefault="00B529FF" w:rsidP="00811B0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CGPJ</w:t>
            </w:r>
          </w:p>
        </w:tc>
      </w:tr>
    </w:tbl>
    <w:p w:rsidR="00811B08" w:rsidRDefault="00811B08" w:rsidP="00811B08"/>
    <w:p w:rsidR="00811B08" w:rsidRDefault="00811B08" w:rsidP="00811B08">
      <w:r>
        <w:t>Las organizaciones evaluadas t</w:t>
      </w:r>
      <w:r w:rsidRPr="006D0307">
        <w:t xml:space="preserve">ambién </w:t>
      </w:r>
      <w:r>
        <w:t xml:space="preserve">acreditan buenas prácticas en relación con el cumplimiento de las obligaciones de publicidad activa que podrían ser aplicadas por otros sujetos obligados. </w:t>
      </w:r>
      <w:r w:rsidR="007A2C04">
        <w:t>El siguiente cuadro</w:t>
      </w:r>
      <w:r>
        <w:t xml:space="preserve"> resume las buenas prácticas localizadas en el transcurso de la evaluación de los Portales de Transparencia.</w:t>
      </w:r>
    </w:p>
    <w:p w:rsidR="00811B08" w:rsidRDefault="00811B08" w:rsidP="00811B08">
      <w:pPr>
        <w:pStyle w:val="Ttulo2"/>
      </w:pPr>
    </w:p>
    <w:p w:rsidR="00811B08" w:rsidRDefault="00811B08" w:rsidP="00811B08"/>
    <w:p w:rsidR="00811B08" w:rsidRDefault="00811B08" w:rsidP="00811B08"/>
    <w:p w:rsidR="00811B08" w:rsidRDefault="00811B08" w:rsidP="00811B08"/>
    <w:p w:rsidR="00811B08" w:rsidRPr="00596EDD" w:rsidRDefault="00811B08" w:rsidP="00811B08"/>
    <w:p w:rsidR="00FF20A2" w:rsidRPr="000F5663" w:rsidRDefault="00FF20A2" w:rsidP="00FF20A2">
      <w:pPr>
        <w:pStyle w:val="Epgrafe"/>
        <w:keepNext/>
        <w:rPr>
          <w:color w:val="438086" w:themeColor="accent2"/>
          <w:sz w:val="22"/>
          <w:szCs w:val="22"/>
        </w:rPr>
      </w:pPr>
      <w:r w:rsidRPr="000F5663">
        <w:rPr>
          <w:color w:val="438086" w:themeColor="accent2"/>
          <w:sz w:val="22"/>
          <w:szCs w:val="22"/>
        </w:rPr>
        <w:lastRenderedPageBreak/>
        <w:t xml:space="preserve">Cuadro </w:t>
      </w:r>
      <w:r w:rsidRPr="000F5663">
        <w:rPr>
          <w:color w:val="438086" w:themeColor="accent2"/>
          <w:sz w:val="22"/>
          <w:szCs w:val="22"/>
        </w:rPr>
        <w:fldChar w:fldCharType="begin"/>
      </w:r>
      <w:r w:rsidRPr="000F5663">
        <w:rPr>
          <w:color w:val="438086" w:themeColor="accent2"/>
          <w:sz w:val="22"/>
          <w:szCs w:val="22"/>
        </w:rPr>
        <w:instrText xml:space="preserve"> SEQ Cuadro \* ARABIC </w:instrText>
      </w:r>
      <w:r w:rsidRPr="000F5663">
        <w:rPr>
          <w:color w:val="438086" w:themeColor="accent2"/>
          <w:sz w:val="22"/>
          <w:szCs w:val="22"/>
        </w:rPr>
        <w:fldChar w:fldCharType="separate"/>
      </w:r>
      <w:r w:rsidR="00DD555A">
        <w:rPr>
          <w:noProof/>
          <w:color w:val="438086" w:themeColor="accent2"/>
          <w:sz w:val="22"/>
          <w:szCs w:val="22"/>
        </w:rPr>
        <w:t>3</w:t>
      </w:r>
      <w:r w:rsidRPr="000F5663">
        <w:rPr>
          <w:color w:val="438086" w:themeColor="accent2"/>
          <w:sz w:val="22"/>
          <w:szCs w:val="22"/>
        </w:rPr>
        <w:fldChar w:fldCharType="end"/>
      </w:r>
      <w:r w:rsidRPr="000F5663">
        <w:rPr>
          <w:color w:val="438086" w:themeColor="accent2"/>
          <w:sz w:val="22"/>
          <w:szCs w:val="22"/>
        </w:rPr>
        <w:t xml:space="preserve">: Buenas Prácticas </w:t>
      </w:r>
      <w:r w:rsidR="000F5663">
        <w:rPr>
          <w:color w:val="438086" w:themeColor="accent2"/>
          <w:sz w:val="22"/>
          <w:szCs w:val="22"/>
        </w:rPr>
        <w:t>en los Órganos Constitucionales y de relevancia constitucional</w:t>
      </w:r>
    </w:p>
    <w:tbl>
      <w:tblPr>
        <w:tblStyle w:val="Listavistosa-nfasis2"/>
        <w:tblW w:w="10031" w:type="dxa"/>
        <w:tblLook w:val="04A0" w:firstRow="1" w:lastRow="0" w:firstColumn="1" w:lastColumn="0" w:noHBand="0" w:noVBand="1"/>
      </w:tblPr>
      <w:tblGrid>
        <w:gridCol w:w="6204"/>
        <w:gridCol w:w="3827"/>
      </w:tblGrid>
      <w:tr w:rsidR="00811B08" w:rsidRPr="00596EDD" w:rsidTr="00811B0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04" w:type="dxa"/>
            <w:noWrap/>
          </w:tcPr>
          <w:p w:rsidR="00811B08" w:rsidRPr="00596EDD" w:rsidRDefault="00811B08" w:rsidP="00811B08">
            <w:pPr>
              <w:jc w:val="center"/>
              <w:rPr>
                <w:rFonts w:eastAsia="Times New Roman" w:cs="Calibri"/>
                <w:sz w:val="18"/>
                <w:szCs w:val="18"/>
              </w:rPr>
            </w:pPr>
            <w:r w:rsidRPr="00596EDD">
              <w:rPr>
                <w:rFonts w:eastAsia="Times New Roman" w:cs="Calibri"/>
                <w:sz w:val="18"/>
                <w:szCs w:val="18"/>
              </w:rPr>
              <w:t>Buena Práctica</w:t>
            </w:r>
          </w:p>
        </w:tc>
        <w:tc>
          <w:tcPr>
            <w:tcW w:w="3827" w:type="dxa"/>
            <w:noWrap/>
          </w:tcPr>
          <w:p w:rsidR="00811B08" w:rsidRPr="00596EDD" w:rsidRDefault="00811B08" w:rsidP="00811B08">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596EDD">
              <w:rPr>
                <w:rFonts w:eastAsia="Times New Roman" w:cs="Calibri"/>
                <w:sz w:val="18"/>
                <w:szCs w:val="18"/>
              </w:rPr>
              <w:t>Entidades</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04" w:type="dxa"/>
            <w:noWrap/>
            <w:hideMark/>
          </w:tcPr>
          <w:p w:rsidR="00811B08" w:rsidRPr="00596EDD" w:rsidRDefault="00811B08" w:rsidP="008367DC">
            <w:pPr>
              <w:rPr>
                <w:rFonts w:eastAsia="Times New Roman" w:cs="Calibri"/>
                <w:b w:val="0"/>
                <w:color w:val="000000"/>
                <w:sz w:val="18"/>
                <w:szCs w:val="18"/>
              </w:rPr>
            </w:pPr>
            <w:r w:rsidRPr="00596EDD">
              <w:rPr>
                <w:rFonts w:eastAsia="Times New Roman" w:cs="Calibri"/>
                <w:b w:val="0"/>
                <w:color w:val="000000"/>
                <w:sz w:val="18"/>
                <w:szCs w:val="18"/>
              </w:rPr>
              <w:t>Incorporación de textos descriptivos de los contenidos del Portal</w:t>
            </w:r>
          </w:p>
        </w:tc>
        <w:tc>
          <w:tcPr>
            <w:tcW w:w="3827" w:type="dxa"/>
            <w:noWrap/>
            <w:hideMark/>
          </w:tcPr>
          <w:p w:rsidR="00811B08" w:rsidRPr="00596EDD" w:rsidRDefault="00B529FF" w:rsidP="006A529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Congreso, Defensor, TCU, TC, Senado, FGE</w:t>
            </w:r>
          </w:p>
        </w:tc>
      </w:tr>
      <w:tr w:rsidR="00811B08" w:rsidRPr="00596EDD" w:rsidTr="00811B08">
        <w:trPr>
          <w:trHeight w:val="330"/>
        </w:trPr>
        <w:tc>
          <w:tcPr>
            <w:cnfStyle w:val="001000000000" w:firstRow="0" w:lastRow="0" w:firstColumn="1" w:lastColumn="0" w:oddVBand="0" w:evenVBand="0" w:oddHBand="0" w:evenHBand="0" w:firstRowFirstColumn="0" w:firstRowLastColumn="0" w:lastRowFirstColumn="0" w:lastRowLastColumn="0"/>
            <w:tcW w:w="6204" w:type="dxa"/>
            <w:noWrap/>
            <w:hideMark/>
          </w:tcPr>
          <w:p w:rsidR="00811B08" w:rsidRPr="00596EDD" w:rsidRDefault="00811B08" w:rsidP="008367DC">
            <w:pPr>
              <w:rPr>
                <w:rFonts w:eastAsia="Times New Roman" w:cs="Calibri"/>
                <w:b w:val="0"/>
                <w:color w:val="000000"/>
                <w:sz w:val="18"/>
                <w:szCs w:val="18"/>
              </w:rPr>
            </w:pPr>
            <w:r w:rsidRPr="00596EDD">
              <w:rPr>
                <w:rFonts w:eastAsia="Times New Roman" w:cs="Calibri"/>
                <w:b w:val="0"/>
                <w:color w:val="000000"/>
                <w:sz w:val="18"/>
                <w:szCs w:val="18"/>
              </w:rPr>
              <w:t>Organización y forma de presentación  de la información</w:t>
            </w:r>
          </w:p>
        </w:tc>
        <w:tc>
          <w:tcPr>
            <w:tcW w:w="3827" w:type="dxa"/>
            <w:noWrap/>
            <w:hideMark/>
          </w:tcPr>
          <w:p w:rsidR="00811B08" w:rsidRPr="00596EDD" w:rsidRDefault="00B529FF" w:rsidP="006A529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Consejo de Estado, TCU, TC</w:t>
            </w:r>
            <w:r w:rsidR="00174861">
              <w:rPr>
                <w:rFonts w:eastAsia="Times New Roman" w:cs="Calibri"/>
                <w:color w:val="000000"/>
                <w:sz w:val="18"/>
                <w:szCs w:val="18"/>
              </w:rPr>
              <w:t xml:space="preserve">, </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hideMark/>
          </w:tcPr>
          <w:p w:rsidR="00811B08" w:rsidRPr="00596EDD" w:rsidRDefault="00811B08" w:rsidP="008367DC">
            <w:pPr>
              <w:rPr>
                <w:rFonts w:eastAsia="Times New Roman" w:cs="Calibri"/>
                <w:b w:val="0"/>
                <w:color w:val="000000"/>
                <w:sz w:val="18"/>
                <w:szCs w:val="18"/>
              </w:rPr>
            </w:pPr>
            <w:r w:rsidRPr="00596EDD">
              <w:rPr>
                <w:rFonts w:eastAsia="Times New Roman" w:cs="Calibri"/>
                <w:b w:val="0"/>
                <w:color w:val="000000"/>
                <w:sz w:val="18"/>
                <w:szCs w:val="18"/>
              </w:rPr>
              <w:t>Identificación de los responsables y</w:t>
            </w:r>
            <w:r w:rsidR="00B529FF">
              <w:rPr>
                <w:rFonts w:eastAsia="Times New Roman" w:cs="Calibri"/>
                <w:b w:val="0"/>
                <w:color w:val="000000"/>
                <w:sz w:val="18"/>
                <w:szCs w:val="18"/>
              </w:rPr>
              <w:t>/o</w:t>
            </w:r>
            <w:r w:rsidRPr="00596EDD">
              <w:rPr>
                <w:rFonts w:eastAsia="Times New Roman" w:cs="Calibri"/>
                <w:b w:val="0"/>
                <w:color w:val="000000"/>
                <w:sz w:val="18"/>
                <w:szCs w:val="18"/>
              </w:rPr>
              <w:t xml:space="preserve"> descripción de las funciones de unidades que integran su estructura organizativa</w:t>
            </w:r>
          </w:p>
        </w:tc>
        <w:tc>
          <w:tcPr>
            <w:tcW w:w="3827" w:type="dxa"/>
            <w:noWrap/>
            <w:hideMark/>
          </w:tcPr>
          <w:p w:rsidR="00811B08" w:rsidRPr="00596EDD" w:rsidRDefault="00B529FF" w:rsidP="006A529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TC, Senado, FGE, TCU</w:t>
            </w:r>
            <w:r w:rsidR="00174861">
              <w:rPr>
                <w:rFonts w:eastAsia="Times New Roman" w:cs="Calibri"/>
                <w:color w:val="000000"/>
                <w:sz w:val="18"/>
                <w:szCs w:val="18"/>
              </w:rPr>
              <w:t xml:space="preserve">, </w:t>
            </w:r>
          </w:p>
        </w:tc>
      </w:tr>
      <w:tr w:rsidR="00B529FF" w:rsidRPr="00596EDD" w:rsidTr="00B529FF">
        <w:trPr>
          <w:trHeight w:val="315"/>
        </w:trPr>
        <w:tc>
          <w:tcPr>
            <w:cnfStyle w:val="001000000000" w:firstRow="0" w:lastRow="0" w:firstColumn="1" w:lastColumn="0" w:oddVBand="0" w:evenVBand="0" w:oddHBand="0" w:evenHBand="0" w:firstRowFirstColumn="0" w:firstRowLastColumn="0" w:lastRowFirstColumn="0" w:lastRowLastColumn="0"/>
            <w:tcW w:w="6204" w:type="dxa"/>
            <w:noWrap/>
            <w:hideMark/>
          </w:tcPr>
          <w:p w:rsidR="00B529FF" w:rsidRPr="00596EDD" w:rsidRDefault="00B529FF" w:rsidP="008367DC">
            <w:pPr>
              <w:rPr>
                <w:rFonts w:eastAsia="Times New Roman" w:cs="Calibri"/>
                <w:b w:val="0"/>
                <w:color w:val="000000"/>
                <w:sz w:val="18"/>
                <w:szCs w:val="18"/>
              </w:rPr>
            </w:pPr>
            <w:r>
              <w:rPr>
                <w:rFonts w:eastAsia="Times New Roman" w:cs="Calibri"/>
                <w:b w:val="0"/>
                <w:color w:val="000000"/>
                <w:sz w:val="18"/>
                <w:szCs w:val="18"/>
              </w:rPr>
              <w:t>U</w:t>
            </w:r>
            <w:r w:rsidRPr="00B529FF">
              <w:rPr>
                <w:rFonts w:eastAsia="Times New Roman" w:cs="Calibri"/>
                <w:b w:val="0"/>
                <w:color w:val="000000"/>
                <w:sz w:val="18"/>
                <w:szCs w:val="18"/>
              </w:rPr>
              <w:t>so de un lenguaje que facilita la comprensión de los distintos contenidos informativos</w:t>
            </w:r>
          </w:p>
        </w:tc>
        <w:tc>
          <w:tcPr>
            <w:tcW w:w="3827" w:type="dxa"/>
            <w:noWrap/>
            <w:hideMark/>
          </w:tcPr>
          <w:p w:rsidR="00B529FF" w:rsidRPr="00B529FF" w:rsidRDefault="00B529FF" w:rsidP="008367DC">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Consejo de Estado, Defensor, TCU, TC, Senado</w:t>
            </w:r>
          </w:p>
        </w:tc>
      </w:tr>
      <w:tr w:rsidR="00811B08"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hideMark/>
          </w:tcPr>
          <w:p w:rsidR="00811B08" w:rsidRPr="00596EDD" w:rsidRDefault="00811B08" w:rsidP="008367DC">
            <w:pPr>
              <w:rPr>
                <w:rFonts w:eastAsia="Times New Roman" w:cs="Calibri"/>
                <w:b w:val="0"/>
                <w:color w:val="000000"/>
                <w:sz w:val="18"/>
                <w:szCs w:val="18"/>
              </w:rPr>
            </w:pPr>
            <w:r w:rsidRPr="00596EDD">
              <w:rPr>
                <w:rFonts w:eastAsia="Times New Roman" w:cs="Calibri"/>
                <w:b w:val="0"/>
                <w:color w:val="000000"/>
                <w:sz w:val="18"/>
                <w:szCs w:val="18"/>
              </w:rPr>
              <w:t xml:space="preserve">Publicación de cuadros-resumen de las informaciones procedentes de fuentes centralizadas </w:t>
            </w:r>
          </w:p>
        </w:tc>
        <w:tc>
          <w:tcPr>
            <w:tcW w:w="3827" w:type="dxa"/>
            <w:noWrap/>
            <w:hideMark/>
          </w:tcPr>
          <w:p w:rsidR="00811B08" w:rsidRPr="00596EDD" w:rsidRDefault="00B529FF" w:rsidP="008367DC">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TCU,TC, Senado</w:t>
            </w:r>
          </w:p>
        </w:tc>
      </w:tr>
      <w:tr w:rsidR="00811B08" w:rsidRPr="00596EDD" w:rsidTr="00811B08">
        <w:trPr>
          <w:trHeight w:val="300"/>
        </w:trPr>
        <w:tc>
          <w:tcPr>
            <w:cnfStyle w:val="001000000000" w:firstRow="0" w:lastRow="0" w:firstColumn="1" w:lastColumn="0" w:oddVBand="0" w:evenVBand="0" w:oddHBand="0" w:evenHBand="0" w:firstRowFirstColumn="0" w:firstRowLastColumn="0" w:lastRowFirstColumn="0" w:lastRowLastColumn="0"/>
            <w:tcW w:w="6204" w:type="dxa"/>
            <w:noWrap/>
          </w:tcPr>
          <w:p w:rsidR="00811B08" w:rsidRPr="00596EDD" w:rsidRDefault="00734470" w:rsidP="008367DC">
            <w:pPr>
              <w:rPr>
                <w:rFonts w:eastAsia="Times New Roman" w:cs="Calibri"/>
                <w:b w:val="0"/>
                <w:color w:val="000000"/>
                <w:sz w:val="18"/>
                <w:szCs w:val="18"/>
              </w:rPr>
            </w:pPr>
            <w:r>
              <w:rPr>
                <w:rFonts w:eastAsia="Times New Roman" w:cs="Calibri"/>
                <w:b w:val="0"/>
                <w:color w:val="000000"/>
                <w:sz w:val="18"/>
                <w:szCs w:val="18"/>
              </w:rPr>
              <w:t>I</w:t>
            </w:r>
            <w:r w:rsidR="00811B08">
              <w:rPr>
                <w:rFonts w:eastAsia="Times New Roman" w:cs="Calibri"/>
                <w:b w:val="0"/>
                <w:color w:val="000000"/>
                <w:sz w:val="18"/>
                <w:szCs w:val="18"/>
              </w:rPr>
              <w:t>dentificación de la información obligatoria que no se publica por no existir actividad en ese ámbito</w:t>
            </w:r>
          </w:p>
        </w:tc>
        <w:tc>
          <w:tcPr>
            <w:tcW w:w="3827" w:type="dxa"/>
            <w:noWrap/>
          </w:tcPr>
          <w:p w:rsidR="00811B08" w:rsidRPr="00596EDD" w:rsidRDefault="00B529FF" w:rsidP="008367DC">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Consejo de Estado, Defensor, TC</w:t>
            </w:r>
          </w:p>
        </w:tc>
      </w:tr>
      <w:tr w:rsidR="00B529FF" w:rsidRPr="00596EDD"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tcPr>
          <w:p w:rsidR="00B529FF" w:rsidRDefault="00B529FF" w:rsidP="008367DC">
            <w:pPr>
              <w:rPr>
                <w:rFonts w:eastAsia="Times New Roman" w:cs="Calibri"/>
                <w:b w:val="0"/>
                <w:color w:val="000000"/>
                <w:sz w:val="18"/>
                <w:szCs w:val="18"/>
              </w:rPr>
            </w:pPr>
            <w:r>
              <w:rPr>
                <w:rFonts w:eastAsia="Times New Roman" w:cs="Calibri"/>
                <w:b w:val="0"/>
                <w:color w:val="000000"/>
                <w:sz w:val="18"/>
                <w:szCs w:val="18"/>
              </w:rPr>
              <w:t>P</w:t>
            </w:r>
            <w:r w:rsidRPr="00B529FF">
              <w:rPr>
                <w:rFonts w:eastAsia="Times New Roman" w:cs="Calibri"/>
                <w:b w:val="0"/>
                <w:color w:val="000000"/>
                <w:sz w:val="18"/>
                <w:szCs w:val="18"/>
              </w:rPr>
              <w:t>resentación de la información en formatos que posibilitan la accesibilidad de las personas con discapacidad</w:t>
            </w:r>
          </w:p>
        </w:tc>
        <w:tc>
          <w:tcPr>
            <w:tcW w:w="3827" w:type="dxa"/>
            <w:noWrap/>
          </w:tcPr>
          <w:p w:rsidR="00B529FF" w:rsidRPr="00596EDD" w:rsidRDefault="00B529FF" w:rsidP="008367DC">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529FF">
              <w:rPr>
                <w:rFonts w:eastAsia="Times New Roman" w:cs="Calibri"/>
                <w:color w:val="000000"/>
                <w:sz w:val="18"/>
                <w:szCs w:val="18"/>
              </w:rPr>
              <w:t>Casa Real, TC</w:t>
            </w:r>
          </w:p>
        </w:tc>
      </w:tr>
      <w:tr w:rsidR="00FF20A2" w:rsidRPr="00FF20A2" w:rsidTr="00811B08">
        <w:trPr>
          <w:trHeight w:val="300"/>
        </w:trPr>
        <w:tc>
          <w:tcPr>
            <w:cnfStyle w:val="001000000000" w:firstRow="0" w:lastRow="0" w:firstColumn="1" w:lastColumn="0" w:oddVBand="0" w:evenVBand="0" w:oddHBand="0" w:evenHBand="0" w:firstRowFirstColumn="0" w:firstRowLastColumn="0" w:lastRowFirstColumn="0" w:lastRowLastColumn="0"/>
            <w:tcW w:w="6204" w:type="dxa"/>
            <w:noWrap/>
          </w:tcPr>
          <w:p w:rsidR="00FF20A2" w:rsidRPr="00FF20A2" w:rsidRDefault="00FF20A2" w:rsidP="008367DC">
            <w:pPr>
              <w:rPr>
                <w:rFonts w:eastAsia="Times New Roman" w:cs="Calibri"/>
                <w:b w:val="0"/>
                <w:color w:val="000000"/>
                <w:sz w:val="18"/>
                <w:szCs w:val="18"/>
              </w:rPr>
            </w:pPr>
            <w:r>
              <w:rPr>
                <w:rFonts w:eastAsia="Times New Roman" w:cs="Calibri"/>
                <w:b w:val="0"/>
                <w:color w:val="000000"/>
                <w:sz w:val="18"/>
                <w:szCs w:val="18"/>
              </w:rPr>
              <w:t>S</w:t>
            </w:r>
            <w:r w:rsidRPr="00FF20A2">
              <w:rPr>
                <w:rFonts w:eastAsia="Times New Roman" w:cs="Calibri"/>
                <w:b w:val="0"/>
                <w:color w:val="000000"/>
                <w:sz w:val="18"/>
                <w:szCs w:val="18"/>
              </w:rPr>
              <w:t>istema de alertas de publicación de novedades en el Portal de Transparencia</w:t>
            </w:r>
          </w:p>
        </w:tc>
        <w:tc>
          <w:tcPr>
            <w:tcW w:w="3827" w:type="dxa"/>
            <w:noWrap/>
          </w:tcPr>
          <w:p w:rsidR="00FF20A2" w:rsidRPr="00FF20A2" w:rsidRDefault="00FF20A2" w:rsidP="00BA7E64">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18"/>
                <w:szCs w:val="18"/>
              </w:rPr>
            </w:pPr>
            <w:r>
              <w:rPr>
                <w:rFonts w:eastAsia="Times New Roman" w:cs="Calibri"/>
                <w:bCs/>
                <w:color w:val="000000"/>
                <w:sz w:val="18"/>
                <w:szCs w:val="18"/>
              </w:rPr>
              <w:t>CGPJ</w:t>
            </w:r>
          </w:p>
        </w:tc>
      </w:tr>
      <w:tr w:rsidR="00FF20A2" w:rsidRPr="00FF20A2" w:rsidTr="00811B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tcPr>
          <w:p w:rsidR="00FF20A2" w:rsidRDefault="00FF20A2" w:rsidP="008367DC">
            <w:pPr>
              <w:rPr>
                <w:rFonts w:eastAsia="Times New Roman" w:cs="Calibri"/>
                <w:b w:val="0"/>
                <w:color w:val="000000"/>
                <w:sz w:val="18"/>
                <w:szCs w:val="18"/>
              </w:rPr>
            </w:pPr>
            <w:r>
              <w:rPr>
                <w:rFonts w:eastAsia="Times New Roman" w:cs="Calibri"/>
                <w:b w:val="0"/>
                <w:color w:val="000000"/>
                <w:sz w:val="18"/>
                <w:szCs w:val="18"/>
              </w:rPr>
              <w:t>Información sobre las fechas de actualización de la información</w:t>
            </w:r>
          </w:p>
        </w:tc>
        <w:tc>
          <w:tcPr>
            <w:tcW w:w="3827" w:type="dxa"/>
            <w:noWrap/>
          </w:tcPr>
          <w:p w:rsidR="00FF20A2" w:rsidRDefault="00FF20A2" w:rsidP="006A529F">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rPr>
            </w:pPr>
            <w:r>
              <w:rPr>
                <w:rFonts w:eastAsia="Times New Roman" w:cs="Calibri"/>
                <w:bCs/>
                <w:color w:val="000000"/>
                <w:sz w:val="18"/>
                <w:szCs w:val="18"/>
              </w:rPr>
              <w:t>Senado</w:t>
            </w:r>
          </w:p>
        </w:tc>
      </w:tr>
    </w:tbl>
    <w:p w:rsidR="00811B08" w:rsidRDefault="00811B08" w:rsidP="00811B08">
      <w:pPr>
        <w:pStyle w:val="Ttulo2"/>
      </w:pPr>
    </w:p>
    <w:p w:rsidR="005718D7" w:rsidRPr="006C0613" w:rsidRDefault="005718D7" w:rsidP="006C0613"/>
    <w:p w:rsidR="00811B08" w:rsidRDefault="00915F66" w:rsidP="00811B08">
      <w:pPr>
        <w:pStyle w:val="Ttulo2"/>
      </w:pPr>
      <w:bookmarkStart w:id="13" w:name="_Toc69312055"/>
      <w:r w:rsidRPr="00915F66">
        <w:rPr>
          <w:rStyle w:val="Ttulo1Car"/>
        </w:rPr>
        <w:t>IV</w:t>
      </w:r>
      <w:r w:rsidR="00734470">
        <w:rPr>
          <w:rStyle w:val="Ttulo1Car"/>
        </w:rPr>
        <w:t>.</w:t>
      </w:r>
      <w:r w:rsidR="00811B08" w:rsidRPr="00915F66">
        <w:rPr>
          <w:rStyle w:val="Ttulo1Car"/>
        </w:rPr>
        <w:t xml:space="preserve"> Evaluación de</w:t>
      </w:r>
      <w:r>
        <w:rPr>
          <w:rStyle w:val="Ttulo1Car"/>
        </w:rPr>
        <w:t>l derecho de acceso a la información pública.</w:t>
      </w:r>
      <w:bookmarkEnd w:id="13"/>
      <w:r w:rsidR="00811B08" w:rsidRPr="00915F66">
        <w:rPr>
          <w:rStyle w:val="Ttulo1Car"/>
        </w:rPr>
        <w:t xml:space="preserve"> </w:t>
      </w:r>
    </w:p>
    <w:p w:rsidR="0019120F" w:rsidRPr="0012783F" w:rsidRDefault="0019120F" w:rsidP="0019120F">
      <w:pPr>
        <w:rPr>
          <w:b/>
        </w:rPr>
      </w:pPr>
    </w:p>
    <w:p w:rsidR="00811B08" w:rsidRPr="00915F66" w:rsidRDefault="00915F66" w:rsidP="00915F66">
      <w:pPr>
        <w:pStyle w:val="Ttulo2"/>
      </w:pPr>
      <w:bookmarkStart w:id="14" w:name="_Toc69312056"/>
      <w:r w:rsidRPr="00915F66">
        <w:t>IV</w:t>
      </w:r>
      <w:r w:rsidR="0019120F" w:rsidRPr="00915F66">
        <w:t>.1 Recursos disponibles para la tramitación de las solicitudes de acceso a información pública</w:t>
      </w:r>
      <w:bookmarkEnd w:id="14"/>
    </w:p>
    <w:p w:rsidR="0019120F" w:rsidRDefault="0019120F" w:rsidP="0019120F"/>
    <w:p w:rsidR="00594CB7" w:rsidRDefault="006A529F" w:rsidP="0019120F">
      <w:r>
        <w:t>El 80</w:t>
      </w:r>
      <w:r w:rsidR="00594CB7">
        <w:t xml:space="preserve">% de las instituciones evaluadas ha asignado a una unidad específica la gestión de las solicitudes de acceso a información pública – dos de </w:t>
      </w:r>
      <w:r w:rsidR="007A2C04">
        <w:t xml:space="preserve">ellas </w:t>
      </w:r>
      <w:r w:rsidR="00594CB7">
        <w:t xml:space="preserve">no han remitido información al respecto y tampoco se publica </w:t>
      </w:r>
      <w:r w:rsidR="001F5549">
        <w:t xml:space="preserve">este dato </w:t>
      </w:r>
      <w:r w:rsidR="00594CB7">
        <w:t>en su web -. Son las Secretarías o Vicesecretarías Generales las unidades que más frecuentemente asumen esta actividad. E</w:t>
      </w:r>
      <w:r w:rsidR="005372D2">
        <w:t>n</w:t>
      </w:r>
      <w:r w:rsidR="00594CB7">
        <w:t xml:space="preserve"> promedio </w:t>
      </w:r>
      <w:r w:rsidR="005372D2">
        <w:t>tres</w:t>
      </w:r>
      <w:r w:rsidR="00594CB7">
        <w:t xml:space="preserve"> personas </w:t>
      </w:r>
      <w:r w:rsidR="005372D2">
        <w:t>se dedican</w:t>
      </w:r>
      <w:r w:rsidR="00594CB7">
        <w:t xml:space="preserve"> a la gestión de las solicitudes de acceso </w:t>
      </w:r>
      <w:r w:rsidR="005372D2">
        <w:t xml:space="preserve">en las </w:t>
      </w:r>
      <w:r w:rsidR="00500F92">
        <w:t>siete</w:t>
      </w:r>
      <w:r w:rsidR="005372D2">
        <w:t xml:space="preserve"> instituciones que han remitido información, </w:t>
      </w:r>
      <w:r>
        <w:t>gestión que salvo en un caso, compatibilizan con otras actividades.</w:t>
      </w:r>
    </w:p>
    <w:p w:rsidR="00565D36" w:rsidRDefault="00565D36" w:rsidP="0019120F"/>
    <w:p w:rsidR="006A529F" w:rsidRDefault="006A529F" w:rsidP="00AB121D">
      <w:pPr>
        <w:pStyle w:val="Ttulo2"/>
      </w:pPr>
    </w:p>
    <w:p w:rsidR="006A529F" w:rsidRDefault="006A529F" w:rsidP="00AB121D">
      <w:pPr>
        <w:pStyle w:val="Ttulo2"/>
      </w:pPr>
    </w:p>
    <w:p w:rsidR="006A529F" w:rsidRDefault="006A529F" w:rsidP="00AB121D">
      <w:pPr>
        <w:pStyle w:val="Ttulo2"/>
      </w:pPr>
    </w:p>
    <w:p w:rsidR="006A529F" w:rsidRDefault="006A529F" w:rsidP="00AB121D">
      <w:pPr>
        <w:pStyle w:val="Ttulo2"/>
      </w:pPr>
    </w:p>
    <w:p w:rsidR="006A529F" w:rsidRDefault="006A529F" w:rsidP="00AB121D">
      <w:pPr>
        <w:pStyle w:val="Ttulo2"/>
      </w:pPr>
    </w:p>
    <w:p w:rsidR="006A529F" w:rsidRDefault="006A529F" w:rsidP="00AB121D">
      <w:pPr>
        <w:pStyle w:val="Ttulo2"/>
      </w:pPr>
    </w:p>
    <w:p w:rsidR="0019120F" w:rsidRDefault="00AB121D" w:rsidP="00AB121D">
      <w:pPr>
        <w:pStyle w:val="Ttulo2"/>
      </w:pPr>
      <w:bookmarkStart w:id="15" w:name="_Toc69312057"/>
      <w:r>
        <w:lastRenderedPageBreak/>
        <w:t>IV</w:t>
      </w:r>
      <w:r w:rsidR="0019120F" w:rsidRPr="0019120F">
        <w:t>.2 Actividad generada en 2020 por las solicitudes de acceso a información pública</w:t>
      </w:r>
      <w:bookmarkEnd w:id="15"/>
      <w:r w:rsidR="0019120F" w:rsidRPr="0019120F">
        <w:t xml:space="preserve">  </w:t>
      </w:r>
    </w:p>
    <w:p w:rsidR="00AB121D" w:rsidRPr="00AB121D" w:rsidRDefault="00AB121D" w:rsidP="00AB121D"/>
    <w:p w:rsidR="00004C5D" w:rsidRDefault="0019120F" w:rsidP="00EA0274">
      <w:pPr>
        <w:pStyle w:val="Ttulo3"/>
      </w:pPr>
      <w:bookmarkStart w:id="16" w:name="_Toc68707398"/>
      <w:bookmarkStart w:id="17" w:name="_Toc69312058"/>
      <w:r w:rsidRPr="0019120F">
        <w:t>Solicitudes gestionadas en 2020</w:t>
      </w:r>
      <w:bookmarkEnd w:id="16"/>
      <w:bookmarkEnd w:id="17"/>
      <w:r w:rsidR="00811B08" w:rsidRPr="0019120F">
        <w:t xml:space="preserve"> </w:t>
      </w:r>
    </w:p>
    <w:p w:rsidR="0019120F" w:rsidRDefault="0019120F" w:rsidP="0019120F"/>
    <w:p w:rsidR="00472C0E" w:rsidRDefault="00EA0274" w:rsidP="0019120F">
      <w:r>
        <w:t xml:space="preserve">Las </w:t>
      </w:r>
      <w:r w:rsidR="002D19D0">
        <w:t>ocho</w:t>
      </w:r>
      <w:r w:rsidR="000E303D">
        <w:rPr>
          <w:rStyle w:val="Refdenotaalpie"/>
        </w:rPr>
        <w:footnoteReference w:id="2"/>
      </w:r>
      <w:r w:rsidR="00472C0E">
        <w:t xml:space="preserve"> instituciones evaluadas recibi</w:t>
      </w:r>
      <w:r>
        <w:t>eron</w:t>
      </w:r>
      <w:r w:rsidR="00472C0E">
        <w:t xml:space="preserve"> </w:t>
      </w:r>
      <w:r w:rsidR="000F6396">
        <w:t>626</w:t>
      </w:r>
      <w:r w:rsidR="00472C0E">
        <w:t xml:space="preserve"> solicitudes de acceso a información pública </w:t>
      </w:r>
      <w:r w:rsidRPr="00EA0274">
        <w:t xml:space="preserve">durante 2020 </w:t>
      </w:r>
      <w:r w:rsidR="00472C0E">
        <w:t xml:space="preserve">a las que hay que añadir </w:t>
      </w:r>
      <w:r>
        <w:t xml:space="preserve">otras </w:t>
      </w:r>
      <w:r w:rsidR="006A529F">
        <w:t>5</w:t>
      </w:r>
      <w:r w:rsidR="00472C0E">
        <w:t xml:space="preserve"> que quedaron pendientes de tramitación a 31</w:t>
      </w:r>
      <w:r w:rsidR="008367DC">
        <w:t xml:space="preserve"> </w:t>
      </w:r>
      <w:r w:rsidR="00472C0E">
        <w:t xml:space="preserve">de diciembre de 2019. </w:t>
      </w:r>
      <w:r>
        <w:t xml:space="preserve">En promedio cada una de las seis instituciones que tuvieron actividad en 2020 recibió poco más de </w:t>
      </w:r>
      <w:r w:rsidR="000F6396">
        <w:t>78</w:t>
      </w:r>
      <w:r w:rsidR="00734470">
        <w:t xml:space="preserve"> solicitudes</w:t>
      </w:r>
      <w:r>
        <w:t xml:space="preserve">. El rango de variación oscila entre </w:t>
      </w:r>
      <w:r w:rsidR="000F6396">
        <w:t>35</w:t>
      </w:r>
      <w:r>
        <w:t xml:space="preserve"> y 1</w:t>
      </w:r>
      <w:r w:rsidR="000F6396">
        <w:t>97</w:t>
      </w:r>
      <w:r>
        <w:t>.</w:t>
      </w:r>
    </w:p>
    <w:p w:rsidR="00EA0274" w:rsidRDefault="00EA0274" w:rsidP="0019120F">
      <w:r>
        <w:t xml:space="preserve">Según la información aportada se tramitaron </w:t>
      </w:r>
      <w:r w:rsidR="000F6396">
        <w:t>607</w:t>
      </w:r>
      <w:r>
        <w:t xml:space="preserve"> solicitudes a lo largo de 2020 quedando pendientes a 31 de di</w:t>
      </w:r>
      <w:r w:rsidR="004D161A">
        <w:t>ci</w:t>
      </w:r>
      <w:r>
        <w:t>embre de este año</w:t>
      </w:r>
      <w:r w:rsidR="004D161A">
        <w:t>,</w:t>
      </w:r>
      <w:r>
        <w:t xml:space="preserve"> </w:t>
      </w:r>
      <w:r w:rsidR="000F6396">
        <w:t>29</w:t>
      </w:r>
      <w:r>
        <w:t xml:space="preserve"> </w:t>
      </w:r>
      <w:r w:rsidR="004D161A">
        <w:t xml:space="preserve">solicitudes. </w:t>
      </w:r>
      <w:r w:rsidR="00B15A6E">
        <w:t xml:space="preserve">De las </w:t>
      </w:r>
      <w:r w:rsidR="000F6396">
        <w:t>607</w:t>
      </w:r>
      <w:r w:rsidR="00B15A6E">
        <w:t xml:space="preserve"> solicitudes tramitadas se admitieron </w:t>
      </w:r>
      <w:r w:rsidR="000F6396">
        <w:t>469</w:t>
      </w:r>
      <w:r w:rsidR="00B15A6E">
        <w:t xml:space="preserve">, se archivaron </w:t>
      </w:r>
      <w:r w:rsidR="000F6396">
        <w:t>30</w:t>
      </w:r>
      <w:r w:rsidR="00B15A6E">
        <w:t xml:space="preserve"> y se inadmitieron </w:t>
      </w:r>
      <w:r w:rsidR="000F6396">
        <w:t>101</w:t>
      </w:r>
      <w:r w:rsidR="00B15A6E">
        <w:t>.</w:t>
      </w:r>
    </w:p>
    <w:p w:rsidR="00B15A6E" w:rsidRDefault="00B15A6E" w:rsidP="0019120F">
      <w:r>
        <w:t>La causa de inadmisión más frecuente ha sido la consideración de la solicitud abusiva o repetitiva. La segunda causa más frecuente ha sido que la información solicitada estaba sujeta a un régimen específico de acceso y en tercer término se inadmiti</w:t>
      </w:r>
      <w:r w:rsidR="00C5466E">
        <w:t>ó la solicitud por otras causas no especificadas en la información remitida a este Consejo.</w:t>
      </w:r>
      <w:r>
        <w:t xml:space="preserve"> </w:t>
      </w:r>
    </w:p>
    <w:p w:rsidR="0019120F" w:rsidRPr="0019120F" w:rsidRDefault="0019120F" w:rsidP="0019120F">
      <w:pPr>
        <w:pStyle w:val="Epgrafe"/>
        <w:keepNext/>
        <w:rPr>
          <w:color w:val="438086" w:themeColor="accent2"/>
          <w:sz w:val="22"/>
          <w:szCs w:val="22"/>
        </w:rPr>
      </w:pPr>
      <w:r w:rsidRPr="0019120F">
        <w:rPr>
          <w:color w:val="438086" w:themeColor="accent2"/>
          <w:sz w:val="22"/>
          <w:szCs w:val="22"/>
        </w:rPr>
        <w:t xml:space="preserve">Gráfico </w:t>
      </w:r>
      <w:r w:rsidRPr="0019120F">
        <w:rPr>
          <w:color w:val="438086" w:themeColor="accent2"/>
          <w:sz w:val="22"/>
          <w:szCs w:val="22"/>
        </w:rPr>
        <w:fldChar w:fldCharType="begin"/>
      </w:r>
      <w:r w:rsidRPr="0019120F">
        <w:rPr>
          <w:color w:val="438086" w:themeColor="accent2"/>
          <w:sz w:val="22"/>
          <w:szCs w:val="22"/>
        </w:rPr>
        <w:instrText xml:space="preserve"> SEQ Gráfico \* ARABIC </w:instrText>
      </w:r>
      <w:r w:rsidRPr="0019120F">
        <w:rPr>
          <w:color w:val="438086" w:themeColor="accent2"/>
          <w:sz w:val="22"/>
          <w:szCs w:val="22"/>
        </w:rPr>
        <w:fldChar w:fldCharType="separate"/>
      </w:r>
      <w:r w:rsidR="00BB4D6D">
        <w:rPr>
          <w:noProof/>
          <w:color w:val="438086" w:themeColor="accent2"/>
          <w:sz w:val="22"/>
          <w:szCs w:val="22"/>
        </w:rPr>
        <w:t>4</w:t>
      </w:r>
      <w:r w:rsidRPr="0019120F">
        <w:rPr>
          <w:color w:val="438086" w:themeColor="accent2"/>
          <w:sz w:val="22"/>
          <w:szCs w:val="22"/>
        </w:rPr>
        <w:fldChar w:fldCharType="end"/>
      </w:r>
      <w:r w:rsidRPr="0019120F">
        <w:rPr>
          <w:color w:val="438086" w:themeColor="accent2"/>
          <w:sz w:val="22"/>
          <w:szCs w:val="22"/>
        </w:rPr>
        <w:t>: Distribución de las solicitudes inadmitidas según causa de inadmisión</w:t>
      </w:r>
    </w:p>
    <w:p w:rsidR="0019120F" w:rsidRPr="0019120F" w:rsidRDefault="000F6396" w:rsidP="0019120F">
      <w:r>
        <w:rPr>
          <w:noProof/>
        </w:rPr>
        <w:drawing>
          <wp:inline distT="0" distB="0" distL="0" distR="0" wp14:anchorId="165743CB" wp14:editId="2CD07E77">
            <wp:extent cx="5760085" cy="2732892"/>
            <wp:effectExtent l="0" t="0" r="12065" b="1079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2B08" w:rsidRDefault="00DF2B08" w:rsidP="0019120F">
      <w:pPr>
        <w:rPr>
          <w:rFonts w:asciiTheme="majorHAnsi" w:hAnsiTheme="majorHAnsi"/>
          <w:b/>
          <w:color w:val="438086" w:themeColor="accent2"/>
          <w:szCs w:val="24"/>
        </w:rPr>
      </w:pPr>
    </w:p>
    <w:p w:rsidR="00DF2B08" w:rsidRDefault="00DF2B08" w:rsidP="0019120F">
      <w:pPr>
        <w:rPr>
          <w:rFonts w:asciiTheme="majorHAnsi" w:hAnsiTheme="majorHAnsi"/>
          <w:b/>
          <w:color w:val="438086" w:themeColor="accent2"/>
          <w:szCs w:val="24"/>
        </w:rPr>
      </w:pPr>
    </w:p>
    <w:p w:rsidR="0019120F" w:rsidRPr="00EA0274" w:rsidRDefault="0019120F" w:rsidP="0019120F">
      <w:pPr>
        <w:rPr>
          <w:rFonts w:asciiTheme="majorHAnsi" w:hAnsiTheme="majorHAnsi"/>
          <w:b/>
          <w:color w:val="438086" w:themeColor="accent2"/>
          <w:szCs w:val="24"/>
        </w:rPr>
      </w:pPr>
      <w:r w:rsidRPr="00EA0274">
        <w:rPr>
          <w:rFonts w:asciiTheme="majorHAnsi" w:hAnsiTheme="majorHAnsi"/>
          <w:b/>
          <w:color w:val="438086" w:themeColor="accent2"/>
          <w:szCs w:val="24"/>
        </w:rPr>
        <w:lastRenderedPageBreak/>
        <w:t>Indicadores de tramitación en 2020</w:t>
      </w:r>
    </w:p>
    <w:p w:rsidR="00C5466E" w:rsidRDefault="00C5466E" w:rsidP="00406DDA">
      <w:r>
        <w:t xml:space="preserve">En promedio las personas asignadas a la gestión del derecho de acceso asumieron </w:t>
      </w:r>
      <w:r w:rsidR="003F1FE9">
        <w:t>20,5</w:t>
      </w:r>
      <w:r>
        <w:t xml:space="preserve"> solicitudes y tramitaron </w:t>
      </w:r>
      <w:r w:rsidR="003F1FE9">
        <w:t>20,3</w:t>
      </w:r>
      <w:r>
        <w:t xml:space="preserve"> a lo largo de 2020. </w:t>
      </w:r>
    </w:p>
    <w:p w:rsidR="00C5466E" w:rsidRDefault="00C5466E" w:rsidP="00406DDA">
      <w:r w:rsidRPr="00C5466E">
        <w:t>En 2020 se tramit</w:t>
      </w:r>
      <w:r w:rsidR="008367DC">
        <w:t>aron</w:t>
      </w:r>
      <w:r w:rsidRPr="00C5466E">
        <w:t xml:space="preserve"> más del </w:t>
      </w:r>
      <w:r>
        <w:t>9</w:t>
      </w:r>
      <w:r w:rsidR="003F1FE9">
        <w:t>7</w:t>
      </w:r>
      <w:r w:rsidRPr="00C5466E">
        <w:t>% de las solicitudes, tanto entradas en el año como pendientes a finales de</w:t>
      </w:r>
      <w:r w:rsidR="008367DC">
        <w:t xml:space="preserve"> </w:t>
      </w:r>
      <w:r w:rsidRPr="00C5466E">
        <w:t xml:space="preserve">2019. Sin embargo, ha aumentado el número de solicitudes pendientes a final de año – han pasado de </w:t>
      </w:r>
      <w:r w:rsidR="004E4E8E">
        <w:t>5</w:t>
      </w:r>
      <w:r w:rsidRPr="00C5466E">
        <w:t xml:space="preserve"> a </w:t>
      </w:r>
      <w:r w:rsidR="003F1FE9">
        <w:t>29</w:t>
      </w:r>
      <w:r w:rsidRPr="00C5466E">
        <w:t xml:space="preserve"> – situándose la tasa de pendencia en </w:t>
      </w:r>
      <w:r w:rsidR="004E4E8E">
        <w:t>3,</w:t>
      </w:r>
      <w:r w:rsidR="003F1FE9">
        <w:t>69</w:t>
      </w:r>
      <w:r w:rsidR="003C77F3">
        <w:t>.</w:t>
      </w:r>
      <w:r w:rsidR="008367DC">
        <w:t xml:space="preserve"> </w:t>
      </w:r>
    </w:p>
    <w:p w:rsidR="003C77F3" w:rsidRDefault="003C77F3" w:rsidP="003C77F3">
      <w:r>
        <w:t xml:space="preserve">El tiempo medio estimado para la tramitación de las solicitudes pendientes es de </w:t>
      </w:r>
      <w:r w:rsidR="004E4E8E">
        <w:t>poco más de</w:t>
      </w:r>
      <w:r>
        <w:t xml:space="preserve"> </w:t>
      </w:r>
      <w:r w:rsidR="004E4E8E">
        <w:t>1</w:t>
      </w:r>
      <w:r w:rsidR="003F1FE9">
        <w:t>3</w:t>
      </w:r>
      <w:r>
        <w:t xml:space="preserve"> días naturales.</w:t>
      </w:r>
    </w:p>
    <w:p w:rsidR="00C5466E" w:rsidRPr="00406DDA" w:rsidRDefault="003C77F3" w:rsidP="003C77F3">
      <w:r>
        <w:t xml:space="preserve">Se admite </w:t>
      </w:r>
      <w:r w:rsidR="003F1FE9">
        <w:t>más</w:t>
      </w:r>
      <w:r w:rsidR="004E4E8E">
        <w:t xml:space="preserve"> </w:t>
      </w:r>
      <w:r w:rsidR="003F1FE9">
        <w:t>d</w:t>
      </w:r>
      <w:r w:rsidR="004E4E8E">
        <w:t>el</w:t>
      </w:r>
      <w:r>
        <w:t xml:space="preserve"> </w:t>
      </w:r>
      <w:r w:rsidR="003F1FE9">
        <w:t>78</w:t>
      </w:r>
      <w:r>
        <w:t>% de las solicitudes tramitadas y la proporción de solicitudes inadmitidas s</w:t>
      </w:r>
      <w:r w:rsidR="004E4E8E">
        <w:t xml:space="preserve">e sitúa  en el </w:t>
      </w:r>
      <w:r w:rsidR="003F1FE9">
        <w:t>17,2</w:t>
      </w:r>
      <w:r>
        <w:t xml:space="preserve">%. Finalmente se archiva un </w:t>
      </w:r>
      <w:r w:rsidR="004E4E8E">
        <w:t>3,</w:t>
      </w:r>
      <w:r w:rsidR="003F1FE9">
        <w:t>9</w:t>
      </w:r>
      <w:r>
        <w:t xml:space="preserve">% de las solicitudes tramitadas. </w:t>
      </w:r>
    </w:p>
    <w:p w:rsidR="00406DDA" w:rsidRPr="00406DDA" w:rsidRDefault="00C5466E" w:rsidP="00406DDA">
      <w:pPr>
        <w:pStyle w:val="Epgrafe"/>
        <w:keepNext/>
        <w:rPr>
          <w:color w:val="438086" w:themeColor="accent2"/>
          <w:sz w:val="22"/>
          <w:szCs w:val="22"/>
        </w:rPr>
      </w:pPr>
      <w:r>
        <w:rPr>
          <w:color w:val="438086" w:themeColor="accent2"/>
          <w:sz w:val="22"/>
          <w:szCs w:val="22"/>
        </w:rPr>
        <w:t>Tabla</w:t>
      </w:r>
      <w:r w:rsidR="00406DDA" w:rsidRPr="00406DDA">
        <w:rPr>
          <w:color w:val="438086" w:themeColor="accent2"/>
          <w:sz w:val="22"/>
          <w:szCs w:val="22"/>
        </w:rPr>
        <w:t xml:space="preserve"> </w:t>
      </w:r>
      <w:r w:rsidR="00406DDA" w:rsidRPr="00406DDA">
        <w:rPr>
          <w:color w:val="438086" w:themeColor="accent2"/>
          <w:sz w:val="22"/>
          <w:szCs w:val="22"/>
        </w:rPr>
        <w:fldChar w:fldCharType="begin"/>
      </w:r>
      <w:r w:rsidR="00406DDA" w:rsidRPr="00406DDA">
        <w:rPr>
          <w:color w:val="438086" w:themeColor="accent2"/>
          <w:sz w:val="22"/>
          <w:szCs w:val="22"/>
        </w:rPr>
        <w:instrText xml:space="preserve"> SEQ Cuadro \* ARABIC </w:instrText>
      </w:r>
      <w:r w:rsidR="00406DDA" w:rsidRPr="00406DDA">
        <w:rPr>
          <w:color w:val="438086" w:themeColor="accent2"/>
          <w:sz w:val="22"/>
          <w:szCs w:val="22"/>
        </w:rPr>
        <w:fldChar w:fldCharType="separate"/>
      </w:r>
      <w:r w:rsidR="00DD555A">
        <w:rPr>
          <w:noProof/>
          <w:color w:val="438086" w:themeColor="accent2"/>
          <w:sz w:val="22"/>
          <w:szCs w:val="22"/>
        </w:rPr>
        <w:t>4</w:t>
      </w:r>
      <w:r w:rsidR="00406DDA" w:rsidRPr="00406DDA">
        <w:rPr>
          <w:color w:val="438086" w:themeColor="accent2"/>
          <w:sz w:val="22"/>
          <w:szCs w:val="22"/>
        </w:rPr>
        <w:fldChar w:fldCharType="end"/>
      </w:r>
      <w:r w:rsidR="00406DDA" w:rsidRPr="00406DDA">
        <w:rPr>
          <w:color w:val="438086" w:themeColor="accent2"/>
          <w:sz w:val="22"/>
          <w:szCs w:val="22"/>
        </w:rPr>
        <w:t>: Indicadores de tramitación 2020</w:t>
      </w:r>
    </w:p>
    <w:tbl>
      <w:tblPr>
        <w:tblStyle w:val="Tablaconcuadrcula"/>
        <w:tblW w:w="0" w:type="auto"/>
        <w:tblInd w:w="534" w:type="dxa"/>
        <w:tblLook w:val="04A0" w:firstRow="1" w:lastRow="0" w:firstColumn="1" w:lastColumn="0" w:noHBand="0" w:noVBand="1"/>
      </w:tblPr>
      <w:tblGrid>
        <w:gridCol w:w="1211"/>
        <w:gridCol w:w="5921"/>
        <w:gridCol w:w="1480"/>
      </w:tblGrid>
      <w:tr w:rsidR="003F1FE9" w:rsidRPr="004E4E8E" w:rsidTr="003C77F3">
        <w:tc>
          <w:tcPr>
            <w:tcW w:w="1211" w:type="dxa"/>
            <w:vMerge w:val="restart"/>
            <w:tcBorders>
              <w:top w:val="nil"/>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r w:rsidRPr="004E4E8E">
              <w:rPr>
                <w:b/>
                <w:color w:val="FFFFFF" w:themeColor="background1"/>
                <w:sz w:val="20"/>
              </w:rPr>
              <w:t>Indicadores de tramitación</w:t>
            </w:r>
          </w:p>
        </w:tc>
        <w:tc>
          <w:tcPr>
            <w:tcW w:w="5921" w:type="dxa"/>
            <w:tcBorders>
              <w:left w:val="nil"/>
            </w:tcBorders>
          </w:tcPr>
          <w:p w:rsidR="003F1FE9" w:rsidRPr="004E4E8E" w:rsidRDefault="003F1FE9" w:rsidP="00131645">
            <w:pPr>
              <w:rPr>
                <w:sz w:val="20"/>
              </w:rPr>
            </w:pPr>
            <w:r w:rsidRPr="004E4E8E">
              <w:rPr>
                <w:sz w:val="20"/>
              </w:rPr>
              <w:t>Solicitudes/persona UIT</w:t>
            </w:r>
          </w:p>
        </w:tc>
        <w:tc>
          <w:tcPr>
            <w:tcW w:w="1480" w:type="dxa"/>
          </w:tcPr>
          <w:p w:rsidR="003F1FE9" w:rsidRPr="003F1FE9" w:rsidRDefault="003F1FE9" w:rsidP="003F1FE9">
            <w:pPr>
              <w:jc w:val="center"/>
              <w:rPr>
                <w:sz w:val="20"/>
              </w:rPr>
            </w:pPr>
            <w:r w:rsidRPr="003F1FE9">
              <w:rPr>
                <w:sz w:val="20"/>
              </w:rPr>
              <w:t>20,49</w:t>
            </w:r>
          </w:p>
        </w:tc>
      </w:tr>
      <w:tr w:rsidR="003F1FE9" w:rsidRPr="004E4E8E" w:rsidTr="003C77F3">
        <w:tc>
          <w:tcPr>
            <w:tcW w:w="1211" w:type="dxa"/>
            <w:vMerge/>
            <w:tcBorders>
              <w:top w:val="nil"/>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Solicitudes tramitadas/persona UIT</w:t>
            </w:r>
          </w:p>
        </w:tc>
        <w:tc>
          <w:tcPr>
            <w:tcW w:w="1480" w:type="dxa"/>
          </w:tcPr>
          <w:p w:rsidR="003F1FE9" w:rsidRPr="003F1FE9" w:rsidRDefault="003F1FE9" w:rsidP="003F1FE9">
            <w:pPr>
              <w:jc w:val="center"/>
              <w:rPr>
                <w:sz w:val="20"/>
              </w:rPr>
            </w:pPr>
            <w:r w:rsidRPr="003F1FE9">
              <w:rPr>
                <w:sz w:val="20"/>
              </w:rPr>
              <w:t>20,32</w:t>
            </w:r>
          </w:p>
        </w:tc>
      </w:tr>
      <w:tr w:rsidR="003F1FE9" w:rsidRPr="004E4E8E" w:rsidTr="003C77F3">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Tramitación (tramitadas/(pendientes a 31/12/2019 + recibidas 2020))</w:t>
            </w:r>
          </w:p>
        </w:tc>
        <w:tc>
          <w:tcPr>
            <w:tcW w:w="1480" w:type="dxa"/>
          </w:tcPr>
          <w:p w:rsidR="003F1FE9" w:rsidRPr="003F1FE9" w:rsidRDefault="003F1FE9" w:rsidP="003F1FE9">
            <w:pPr>
              <w:jc w:val="center"/>
              <w:rPr>
                <w:sz w:val="20"/>
              </w:rPr>
            </w:pPr>
            <w:r w:rsidRPr="003F1FE9">
              <w:rPr>
                <w:sz w:val="20"/>
              </w:rPr>
              <w:t>97,13</w:t>
            </w:r>
          </w:p>
        </w:tc>
      </w:tr>
      <w:tr w:rsidR="003F1FE9" w:rsidRPr="004E4E8E" w:rsidTr="003C77F3">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pendencia (pendientes a 31/12/2020 / tramitadas)</w:t>
            </w:r>
          </w:p>
        </w:tc>
        <w:tc>
          <w:tcPr>
            <w:tcW w:w="1480" w:type="dxa"/>
          </w:tcPr>
          <w:p w:rsidR="003F1FE9" w:rsidRPr="003F1FE9" w:rsidRDefault="003F1FE9" w:rsidP="003F1FE9">
            <w:pPr>
              <w:jc w:val="center"/>
              <w:rPr>
                <w:sz w:val="20"/>
              </w:rPr>
            </w:pPr>
            <w:r w:rsidRPr="003F1FE9">
              <w:rPr>
                <w:sz w:val="20"/>
              </w:rPr>
              <w:t>3,69</w:t>
            </w:r>
          </w:p>
        </w:tc>
      </w:tr>
      <w:tr w:rsidR="003F1FE9" w:rsidRPr="004E4E8E" w:rsidTr="003C77F3">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resolución en la tramitación (tramitadas/entradas en 2020)</w:t>
            </w:r>
          </w:p>
        </w:tc>
        <w:tc>
          <w:tcPr>
            <w:tcW w:w="1480" w:type="dxa"/>
          </w:tcPr>
          <w:p w:rsidR="003F1FE9" w:rsidRPr="003F1FE9" w:rsidRDefault="003F1FE9" w:rsidP="003F1FE9">
            <w:pPr>
              <w:jc w:val="center"/>
              <w:rPr>
                <w:sz w:val="20"/>
              </w:rPr>
            </w:pPr>
            <w:r w:rsidRPr="003F1FE9">
              <w:rPr>
                <w:sz w:val="20"/>
              </w:rPr>
              <w:t>97,65</w:t>
            </w:r>
          </w:p>
        </w:tc>
      </w:tr>
      <w:tr w:rsidR="003F1FE9" w:rsidRPr="004E4E8E" w:rsidTr="003C77F3">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congestión ((pendientes a 31/12/2019 + entradas 2020) / tramitadas)</w:t>
            </w:r>
          </w:p>
        </w:tc>
        <w:tc>
          <w:tcPr>
            <w:tcW w:w="1480" w:type="dxa"/>
          </w:tcPr>
          <w:p w:rsidR="003F1FE9" w:rsidRPr="003F1FE9" w:rsidRDefault="003F1FE9" w:rsidP="003F1FE9">
            <w:pPr>
              <w:jc w:val="center"/>
              <w:rPr>
                <w:sz w:val="20"/>
              </w:rPr>
            </w:pPr>
            <w:r w:rsidRPr="003F1FE9">
              <w:rPr>
                <w:sz w:val="20"/>
              </w:rPr>
              <w:t>103,26</w:t>
            </w:r>
          </w:p>
        </w:tc>
      </w:tr>
      <w:tr w:rsidR="003F1FE9" w:rsidRPr="004E4E8E" w:rsidTr="003C77F3">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 xml:space="preserve">Tiempo medio estimado para la tramitación de las solicitudes pendientes ((pendientes a 31/12/2020 / tramitadas)*365 </w:t>
            </w:r>
          </w:p>
        </w:tc>
        <w:tc>
          <w:tcPr>
            <w:tcW w:w="1480" w:type="dxa"/>
          </w:tcPr>
          <w:p w:rsidR="003F1FE9" w:rsidRPr="003F1FE9" w:rsidRDefault="003F1FE9" w:rsidP="003F1FE9">
            <w:pPr>
              <w:jc w:val="center"/>
              <w:rPr>
                <w:sz w:val="20"/>
              </w:rPr>
            </w:pPr>
            <w:r w:rsidRPr="003F1FE9">
              <w:rPr>
                <w:sz w:val="20"/>
              </w:rPr>
              <w:t>13,45</w:t>
            </w:r>
          </w:p>
        </w:tc>
      </w:tr>
      <w:tr w:rsidR="003F1FE9" w:rsidRPr="004E4E8E" w:rsidTr="009150E1">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admisión (admitidas/tramitadas)</w:t>
            </w:r>
          </w:p>
        </w:tc>
        <w:tc>
          <w:tcPr>
            <w:tcW w:w="1480" w:type="dxa"/>
          </w:tcPr>
          <w:p w:rsidR="003F1FE9" w:rsidRPr="003F1FE9" w:rsidRDefault="003F1FE9" w:rsidP="003F1FE9">
            <w:pPr>
              <w:jc w:val="center"/>
              <w:rPr>
                <w:sz w:val="20"/>
              </w:rPr>
            </w:pPr>
            <w:r w:rsidRPr="003F1FE9">
              <w:rPr>
                <w:sz w:val="20"/>
              </w:rPr>
              <w:t>78,08</w:t>
            </w:r>
          </w:p>
        </w:tc>
      </w:tr>
      <w:tr w:rsidR="003F1FE9" w:rsidRPr="004E4E8E" w:rsidTr="009150E1">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inadmisión (inadmitidas/ tramitadas)</w:t>
            </w:r>
          </w:p>
        </w:tc>
        <w:tc>
          <w:tcPr>
            <w:tcW w:w="1480" w:type="dxa"/>
          </w:tcPr>
          <w:p w:rsidR="003F1FE9" w:rsidRPr="003F1FE9" w:rsidRDefault="003F1FE9" w:rsidP="003F1FE9">
            <w:pPr>
              <w:jc w:val="center"/>
              <w:rPr>
                <w:sz w:val="20"/>
              </w:rPr>
            </w:pPr>
            <w:r w:rsidRPr="003F1FE9">
              <w:rPr>
                <w:sz w:val="20"/>
              </w:rPr>
              <w:t>17,19</w:t>
            </w:r>
          </w:p>
        </w:tc>
      </w:tr>
      <w:tr w:rsidR="003F1FE9" w:rsidRPr="004E4E8E" w:rsidTr="009150E1">
        <w:tc>
          <w:tcPr>
            <w:tcW w:w="1211" w:type="dxa"/>
            <w:vMerge/>
            <w:tcBorders>
              <w:right w:val="nil"/>
            </w:tcBorders>
            <w:shd w:val="clear" w:color="auto" w:fill="438086" w:themeFill="accent2"/>
            <w:textDirection w:val="btLr"/>
          </w:tcPr>
          <w:p w:rsidR="003F1FE9" w:rsidRPr="004E4E8E" w:rsidRDefault="003F1FE9" w:rsidP="00131645">
            <w:pPr>
              <w:ind w:left="113" w:right="113"/>
              <w:jc w:val="center"/>
              <w:rPr>
                <w:b/>
                <w:color w:val="FFFFFF" w:themeColor="background1"/>
                <w:sz w:val="20"/>
              </w:rPr>
            </w:pPr>
          </w:p>
        </w:tc>
        <w:tc>
          <w:tcPr>
            <w:tcW w:w="5921" w:type="dxa"/>
            <w:tcBorders>
              <w:left w:val="nil"/>
            </w:tcBorders>
          </w:tcPr>
          <w:p w:rsidR="003F1FE9" w:rsidRPr="004E4E8E" w:rsidRDefault="003F1FE9" w:rsidP="00131645">
            <w:pPr>
              <w:rPr>
                <w:sz w:val="20"/>
              </w:rPr>
            </w:pPr>
            <w:r w:rsidRPr="004E4E8E">
              <w:rPr>
                <w:sz w:val="20"/>
              </w:rPr>
              <w:t>Tasa de archivo (archivadas/tramitadas)</w:t>
            </w:r>
          </w:p>
        </w:tc>
        <w:tc>
          <w:tcPr>
            <w:tcW w:w="1480" w:type="dxa"/>
          </w:tcPr>
          <w:p w:rsidR="003F1FE9" w:rsidRPr="003F1FE9" w:rsidRDefault="003F1FE9" w:rsidP="003F1FE9">
            <w:pPr>
              <w:jc w:val="center"/>
              <w:rPr>
                <w:sz w:val="20"/>
              </w:rPr>
            </w:pPr>
            <w:r w:rsidRPr="003F1FE9">
              <w:rPr>
                <w:sz w:val="20"/>
              </w:rPr>
              <w:t>3,91</w:t>
            </w:r>
          </w:p>
        </w:tc>
      </w:tr>
    </w:tbl>
    <w:p w:rsidR="0019120F" w:rsidRDefault="0019120F" w:rsidP="0019120F">
      <w:pPr>
        <w:rPr>
          <w:rFonts w:asciiTheme="majorHAnsi" w:hAnsiTheme="majorHAnsi"/>
          <w:color w:val="438086" w:themeColor="accent2"/>
          <w:szCs w:val="24"/>
        </w:rPr>
      </w:pPr>
    </w:p>
    <w:p w:rsidR="0019120F" w:rsidRPr="003C77F3" w:rsidRDefault="0019120F" w:rsidP="0019120F">
      <w:pPr>
        <w:rPr>
          <w:rFonts w:asciiTheme="majorHAnsi" w:hAnsiTheme="majorHAnsi"/>
          <w:b/>
          <w:color w:val="438086" w:themeColor="accent2"/>
          <w:szCs w:val="24"/>
        </w:rPr>
      </w:pPr>
      <w:r w:rsidRPr="003C77F3">
        <w:rPr>
          <w:rFonts w:asciiTheme="majorHAnsi" w:hAnsiTheme="majorHAnsi"/>
          <w:b/>
          <w:color w:val="438086" w:themeColor="accent2"/>
          <w:szCs w:val="24"/>
        </w:rPr>
        <w:t>Resoluciones emitidas en 2020</w:t>
      </w:r>
    </w:p>
    <w:p w:rsidR="00CD6DDF" w:rsidRPr="00CD6DDF" w:rsidRDefault="00CD6DDF" w:rsidP="00CD6DDF">
      <w:pPr>
        <w:rPr>
          <w:rFonts w:eastAsia="Times New Roman" w:cs="Times New Roman"/>
          <w:b/>
          <w:bCs/>
          <w:color w:val="00642D"/>
          <w:sz w:val="26"/>
          <w:szCs w:val="26"/>
          <w:lang w:bidi="es-ES"/>
        </w:rPr>
      </w:pPr>
      <w:r w:rsidRPr="00CD6DDF">
        <w:rPr>
          <w:rFonts w:eastAsia="Times New Roman" w:cs="Times New Roman"/>
          <w:bCs/>
          <w:szCs w:val="22"/>
          <w:lang w:bidi="es-ES"/>
        </w:rPr>
        <w:t xml:space="preserve">Respecto de las resoluciones emitidas en 2020, </w:t>
      </w:r>
      <w:r w:rsidR="003F1FE9">
        <w:rPr>
          <w:rFonts w:eastAsia="Times New Roman" w:cs="Times New Roman"/>
          <w:bCs/>
          <w:szCs w:val="22"/>
          <w:lang w:bidi="es-ES"/>
        </w:rPr>
        <w:t>391</w:t>
      </w:r>
      <w:r w:rsidRPr="00CD6DDF">
        <w:rPr>
          <w:rFonts w:eastAsia="Times New Roman" w:cs="Times New Roman"/>
          <w:bCs/>
          <w:szCs w:val="22"/>
          <w:lang w:bidi="es-ES"/>
        </w:rPr>
        <w:t xml:space="preserve"> concedieron la información</w:t>
      </w:r>
      <w:r w:rsidR="008367DC">
        <w:rPr>
          <w:rFonts w:eastAsia="Times New Roman" w:cs="Times New Roman"/>
          <w:bCs/>
          <w:szCs w:val="22"/>
          <w:lang w:bidi="es-ES"/>
        </w:rPr>
        <w:t>;</w:t>
      </w:r>
      <w:r w:rsidRPr="00CD6DDF">
        <w:rPr>
          <w:rFonts w:eastAsia="Times New Roman" w:cs="Times New Roman"/>
          <w:bCs/>
          <w:szCs w:val="22"/>
          <w:lang w:bidi="es-ES"/>
        </w:rPr>
        <w:t xml:space="preserve"> de </w:t>
      </w:r>
      <w:r w:rsidR="00DF2B08">
        <w:rPr>
          <w:rFonts w:eastAsia="Times New Roman" w:cs="Times New Roman"/>
          <w:bCs/>
          <w:szCs w:val="22"/>
          <w:lang w:bidi="es-ES"/>
        </w:rPr>
        <w:t>ellas</w:t>
      </w:r>
      <w:r w:rsidR="008367DC">
        <w:rPr>
          <w:rFonts w:eastAsia="Times New Roman" w:cs="Times New Roman"/>
          <w:bCs/>
          <w:szCs w:val="22"/>
          <w:lang w:bidi="es-ES"/>
        </w:rPr>
        <w:t>,</w:t>
      </w:r>
      <w:r w:rsidRPr="00CD6DDF">
        <w:rPr>
          <w:rFonts w:eastAsia="Times New Roman" w:cs="Times New Roman"/>
          <w:bCs/>
          <w:szCs w:val="22"/>
          <w:lang w:bidi="es-ES"/>
        </w:rPr>
        <w:t xml:space="preserve"> </w:t>
      </w:r>
      <w:r w:rsidR="003F1FE9">
        <w:rPr>
          <w:rFonts w:eastAsia="Times New Roman" w:cs="Times New Roman"/>
          <w:bCs/>
          <w:szCs w:val="22"/>
          <w:lang w:bidi="es-ES"/>
        </w:rPr>
        <w:t>330</w:t>
      </w:r>
      <w:r w:rsidRPr="00CD6DDF">
        <w:rPr>
          <w:rFonts w:eastAsia="Times New Roman" w:cs="Times New Roman"/>
          <w:bCs/>
          <w:szCs w:val="22"/>
          <w:lang w:bidi="es-ES"/>
        </w:rPr>
        <w:t xml:space="preserve"> dieron acceso total y </w:t>
      </w:r>
      <w:r w:rsidR="003F1FE9">
        <w:rPr>
          <w:rFonts w:eastAsia="Times New Roman" w:cs="Times New Roman"/>
          <w:bCs/>
          <w:szCs w:val="22"/>
          <w:lang w:bidi="es-ES"/>
        </w:rPr>
        <w:t>24</w:t>
      </w:r>
      <w:r w:rsidR="008367DC">
        <w:rPr>
          <w:rFonts w:eastAsia="Times New Roman" w:cs="Times New Roman"/>
          <w:bCs/>
          <w:szCs w:val="22"/>
          <w:lang w:bidi="es-ES"/>
        </w:rPr>
        <w:t>,</w:t>
      </w:r>
      <w:r w:rsidRPr="00CD6DDF">
        <w:rPr>
          <w:rFonts w:eastAsia="Times New Roman" w:cs="Times New Roman"/>
          <w:bCs/>
          <w:szCs w:val="22"/>
          <w:lang w:bidi="es-ES"/>
        </w:rPr>
        <w:t xml:space="preserve"> parcial. </w:t>
      </w:r>
      <w:r w:rsidR="008726DA">
        <w:rPr>
          <w:rFonts w:eastAsia="Times New Roman" w:cs="Times New Roman"/>
          <w:bCs/>
          <w:szCs w:val="22"/>
          <w:lang w:bidi="es-ES"/>
        </w:rPr>
        <w:t xml:space="preserve">Fueron denegadas </w:t>
      </w:r>
      <w:r w:rsidR="003713E6">
        <w:rPr>
          <w:rFonts w:eastAsia="Times New Roman" w:cs="Times New Roman"/>
          <w:bCs/>
          <w:szCs w:val="22"/>
          <w:lang w:bidi="es-ES"/>
        </w:rPr>
        <w:t>4</w:t>
      </w:r>
      <w:r w:rsidR="003F1FE9">
        <w:rPr>
          <w:rFonts w:eastAsia="Times New Roman" w:cs="Times New Roman"/>
          <w:bCs/>
          <w:szCs w:val="22"/>
          <w:lang w:bidi="es-ES"/>
        </w:rPr>
        <w:t>8</w:t>
      </w:r>
      <w:r w:rsidR="008726DA">
        <w:rPr>
          <w:rFonts w:eastAsia="Times New Roman" w:cs="Times New Roman"/>
          <w:bCs/>
          <w:szCs w:val="22"/>
          <w:lang w:bidi="es-ES"/>
        </w:rPr>
        <w:t xml:space="preserve"> </w:t>
      </w:r>
      <w:r w:rsidRPr="00CD6DDF">
        <w:rPr>
          <w:rFonts w:eastAsia="Times New Roman" w:cs="Times New Roman"/>
          <w:bCs/>
          <w:szCs w:val="22"/>
          <w:lang w:bidi="es-ES"/>
        </w:rPr>
        <w:t>solicitudes</w:t>
      </w:r>
      <w:r w:rsidR="008726DA">
        <w:rPr>
          <w:rFonts w:eastAsia="Times New Roman" w:cs="Times New Roman"/>
          <w:bCs/>
          <w:szCs w:val="22"/>
          <w:lang w:bidi="es-ES"/>
        </w:rPr>
        <w:t xml:space="preserve">. Las instituciones que han aportado información sobre los límites del artículo 14 aplicados indican que 3 </w:t>
      </w:r>
      <w:r w:rsidR="00F73DA5">
        <w:rPr>
          <w:rFonts w:eastAsia="Times New Roman" w:cs="Times New Roman"/>
          <w:bCs/>
          <w:szCs w:val="22"/>
          <w:lang w:bidi="es-ES"/>
        </w:rPr>
        <w:t xml:space="preserve">solicitudes fueron denegadas </w:t>
      </w:r>
      <w:r w:rsidR="008726DA">
        <w:rPr>
          <w:rFonts w:eastAsia="Times New Roman" w:cs="Times New Roman"/>
          <w:bCs/>
          <w:szCs w:val="22"/>
          <w:lang w:bidi="es-ES"/>
        </w:rPr>
        <w:t>aplicando como límite la seguridad nacional</w:t>
      </w:r>
      <w:r w:rsidR="002D19D0">
        <w:rPr>
          <w:rFonts w:eastAsia="Times New Roman" w:cs="Times New Roman"/>
          <w:bCs/>
          <w:szCs w:val="22"/>
          <w:lang w:bidi="es-ES"/>
        </w:rPr>
        <w:t xml:space="preserve">, 1 la </w:t>
      </w:r>
      <w:r w:rsidR="002D19D0" w:rsidRPr="002D19D0">
        <w:rPr>
          <w:rFonts w:eastAsia="Times New Roman" w:cs="Times New Roman"/>
          <w:bCs/>
          <w:szCs w:val="22"/>
          <w:lang w:bidi="es-ES"/>
        </w:rPr>
        <w:t>prevención, investigación y sanción de los ilícitos penales, administrativos o disciplinarios</w:t>
      </w:r>
      <w:r w:rsidR="002D19D0">
        <w:rPr>
          <w:rFonts w:eastAsia="Times New Roman" w:cs="Times New Roman"/>
          <w:bCs/>
          <w:szCs w:val="22"/>
          <w:lang w:bidi="es-ES"/>
        </w:rPr>
        <w:t xml:space="preserve"> y otra más la protección de datos de carácter personal.</w:t>
      </w:r>
      <w:r w:rsidRPr="00CD6DDF">
        <w:rPr>
          <w:rFonts w:eastAsia="Times New Roman" w:cs="Times New Roman"/>
          <w:bCs/>
          <w:szCs w:val="22"/>
          <w:lang w:bidi="es-ES"/>
        </w:rPr>
        <w:t xml:space="preserve"> </w:t>
      </w:r>
    </w:p>
    <w:p w:rsidR="00CD6DDF" w:rsidRDefault="00F73DA5" w:rsidP="00CD6DDF">
      <w:pPr>
        <w:spacing w:before="120" w:after="120"/>
        <w:rPr>
          <w:rFonts w:eastAsia="Times New Roman" w:cs="Times New Roman"/>
          <w:bCs/>
          <w:szCs w:val="22"/>
          <w:lang w:bidi="es-ES"/>
        </w:rPr>
      </w:pPr>
      <w:r>
        <w:rPr>
          <w:rFonts w:eastAsia="Times New Roman" w:cs="Times New Roman"/>
          <w:bCs/>
          <w:szCs w:val="22"/>
          <w:lang w:bidi="es-ES"/>
        </w:rPr>
        <w:t xml:space="preserve">Sólo el </w:t>
      </w:r>
      <w:r w:rsidR="003713E6">
        <w:rPr>
          <w:rFonts w:eastAsia="Times New Roman" w:cs="Times New Roman"/>
          <w:bCs/>
          <w:szCs w:val="22"/>
          <w:lang w:bidi="es-ES"/>
        </w:rPr>
        <w:t>40</w:t>
      </w:r>
      <w:r>
        <w:rPr>
          <w:rFonts w:eastAsia="Times New Roman" w:cs="Times New Roman"/>
          <w:bCs/>
          <w:szCs w:val="22"/>
          <w:lang w:bidi="es-ES"/>
        </w:rPr>
        <w:t>% de las instituciones evaluadas publica en su web institucional</w:t>
      </w:r>
      <w:r w:rsidR="00CD6DDF" w:rsidRPr="00CD6DDF">
        <w:rPr>
          <w:rFonts w:eastAsia="Times New Roman" w:cs="Times New Roman"/>
          <w:bCs/>
          <w:szCs w:val="22"/>
          <w:lang w:bidi="es-ES"/>
        </w:rPr>
        <w:t xml:space="preserve"> las solicitudes denegadas por aplicación de los límites del artículo 14 de la LTAIBG</w:t>
      </w:r>
      <w:r w:rsidR="00E64EFF">
        <w:rPr>
          <w:rFonts w:eastAsia="Times New Roman" w:cs="Times New Roman"/>
          <w:bCs/>
          <w:szCs w:val="22"/>
          <w:lang w:bidi="es-ES"/>
        </w:rPr>
        <w:t>.</w:t>
      </w:r>
      <w:r w:rsidR="00CD6DDF" w:rsidRPr="00CD6DDF">
        <w:rPr>
          <w:rFonts w:eastAsia="Times New Roman" w:cs="Times New Roman"/>
          <w:bCs/>
          <w:szCs w:val="22"/>
          <w:lang w:bidi="es-ES"/>
        </w:rPr>
        <w:t xml:space="preserve"> </w:t>
      </w:r>
    </w:p>
    <w:p w:rsidR="001572F5" w:rsidRDefault="001572F5" w:rsidP="00CD6DDF">
      <w:pPr>
        <w:spacing w:before="120" w:after="120"/>
        <w:rPr>
          <w:rFonts w:eastAsia="Times New Roman" w:cs="Times New Roman"/>
          <w:bCs/>
          <w:szCs w:val="22"/>
          <w:lang w:bidi="es-ES"/>
        </w:rPr>
      </w:pPr>
    </w:p>
    <w:p w:rsidR="0078130A" w:rsidRPr="00CD6DDF" w:rsidRDefault="0078130A" w:rsidP="00CD6DDF">
      <w:pPr>
        <w:spacing w:before="120" w:after="120"/>
        <w:rPr>
          <w:rFonts w:eastAsia="Times New Roman" w:cs="Times New Roman"/>
          <w:bCs/>
          <w:szCs w:val="22"/>
          <w:lang w:bidi="es-ES"/>
        </w:rPr>
      </w:pPr>
    </w:p>
    <w:p w:rsidR="0019120F" w:rsidRPr="00E64EFF" w:rsidRDefault="0019120F" w:rsidP="0019120F">
      <w:pPr>
        <w:rPr>
          <w:rFonts w:asciiTheme="majorHAnsi" w:hAnsiTheme="majorHAnsi"/>
          <w:b/>
          <w:color w:val="438086" w:themeColor="accent2"/>
          <w:szCs w:val="24"/>
        </w:rPr>
      </w:pPr>
      <w:r w:rsidRPr="00E64EFF">
        <w:rPr>
          <w:rFonts w:asciiTheme="majorHAnsi" w:hAnsiTheme="majorHAnsi"/>
          <w:b/>
          <w:color w:val="438086" w:themeColor="accent2"/>
          <w:szCs w:val="24"/>
        </w:rPr>
        <w:t>Indicadores de resolución en 2020</w:t>
      </w:r>
    </w:p>
    <w:p w:rsidR="00E64EFF" w:rsidRPr="00E64EFF" w:rsidRDefault="00E64EFF" w:rsidP="00E64EFF">
      <w:pPr>
        <w:rPr>
          <w:rFonts w:eastAsia="Times New Roman" w:cs="Times New Roman"/>
          <w:szCs w:val="22"/>
        </w:rPr>
      </w:pPr>
      <w:r>
        <w:rPr>
          <w:rFonts w:eastAsia="Times New Roman" w:cs="Times New Roman"/>
          <w:szCs w:val="22"/>
        </w:rPr>
        <w:t>Se</w:t>
      </w:r>
      <w:r w:rsidRPr="00E64EFF">
        <w:rPr>
          <w:rFonts w:eastAsia="Times New Roman" w:cs="Times New Roman"/>
          <w:szCs w:val="22"/>
        </w:rPr>
        <w:t xml:space="preserve"> emite resoluci</w:t>
      </w:r>
      <w:r>
        <w:rPr>
          <w:rFonts w:eastAsia="Times New Roman" w:cs="Times New Roman"/>
          <w:szCs w:val="22"/>
        </w:rPr>
        <w:t>ón</w:t>
      </w:r>
      <w:r w:rsidRPr="00E64EFF">
        <w:rPr>
          <w:rFonts w:eastAsia="Times New Roman" w:cs="Times New Roman"/>
          <w:szCs w:val="22"/>
        </w:rPr>
        <w:t xml:space="preserve"> expresa para </w:t>
      </w:r>
      <w:r w:rsidR="002D19D0">
        <w:rPr>
          <w:rFonts w:eastAsia="Times New Roman" w:cs="Times New Roman"/>
          <w:szCs w:val="22"/>
        </w:rPr>
        <w:t>más</w:t>
      </w:r>
      <w:r w:rsidR="003713E6">
        <w:rPr>
          <w:rFonts w:eastAsia="Times New Roman" w:cs="Times New Roman"/>
          <w:szCs w:val="22"/>
        </w:rPr>
        <w:t xml:space="preserve"> </w:t>
      </w:r>
      <w:r w:rsidR="002D19D0">
        <w:rPr>
          <w:rFonts w:eastAsia="Times New Roman" w:cs="Times New Roman"/>
          <w:szCs w:val="22"/>
        </w:rPr>
        <w:t>d</w:t>
      </w:r>
      <w:r w:rsidR="003713E6">
        <w:rPr>
          <w:rFonts w:eastAsia="Times New Roman" w:cs="Times New Roman"/>
          <w:szCs w:val="22"/>
        </w:rPr>
        <w:t>el 9</w:t>
      </w:r>
      <w:r w:rsidR="002D19D0">
        <w:rPr>
          <w:rFonts w:eastAsia="Times New Roman" w:cs="Times New Roman"/>
          <w:szCs w:val="22"/>
        </w:rPr>
        <w:t>1</w:t>
      </w:r>
      <w:r w:rsidR="003713E6">
        <w:rPr>
          <w:rFonts w:eastAsia="Times New Roman" w:cs="Times New Roman"/>
          <w:szCs w:val="22"/>
        </w:rPr>
        <w:t>%</w:t>
      </w:r>
      <w:r w:rsidRPr="00E64EFF">
        <w:rPr>
          <w:rFonts w:eastAsia="Times New Roman" w:cs="Times New Roman"/>
          <w:szCs w:val="22"/>
        </w:rPr>
        <w:t xml:space="preserve"> de las solicitudes admitidas</w:t>
      </w:r>
      <w:r>
        <w:rPr>
          <w:rFonts w:eastAsia="Times New Roman" w:cs="Times New Roman"/>
          <w:szCs w:val="22"/>
        </w:rPr>
        <w:t xml:space="preserve"> sobre las que se ha informado</w:t>
      </w:r>
      <w:r w:rsidRPr="00E64EFF">
        <w:rPr>
          <w:rFonts w:eastAsia="Times New Roman" w:cs="Times New Roman"/>
          <w:szCs w:val="22"/>
        </w:rPr>
        <w:t>. Ninguna solicitud ha sido desestimada por silencio administrativo.</w:t>
      </w:r>
    </w:p>
    <w:p w:rsidR="00E64EFF" w:rsidRDefault="00E64EFF" w:rsidP="00E64EFF">
      <w:pPr>
        <w:rPr>
          <w:rFonts w:eastAsia="Times New Roman" w:cs="Times New Roman"/>
          <w:szCs w:val="22"/>
        </w:rPr>
      </w:pPr>
      <w:r w:rsidRPr="00E64EFF">
        <w:rPr>
          <w:rFonts w:eastAsia="Times New Roman" w:cs="Times New Roman"/>
          <w:szCs w:val="22"/>
        </w:rPr>
        <w:t xml:space="preserve">Un </w:t>
      </w:r>
      <w:r w:rsidR="003713E6">
        <w:rPr>
          <w:rFonts w:eastAsia="Times New Roman" w:cs="Times New Roman"/>
          <w:szCs w:val="22"/>
        </w:rPr>
        <w:t>7</w:t>
      </w:r>
      <w:r w:rsidR="002D19D0">
        <w:rPr>
          <w:rFonts w:eastAsia="Times New Roman" w:cs="Times New Roman"/>
          <w:szCs w:val="22"/>
        </w:rPr>
        <w:t>9,2</w:t>
      </w:r>
      <w:r w:rsidRPr="00E64EFF">
        <w:rPr>
          <w:rFonts w:eastAsia="Times New Roman" w:cs="Times New Roman"/>
          <w:szCs w:val="22"/>
        </w:rPr>
        <w:t xml:space="preserve">% de las </w:t>
      </w:r>
      <w:r>
        <w:rPr>
          <w:rFonts w:eastAsia="Times New Roman" w:cs="Times New Roman"/>
          <w:szCs w:val="22"/>
        </w:rPr>
        <w:t>r</w:t>
      </w:r>
      <w:r w:rsidRPr="00E64EFF">
        <w:rPr>
          <w:rFonts w:eastAsia="Times New Roman" w:cs="Times New Roman"/>
          <w:szCs w:val="22"/>
        </w:rPr>
        <w:t xml:space="preserve">esoluciones concede el acceso a la información. De </w:t>
      </w:r>
      <w:r>
        <w:rPr>
          <w:rFonts w:eastAsia="Times New Roman" w:cs="Times New Roman"/>
          <w:szCs w:val="22"/>
        </w:rPr>
        <w:t>las  resoluciones que conceden información sobre las que se dispone de datos</w:t>
      </w:r>
      <w:r w:rsidRPr="00E64EFF">
        <w:rPr>
          <w:rFonts w:eastAsia="Times New Roman" w:cs="Times New Roman"/>
          <w:szCs w:val="22"/>
        </w:rPr>
        <w:t xml:space="preserve">, </w:t>
      </w:r>
      <w:r>
        <w:rPr>
          <w:rFonts w:eastAsia="Times New Roman" w:cs="Times New Roman"/>
          <w:szCs w:val="22"/>
        </w:rPr>
        <w:t>un</w:t>
      </w:r>
      <w:r w:rsidRPr="00E64EFF">
        <w:rPr>
          <w:rFonts w:eastAsia="Times New Roman" w:cs="Times New Roman"/>
          <w:szCs w:val="22"/>
        </w:rPr>
        <w:t xml:space="preserve"> </w:t>
      </w:r>
      <w:r w:rsidR="002D19D0">
        <w:rPr>
          <w:rFonts w:eastAsia="Times New Roman" w:cs="Times New Roman"/>
          <w:szCs w:val="22"/>
        </w:rPr>
        <w:t>77,5</w:t>
      </w:r>
      <w:r w:rsidRPr="00E64EFF">
        <w:rPr>
          <w:rFonts w:eastAsia="Times New Roman" w:cs="Times New Roman"/>
          <w:szCs w:val="22"/>
        </w:rPr>
        <w:t xml:space="preserve">% concede acceso total y </w:t>
      </w:r>
      <w:r>
        <w:rPr>
          <w:rFonts w:eastAsia="Times New Roman" w:cs="Times New Roman"/>
          <w:szCs w:val="22"/>
        </w:rPr>
        <w:t>un</w:t>
      </w:r>
      <w:r w:rsidRPr="00E64EFF">
        <w:rPr>
          <w:rFonts w:eastAsia="Times New Roman" w:cs="Times New Roman"/>
          <w:szCs w:val="22"/>
        </w:rPr>
        <w:t xml:space="preserve"> </w:t>
      </w:r>
      <w:r w:rsidR="002D19D0">
        <w:rPr>
          <w:rFonts w:eastAsia="Times New Roman" w:cs="Times New Roman"/>
          <w:szCs w:val="22"/>
        </w:rPr>
        <w:t>5,83</w:t>
      </w:r>
      <w:r w:rsidRPr="00E64EFF">
        <w:rPr>
          <w:rFonts w:eastAsia="Times New Roman" w:cs="Times New Roman"/>
          <w:szCs w:val="22"/>
        </w:rPr>
        <w:t xml:space="preserve">% acceso parcial. </w:t>
      </w:r>
      <w:r>
        <w:rPr>
          <w:rFonts w:eastAsia="Times New Roman" w:cs="Times New Roman"/>
          <w:szCs w:val="22"/>
        </w:rPr>
        <w:t xml:space="preserve">La proporción de resoluciones denegatorias es del </w:t>
      </w:r>
      <w:r w:rsidR="002D19D0">
        <w:rPr>
          <w:rFonts w:eastAsia="Times New Roman" w:cs="Times New Roman"/>
          <w:szCs w:val="22"/>
        </w:rPr>
        <w:t>7,56</w:t>
      </w:r>
      <w:r>
        <w:rPr>
          <w:rFonts w:eastAsia="Times New Roman" w:cs="Times New Roman"/>
          <w:szCs w:val="22"/>
        </w:rPr>
        <w:t>%</w:t>
      </w:r>
      <w:r w:rsidR="00CD171E">
        <w:rPr>
          <w:rFonts w:eastAsia="Times New Roman" w:cs="Times New Roman"/>
          <w:szCs w:val="22"/>
        </w:rPr>
        <w:t>.  A partir de la información proporcionada</w:t>
      </w:r>
      <w:r w:rsidR="001572F5">
        <w:rPr>
          <w:rFonts w:eastAsia="Times New Roman" w:cs="Times New Roman"/>
          <w:szCs w:val="22"/>
        </w:rPr>
        <w:t>, parece que</w:t>
      </w:r>
      <w:r w:rsidR="00CD171E">
        <w:rPr>
          <w:rFonts w:eastAsia="Times New Roman" w:cs="Times New Roman"/>
          <w:szCs w:val="22"/>
        </w:rPr>
        <w:t xml:space="preserve"> la aplicación de los límites del artículo 14 de la LTAIBG </w:t>
      </w:r>
      <w:r w:rsidR="001572F5">
        <w:rPr>
          <w:rFonts w:eastAsia="Times New Roman" w:cs="Times New Roman"/>
          <w:szCs w:val="22"/>
        </w:rPr>
        <w:t>a</w:t>
      </w:r>
      <w:r w:rsidR="00CD171E">
        <w:rPr>
          <w:rFonts w:eastAsia="Times New Roman" w:cs="Times New Roman"/>
          <w:szCs w:val="22"/>
        </w:rPr>
        <w:t>fecta</w:t>
      </w:r>
      <w:r w:rsidR="001572F5">
        <w:rPr>
          <w:rFonts w:eastAsia="Times New Roman" w:cs="Times New Roman"/>
          <w:szCs w:val="22"/>
        </w:rPr>
        <w:t xml:space="preserve"> a una minoría de las solicitudes desestimadas - </w:t>
      </w:r>
      <w:r w:rsidR="002D19D0">
        <w:rPr>
          <w:rFonts w:eastAsia="Times New Roman" w:cs="Times New Roman"/>
          <w:szCs w:val="22"/>
        </w:rPr>
        <w:t>5</w:t>
      </w:r>
      <w:r w:rsidR="00CD171E">
        <w:rPr>
          <w:rFonts w:eastAsia="Times New Roman" w:cs="Times New Roman"/>
          <w:szCs w:val="22"/>
        </w:rPr>
        <w:t xml:space="preserve"> de </w:t>
      </w:r>
      <w:r w:rsidR="003713E6">
        <w:rPr>
          <w:rFonts w:eastAsia="Times New Roman" w:cs="Times New Roman"/>
          <w:szCs w:val="22"/>
        </w:rPr>
        <w:t>4</w:t>
      </w:r>
      <w:r w:rsidR="002D19D0">
        <w:rPr>
          <w:rFonts w:eastAsia="Times New Roman" w:cs="Times New Roman"/>
          <w:szCs w:val="22"/>
        </w:rPr>
        <w:t>8</w:t>
      </w:r>
      <w:r w:rsidR="00CD171E">
        <w:rPr>
          <w:rFonts w:eastAsia="Times New Roman" w:cs="Times New Roman"/>
          <w:szCs w:val="22"/>
        </w:rPr>
        <w:t xml:space="preserve"> </w:t>
      </w:r>
      <w:r w:rsidR="001572F5">
        <w:rPr>
          <w:rFonts w:eastAsia="Times New Roman" w:cs="Times New Roman"/>
          <w:szCs w:val="22"/>
        </w:rPr>
        <w:t>-</w:t>
      </w:r>
      <w:r w:rsidR="00CD171E">
        <w:rPr>
          <w:rFonts w:eastAsia="Times New Roman" w:cs="Times New Roman"/>
          <w:szCs w:val="22"/>
        </w:rPr>
        <w:t>. E</w:t>
      </w:r>
      <w:r w:rsidRPr="00E64EFF">
        <w:rPr>
          <w:rFonts w:eastAsia="Times New Roman" w:cs="Times New Roman"/>
          <w:szCs w:val="22"/>
        </w:rPr>
        <w:t xml:space="preserve">l </w:t>
      </w:r>
      <w:r w:rsidR="002D19D0">
        <w:rPr>
          <w:rFonts w:eastAsia="Times New Roman" w:cs="Times New Roman"/>
          <w:szCs w:val="22"/>
        </w:rPr>
        <w:t>4,73</w:t>
      </w:r>
      <w:r w:rsidRPr="00E64EFF">
        <w:rPr>
          <w:rFonts w:eastAsia="Times New Roman" w:cs="Times New Roman"/>
          <w:szCs w:val="22"/>
        </w:rPr>
        <w:t>% adicional</w:t>
      </w:r>
      <w:r w:rsidR="00CD171E">
        <w:rPr>
          <w:rFonts w:eastAsia="Times New Roman" w:cs="Times New Roman"/>
          <w:szCs w:val="22"/>
        </w:rPr>
        <w:t xml:space="preserve"> de las solicitudes </w:t>
      </w:r>
      <w:r w:rsidR="003713E6">
        <w:rPr>
          <w:rFonts w:eastAsia="Times New Roman" w:cs="Times New Roman"/>
          <w:szCs w:val="22"/>
        </w:rPr>
        <w:t>admitidas</w:t>
      </w:r>
      <w:r w:rsidRPr="00E64EFF">
        <w:rPr>
          <w:rFonts w:eastAsia="Times New Roman" w:cs="Times New Roman"/>
          <w:szCs w:val="22"/>
        </w:rPr>
        <w:t xml:space="preserve"> </w:t>
      </w:r>
      <w:r w:rsidR="003713E6">
        <w:rPr>
          <w:rFonts w:eastAsia="Times New Roman" w:cs="Times New Roman"/>
          <w:szCs w:val="22"/>
        </w:rPr>
        <w:t>finaliza</w:t>
      </w:r>
      <w:r w:rsidRPr="00E64EFF">
        <w:rPr>
          <w:rFonts w:eastAsia="Times New Roman" w:cs="Times New Roman"/>
          <w:szCs w:val="22"/>
        </w:rPr>
        <w:t xml:space="preserve"> por desistimiento y otras causas.</w:t>
      </w:r>
    </w:p>
    <w:p w:rsidR="006469F3" w:rsidRPr="006469F3" w:rsidRDefault="008726DA" w:rsidP="006469F3">
      <w:pPr>
        <w:pStyle w:val="Epgrafe"/>
        <w:keepNext/>
        <w:rPr>
          <w:color w:val="438086" w:themeColor="accent2"/>
          <w:sz w:val="22"/>
          <w:szCs w:val="22"/>
        </w:rPr>
      </w:pPr>
      <w:r>
        <w:rPr>
          <w:color w:val="438086" w:themeColor="accent2"/>
          <w:sz w:val="22"/>
          <w:szCs w:val="22"/>
        </w:rPr>
        <w:t>Tabla</w:t>
      </w:r>
      <w:r w:rsidR="006469F3" w:rsidRPr="006469F3">
        <w:rPr>
          <w:color w:val="438086" w:themeColor="accent2"/>
          <w:sz w:val="22"/>
          <w:szCs w:val="22"/>
        </w:rPr>
        <w:t xml:space="preserve"> </w:t>
      </w:r>
      <w:r w:rsidR="006469F3" w:rsidRPr="006469F3">
        <w:rPr>
          <w:color w:val="438086" w:themeColor="accent2"/>
          <w:sz w:val="22"/>
          <w:szCs w:val="22"/>
        </w:rPr>
        <w:fldChar w:fldCharType="begin"/>
      </w:r>
      <w:r w:rsidR="006469F3" w:rsidRPr="006469F3">
        <w:rPr>
          <w:color w:val="438086" w:themeColor="accent2"/>
          <w:sz w:val="22"/>
          <w:szCs w:val="22"/>
        </w:rPr>
        <w:instrText xml:space="preserve"> SEQ Cuadro \* ARABIC </w:instrText>
      </w:r>
      <w:r w:rsidR="006469F3" w:rsidRPr="006469F3">
        <w:rPr>
          <w:color w:val="438086" w:themeColor="accent2"/>
          <w:sz w:val="22"/>
          <w:szCs w:val="22"/>
        </w:rPr>
        <w:fldChar w:fldCharType="separate"/>
      </w:r>
      <w:r w:rsidR="00DD555A">
        <w:rPr>
          <w:noProof/>
          <w:color w:val="438086" w:themeColor="accent2"/>
          <w:sz w:val="22"/>
          <w:szCs w:val="22"/>
        </w:rPr>
        <w:t>5</w:t>
      </w:r>
      <w:r w:rsidR="006469F3" w:rsidRPr="006469F3">
        <w:rPr>
          <w:color w:val="438086" w:themeColor="accent2"/>
          <w:sz w:val="22"/>
          <w:szCs w:val="22"/>
        </w:rPr>
        <w:fldChar w:fldCharType="end"/>
      </w:r>
      <w:r w:rsidR="006469F3" w:rsidRPr="006469F3">
        <w:rPr>
          <w:color w:val="438086" w:themeColor="accent2"/>
          <w:sz w:val="22"/>
          <w:szCs w:val="22"/>
        </w:rPr>
        <w:t>: Indicadores de resolución 2020</w:t>
      </w:r>
    </w:p>
    <w:tbl>
      <w:tblPr>
        <w:tblStyle w:val="Tablaconcuadrcula"/>
        <w:tblW w:w="0" w:type="auto"/>
        <w:tblInd w:w="675" w:type="dxa"/>
        <w:tblLook w:val="04A0" w:firstRow="1" w:lastRow="0" w:firstColumn="1" w:lastColumn="0" w:noHBand="0" w:noVBand="1"/>
      </w:tblPr>
      <w:tblGrid>
        <w:gridCol w:w="1229"/>
        <w:gridCol w:w="5907"/>
        <w:gridCol w:w="1476"/>
      </w:tblGrid>
      <w:tr w:rsidR="002D19D0" w:rsidRPr="003713E6" w:rsidTr="003713E6">
        <w:tc>
          <w:tcPr>
            <w:tcW w:w="1229" w:type="dxa"/>
            <w:vMerge w:val="restart"/>
            <w:tcBorders>
              <w:top w:val="nil"/>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r w:rsidRPr="003713E6">
              <w:rPr>
                <w:b/>
                <w:color w:val="FFFFFF" w:themeColor="background1"/>
                <w:sz w:val="20"/>
              </w:rPr>
              <w:t>Indicadores de resolución</w:t>
            </w:r>
          </w:p>
        </w:tc>
        <w:tc>
          <w:tcPr>
            <w:tcW w:w="5907" w:type="dxa"/>
            <w:tcBorders>
              <w:left w:val="nil"/>
            </w:tcBorders>
          </w:tcPr>
          <w:p w:rsidR="002D19D0" w:rsidRPr="003713E6" w:rsidRDefault="002D19D0" w:rsidP="006469F3">
            <w:pPr>
              <w:rPr>
                <w:sz w:val="20"/>
              </w:rPr>
            </w:pPr>
            <w:r w:rsidRPr="003713E6">
              <w:rPr>
                <w:sz w:val="20"/>
              </w:rPr>
              <w:t>Tasa de resolución (resoluciones expresas /solicitudes admitidas)</w:t>
            </w:r>
          </w:p>
        </w:tc>
        <w:tc>
          <w:tcPr>
            <w:tcW w:w="1476" w:type="dxa"/>
          </w:tcPr>
          <w:p w:rsidR="002D19D0" w:rsidRPr="002D19D0" w:rsidRDefault="002D19D0" w:rsidP="002D19D0">
            <w:pPr>
              <w:jc w:val="center"/>
              <w:rPr>
                <w:sz w:val="20"/>
              </w:rPr>
            </w:pPr>
            <w:r w:rsidRPr="002D19D0">
              <w:rPr>
                <w:sz w:val="20"/>
              </w:rPr>
              <w:t>91,48</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que conceden el acceso</w:t>
            </w:r>
          </w:p>
        </w:tc>
        <w:tc>
          <w:tcPr>
            <w:tcW w:w="1476" w:type="dxa"/>
          </w:tcPr>
          <w:p w:rsidR="002D19D0" w:rsidRPr="002D19D0" w:rsidRDefault="002D19D0" w:rsidP="002D19D0">
            <w:pPr>
              <w:jc w:val="center"/>
              <w:rPr>
                <w:sz w:val="20"/>
              </w:rPr>
            </w:pPr>
            <w:r w:rsidRPr="002D19D0">
              <w:rPr>
                <w:sz w:val="20"/>
              </w:rPr>
              <w:t>79,19</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que conceden acceso parcial</w:t>
            </w:r>
          </w:p>
        </w:tc>
        <w:tc>
          <w:tcPr>
            <w:tcW w:w="1476" w:type="dxa"/>
          </w:tcPr>
          <w:p w:rsidR="002D19D0" w:rsidRPr="002D19D0" w:rsidRDefault="002D19D0" w:rsidP="002D19D0">
            <w:pPr>
              <w:jc w:val="center"/>
              <w:rPr>
                <w:sz w:val="20"/>
              </w:rPr>
            </w:pPr>
            <w:r w:rsidRPr="002D19D0">
              <w:rPr>
                <w:sz w:val="20"/>
              </w:rPr>
              <w:t>5,83</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que conceden acceso total</w:t>
            </w:r>
          </w:p>
        </w:tc>
        <w:tc>
          <w:tcPr>
            <w:tcW w:w="1476" w:type="dxa"/>
          </w:tcPr>
          <w:p w:rsidR="002D19D0" w:rsidRPr="002D19D0" w:rsidRDefault="002D19D0" w:rsidP="002D19D0">
            <w:pPr>
              <w:jc w:val="center"/>
              <w:rPr>
                <w:sz w:val="20"/>
              </w:rPr>
            </w:pPr>
            <w:r w:rsidRPr="002D19D0">
              <w:rPr>
                <w:sz w:val="20"/>
              </w:rPr>
              <w:t>77,50</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que deniegan el acceso</w:t>
            </w:r>
          </w:p>
        </w:tc>
        <w:tc>
          <w:tcPr>
            <w:tcW w:w="1476" w:type="dxa"/>
          </w:tcPr>
          <w:p w:rsidR="002D19D0" w:rsidRPr="002D19D0" w:rsidRDefault="002D19D0" w:rsidP="002D19D0">
            <w:pPr>
              <w:jc w:val="center"/>
              <w:rPr>
                <w:sz w:val="20"/>
              </w:rPr>
            </w:pPr>
            <w:r w:rsidRPr="002D19D0">
              <w:rPr>
                <w:sz w:val="20"/>
              </w:rPr>
              <w:t>7,56</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que finalizan por silencio administrativo</w:t>
            </w:r>
          </w:p>
        </w:tc>
        <w:tc>
          <w:tcPr>
            <w:tcW w:w="1476" w:type="dxa"/>
          </w:tcPr>
          <w:p w:rsidR="002D19D0" w:rsidRPr="002D19D0" w:rsidRDefault="002D19D0" w:rsidP="002D19D0">
            <w:pPr>
              <w:jc w:val="center"/>
              <w:rPr>
                <w:sz w:val="20"/>
              </w:rPr>
            </w:pPr>
            <w:r w:rsidRPr="002D19D0">
              <w:rPr>
                <w:sz w:val="20"/>
              </w:rPr>
              <w:t>,00</w:t>
            </w:r>
          </w:p>
        </w:tc>
      </w:tr>
      <w:tr w:rsidR="002D19D0" w:rsidRPr="003713E6" w:rsidTr="003713E6">
        <w:tc>
          <w:tcPr>
            <w:tcW w:w="1229" w:type="dxa"/>
            <w:vMerge/>
            <w:tcBorders>
              <w:right w:val="nil"/>
            </w:tcBorders>
            <w:shd w:val="clear" w:color="auto" w:fill="438086" w:themeFill="accent2"/>
            <w:textDirection w:val="btLr"/>
          </w:tcPr>
          <w:p w:rsidR="002D19D0" w:rsidRPr="003713E6" w:rsidRDefault="002D19D0" w:rsidP="006469F3">
            <w:pPr>
              <w:ind w:left="113" w:right="113"/>
              <w:jc w:val="center"/>
              <w:rPr>
                <w:b/>
                <w:color w:val="FFFFFF" w:themeColor="background1"/>
                <w:sz w:val="20"/>
              </w:rPr>
            </w:pPr>
          </w:p>
        </w:tc>
        <w:tc>
          <w:tcPr>
            <w:tcW w:w="5907" w:type="dxa"/>
            <w:tcBorders>
              <w:left w:val="nil"/>
            </w:tcBorders>
          </w:tcPr>
          <w:p w:rsidR="002D19D0" w:rsidRPr="003713E6" w:rsidRDefault="002D19D0" w:rsidP="006469F3">
            <w:pPr>
              <w:rPr>
                <w:sz w:val="20"/>
              </w:rPr>
            </w:pPr>
            <w:r w:rsidRPr="003713E6">
              <w:rPr>
                <w:sz w:val="20"/>
              </w:rPr>
              <w:t>Porcentaje de resoluciones finalizadas por desistimiento y otras causas</w:t>
            </w:r>
          </w:p>
        </w:tc>
        <w:tc>
          <w:tcPr>
            <w:tcW w:w="1476" w:type="dxa"/>
          </w:tcPr>
          <w:p w:rsidR="002D19D0" w:rsidRPr="002D19D0" w:rsidRDefault="002D19D0" w:rsidP="002D19D0">
            <w:pPr>
              <w:jc w:val="center"/>
              <w:rPr>
                <w:sz w:val="20"/>
              </w:rPr>
            </w:pPr>
            <w:r w:rsidRPr="002D19D0">
              <w:rPr>
                <w:sz w:val="20"/>
              </w:rPr>
              <w:t>4,73</w:t>
            </w:r>
          </w:p>
        </w:tc>
      </w:tr>
    </w:tbl>
    <w:p w:rsidR="0019120F" w:rsidRDefault="0019120F" w:rsidP="0019120F"/>
    <w:p w:rsidR="0019120F" w:rsidRPr="006469F3" w:rsidRDefault="001D5F91" w:rsidP="001D5F91">
      <w:pPr>
        <w:pStyle w:val="Ttulo2"/>
      </w:pPr>
      <w:bookmarkStart w:id="18" w:name="_Toc69312059"/>
      <w:r>
        <w:t>IV</w:t>
      </w:r>
      <w:r w:rsidR="006469F3">
        <w:t xml:space="preserve">.3 </w:t>
      </w:r>
      <w:r w:rsidR="006469F3" w:rsidRPr="006469F3">
        <w:t>Ejercicio del derecho de acceso a la información pública</w:t>
      </w:r>
      <w:bookmarkEnd w:id="18"/>
    </w:p>
    <w:p w:rsidR="001D5F91" w:rsidRDefault="001D5F91" w:rsidP="0019120F">
      <w:pPr>
        <w:rPr>
          <w:rFonts w:asciiTheme="majorHAnsi" w:hAnsiTheme="majorHAnsi"/>
          <w:color w:val="438086" w:themeColor="accent2"/>
          <w:szCs w:val="24"/>
        </w:rPr>
      </w:pPr>
    </w:p>
    <w:p w:rsidR="0019120F" w:rsidRDefault="001D5F91" w:rsidP="001D5F91">
      <w:pPr>
        <w:pStyle w:val="Ttulo3"/>
      </w:pPr>
      <w:bookmarkStart w:id="19" w:name="_Toc69312060"/>
      <w:r>
        <w:t xml:space="preserve">IV.3.1 </w:t>
      </w:r>
      <w:r w:rsidR="006469F3" w:rsidRPr="006469F3">
        <w:t>Localización de la información y facilidad de acceso</w:t>
      </w:r>
      <w:bookmarkEnd w:id="19"/>
    </w:p>
    <w:p w:rsidR="001D5F91" w:rsidRDefault="001D5F91" w:rsidP="001D5F91">
      <w:pPr>
        <w:spacing w:before="120" w:after="120" w:line="312" w:lineRule="auto"/>
        <w:rPr>
          <w:rFonts w:asciiTheme="majorHAnsi" w:hAnsiTheme="majorHAnsi"/>
          <w:color w:val="438086" w:themeColor="accent2"/>
          <w:szCs w:val="24"/>
        </w:rPr>
      </w:pPr>
    </w:p>
    <w:p w:rsidR="001D5F91" w:rsidRPr="001D5F91" w:rsidRDefault="001257FB" w:rsidP="001D5F91">
      <w:pPr>
        <w:spacing w:before="120" w:after="120" w:line="312" w:lineRule="auto"/>
        <w:rPr>
          <w:rFonts w:eastAsia="Times New Roman" w:cs="Times New Roman"/>
          <w:bCs/>
          <w:szCs w:val="22"/>
          <w:lang w:bidi="es-ES"/>
        </w:rPr>
      </w:pPr>
      <w:r>
        <w:rPr>
          <w:rFonts w:eastAsia="Times New Roman" w:cs="Times New Roman"/>
          <w:bCs/>
          <w:szCs w:val="22"/>
          <w:lang w:bidi="es-ES"/>
        </w:rPr>
        <w:t>Nueve</w:t>
      </w:r>
      <w:r w:rsidR="001D5F91" w:rsidRPr="001D5F91">
        <w:rPr>
          <w:rFonts w:eastAsia="Times New Roman" w:cs="Times New Roman"/>
          <w:bCs/>
          <w:szCs w:val="22"/>
          <w:lang w:bidi="es-ES"/>
        </w:rPr>
        <w:t xml:space="preserve"> de las </w:t>
      </w:r>
      <w:r>
        <w:rPr>
          <w:rFonts w:eastAsia="Times New Roman" w:cs="Times New Roman"/>
          <w:bCs/>
          <w:szCs w:val="22"/>
          <w:lang w:bidi="es-ES"/>
        </w:rPr>
        <w:t>diez</w:t>
      </w:r>
      <w:r w:rsidR="001D5F91" w:rsidRPr="001D5F91">
        <w:rPr>
          <w:rFonts w:eastAsia="Times New Roman" w:cs="Times New Roman"/>
          <w:bCs/>
          <w:szCs w:val="22"/>
          <w:lang w:bidi="es-ES"/>
        </w:rPr>
        <w:t xml:space="preserve"> instituciones ha</w:t>
      </w:r>
      <w:r w:rsidR="001D5F91">
        <w:rPr>
          <w:rFonts w:eastAsia="Times New Roman" w:cs="Times New Roman"/>
          <w:bCs/>
          <w:szCs w:val="22"/>
          <w:lang w:bidi="es-ES"/>
        </w:rPr>
        <w:t>n</w:t>
      </w:r>
      <w:r w:rsidR="001D5F91" w:rsidRPr="001D5F91">
        <w:rPr>
          <w:rFonts w:eastAsia="Times New Roman" w:cs="Times New Roman"/>
          <w:bCs/>
          <w:szCs w:val="22"/>
          <w:lang w:bidi="es-ES"/>
        </w:rPr>
        <w:t xml:space="preserve"> habilitado espacio</w:t>
      </w:r>
      <w:r w:rsidR="001D5F91">
        <w:rPr>
          <w:rFonts w:eastAsia="Times New Roman" w:cs="Times New Roman"/>
          <w:bCs/>
          <w:szCs w:val="22"/>
          <w:lang w:bidi="es-ES"/>
        </w:rPr>
        <w:t>s</w:t>
      </w:r>
      <w:r w:rsidR="001D5F91" w:rsidRPr="001D5F91">
        <w:rPr>
          <w:rFonts w:eastAsia="Times New Roman" w:cs="Times New Roman"/>
          <w:bCs/>
          <w:szCs w:val="22"/>
          <w:lang w:bidi="es-ES"/>
        </w:rPr>
        <w:t xml:space="preserve"> específico</w:t>
      </w:r>
      <w:r w:rsidR="001D5F91">
        <w:rPr>
          <w:rFonts w:eastAsia="Times New Roman" w:cs="Times New Roman"/>
          <w:bCs/>
          <w:szCs w:val="22"/>
          <w:lang w:bidi="es-ES"/>
        </w:rPr>
        <w:t>s</w:t>
      </w:r>
      <w:r w:rsidR="001D5F91" w:rsidRPr="001D5F91">
        <w:rPr>
          <w:rFonts w:eastAsia="Times New Roman" w:cs="Times New Roman"/>
          <w:bCs/>
          <w:szCs w:val="22"/>
          <w:lang w:bidi="es-ES"/>
        </w:rPr>
        <w:t xml:space="preserve"> en </w:t>
      </w:r>
      <w:r w:rsidR="001D5F91">
        <w:rPr>
          <w:rFonts w:eastAsia="Times New Roman" w:cs="Times New Roman"/>
          <w:bCs/>
          <w:szCs w:val="22"/>
          <w:lang w:bidi="es-ES"/>
        </w:rPr>
        <w:t>sus</w:t>
      </w:r>
      <w:r w:rsidR="001D5F91" w:rsidRPr="001D5F91">
        <w:rPr>
          <w:rFonts w:eastAsia="Times New Roman" w:cs="Times New Roman"/>
          <w:bCs/>
          <w:szCs w:val="22"/>
          <w:lang w:bidi="es-ES"/>
        </w:rPr>
        <w:t xml:space="preserve"> </w:t>
      </w:r>
      <w:r w:rsidR="001D5F91">
        <w:rPr>
          <w:rFonts w:eastAsia="Times New Roman" w:cs="Times New Roman"/>
          <w:bCs/>
          <w:szCs w:val="22"/>
          <w:lang w:bidi="es-ES"/>
        </w:rPr>
        <w:t>p</w:t>
      </w:r>
      <w:r w:rsidR="001D5F91" w:rsidRPr="001D5F91">
        <w:rPr>
          <w:rFonts w:eastAsia="Times New Roman" w:cs="Times New Roman"/>
          <w:bCs/>
          <w:szCs w:val="22"/>
          <w:lang w:bidi="es-ES"/>
        </w:rPr>
        <w:t>ortal</w:t>
      </w:r>
      <w:r w:rsidR="001D5F91">
        <w:rPr>
          <w:rFonts w:eastAsia="Times New Roman" w:cs="Times New Roman"/>
          <w:bCs/>
          <w:szCs w:val="22"/>
          <w:lang w:bidi="es-ES"/>
        </w:rPr>
        <w:t>es de t</w:t>
      </w:r>
      <w:r w:rsidR="001D5F91" w:rsidRPr="001D5F91">
        <w:rPr>
          <w:rFonts w:eastAsia="Times New Roman" w:cs="Times New Roman"/>
          <w:bCs/>
          <w:szCs w:val="22"/>
          <w:lang w:bidi="es-ES"/>
        </w:rPr>
        <w:t>ransparencia, dedicado</w:t>
      </w:r>
      <w:r w:rsidR="001D5F91">
        <w:rPr>
          <w:rFonts w:eastAsia="Times New Roman" w:cs="Times New Roman"/>
          <w:bCs/>
          <w:szCs w:val="22"/>
          <w:lang w:bidi="es-ES"/>
        </w:rPr>
        <w:t>s</w:t>
      </w:r>
      <w:r w:rsidR="001D5F91" w:rsidRPr="001D5F91">
        <w:rPr>
          <w:rFonts w:eastAsia="Times New Roman" w:cs="Times New Roman"/>
          <w:bCs/>
          <w:szCs w:val="22"/>
          <w:lang w:bidi="es-ES"/>
        </w:rPr>
        <w:t xml:space="preserve"> al ejercicio del derecho de acceso a la información pública. </w:t>
      </w:r>
      <w:r w:rsidR="00103B9F">
        <w:rPr>
          <w:rFonts w:eastAsia="Times New Roman" w:cs="Times New Roman"/>
          <w:bCs/>
          <w:szCs w:val="22"/>
          <w:lang w:bidi="es-ES"/>
        </w:rPr>
        <w:t xml:space="preserve">En el </w:t>
      </w:r>
      <w:r>
        <w:rPr>
          <w:rFonts w:eastAsia="Times New Roman" w:cs="Times New Roman"/>
          <w:bCs/>
          <w:szCs w:val="22"/>
          <w:lang w:bidi="es-ES"/>
        </w:rPr>
        <w:t>60</w:t>
      </w:r>
      <w:r w:rsidR="00103B9F">
        <w:rPr>
          <w:rFonts w:eastAsia="Times New Roman" w:cs="Times New Roman"/>
          <w:bCs/>
          <w:szCs w:val="22"/>
          <w:lang w:bidi="es-ES"/>
        </w:rPr>
        <w:t xml:space="preserve">% de los casos en este espacio </w:t>
      </w:r>
      <w:r w:rsidR="001D5F91" w:rsidRPr="001D5F91">
        <w:rPr>
          <w:rFonts w:eastAsia="Times New Roman" w:cs="Times New Roman"/>
          <w:bCs/>
          <w:szCs w:val="22"/>
          <w:lang w:bidi="es-ES"/>
        </w:rPr>
        <w:t>se hace referencia expresa a la posibilidad que tiene la ciudadanía de solicitar información de acuerdo con la Ley de Transparencia.</w:t>
      </w:r>
    </w:p>
    <w:p w:rsidR="00103B9F" w:rsidRDefault="00103B9F" w:rsidP="001D5F91">
      <w:pPr>
        <w:spacing w:before="120" w:after="120" w:line="312" w:lineRule="auto"/>
        <w:rPr>
          <w:rFonts w:eastAsia="Times New Roman" w:cs="Times New Roman"/>
          <w:bCs/>
          <w:szCs w:val="22"/>
          <w:lang w:bidi="es-ES"/>
        </w:rPr>
      </w:pPr>
      <w:r>
        <w:rPr>
          <w:rFonts w:eastAsia="Times New Roman" w:cs="Times New Roman"/>
          <w:bCs/>
          <w:szCs w:val="22"/>
          <w:lang w:bidi="es-ES"/>
        </w:rPr>
        <w:t xml:space="preserve">En cuanto a los medios habilitados para la presentación de solicitudes, </w:t>
      </w:r>
      <w:r w:rsidR="007134CF">
        <w:rPr>
          <w:rFonts w:eastAsia="Times New Roman" w:cs="Times New Roman"/>
          <w:bCs/>
          <w:szCs w:val="22"/>
          <w:lang w:bidi="es-ES"/>
        </w:rPr>
        <w:t>el correo electrónico es el que en mayor medida utilizan las instituciones evaluadas, en segundo término se sitúan la presentación a través de la web, la presentación presencial o por correo postal.  Los restantes medios presentan una frecuencia muy inferior.</w:t>
      </w:r>
      <w:r w:rsidR="00D974D1">
        <w:rPr>
          <w:rFonts w:eastAsia="Times New Roman" w:cs="Times New Roman"/>
          <w:bCs/>
          <w:szCs w:val="22"/>
          <w:lang w:bidi="es-ES"/>
        </w:rPr>
        <w:t xml:space="preserve"> </w:t>
      </w:r>
    </w:p>
    <w:p w:rsidR="007134CF" w:rsidRPr="007134CF" w:rsidRDefault="007134CF" w:rsidP="007134CF">
      <w:pPr>
        <w:pStyle w:val="Epgrafe"/>
        <w:keepNext/>
        <w:rPr>
          <w:color w:val="438086" w:themeColor="accent2"/>
          <w:sz w:val="22"/>
          <w:szCs w:val="22"/>
        </w:rPr>
      </w:pPr>
      <w:r w:rsidRPr="007134CF">
        <w:rPr>
          <w:color w:val="438086" w:themeColor="accent2"/>
          <w:sz w:val="22"/>
          <w:szCs w:val="22"/>
        </w:rPr>
        <w:lastRenderedPageBreak/>
        <w:t xml:space="preserve">Gráfico </w:t>
      </w:r>
      <w:r w:rsidRPr="007134CF">
        <w:rPr>
          <w:color w:val="438086" w:themeColor="accent2"/>
          <w:sz w:val="22"/>
          <w:szCs w:val="22"/>
        </w:rPr>
        <w:fldChar w:fldCharType="begin"/>
      </w:r>
      <w:r w:rsidRPr="007134CF">
        <w:rPr>
          <w:color w:val="438086" w:themeColor="accent2"/>
          <w:sz w:val="22"/>
          <w:szCs w:val="22"/>
        </w:rPr>
        <w:instrText xml:space="preserve"> SEQ Gráfico \* ARABIC </w:instrText>
      </w:r>
      <w:r w:rsidRPr="007134CF">
        <w:rPr>
          <w:color w:val="438086" w:themeColor="accent2"/>
          <w:sz w:val="22"/>
          <w:szCs w:val="22"/>
        </w:rPr>
        <w:fldChar w:fldCharType="separate"/>
      </w:r>
      <w:r w:rsidR="00BB4D6D">
        <w:rPr>
          <w:noProof/>
          <w:color w:val="438086" w:themeColor="accent2"/>
          <w:sz w:val="22"/>
          <w:szCs w:val="22"/>
        </w:rPr>
        <w:t>5</w:t>
      </w:r>
      <w:r w:rsidRPr="007134CF">
        <w:rPr>
          <w:color w:val="438086" w:themeColor="accent2"/>
          <w:sz w:val="22"/>
          <w:szCs w:val="22"/>
        </w:rPr>
        <w:fldChar w:fldCharType="end"/>
      </w:r>
      <w:r w:rsidRPr="007134CF">
        <w:rPr>
          <w:color w:val="438086" w:themeColor="accent2"/>
          <w:sz w:val="22"/>
          <w:szCs w:val="22"/>
        </w:rPr>
        <w:t>: Medios habilitados para la presentación de solicitudes de acceso a información pública.</w:t>
      </w:r>
    </w:p>
    <w:p w:rsidR="007134CF" w:rsidRDefault="001257FB" w:rsidP="001D5F91">
      <w:pPr>
        <w:spacing w:before="120" w:after="120" w:line="312" w:lineRule="auto"/>
        <w:rPr>
          <w:rFonts w:eastAsia="Times New Roman" w:cs="Times New Roman"/>
          <w:bCs/>
          <w:szCs w:val="22"/>
          <w:lang w:bidi="es-ES"/>
        </w:rPr>
      </w:pPr>
      <w:r>
        <w:rPr>
          <w:noProof/>
        </w:rPr>
        <w:drawing>
          <wp:inline distT="0" distB="0" distL="0" distR="0" wp14:anchorId="5C7831B0" wp14:editId="332092CC">
            <wp:extent cx="5858634" cy="2743200"/>
            <wp:effectExtent l="0" t="0" r="2794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72F5" w:rsidRDefault="001572F5" w:rsidP="00D974D1">
      <w:pPr>
        <w:spacing w:before="120" w:after="120" w:line="312" w:lineRule="auto"/>
        <w:rPr>
          <w:rFonts w:eastAsia="Times New Roman" w:cs="Times New Roman"/>
          <w:bCs/>
          <w:szCs w:val="22"/>
          <w:lang w:bidi="es-ES"/>
        </w:rPr>
      </w:pPr>
    </w:p>
    <w:p w:rsidR="00BB4D6D" w:rsidRDefault="00BB4D6D" w:rsidP="00D974D1">
      <w:pPr>
        <w:spacing w:before="120" w:after="120" w:line="312" w:lineRule="auto"/>
        <w:rPr>
          <w:rFonts w:eastAsia="Times New Roman" w:cs="Times New Roman"/>
          <w:bCs/>
          <w:szCs w:val="22"/>
          <w:lang w:bidi="es-ES"/>
        </w:rPr>
      </w:pPr>
      <w:r w:rsidRPr="00BB4D6D">
        <w:rPr>
          <w:rFonts w:eastAsia="Times New Roman" w:cs="Times New Roman"/>
          <w:bCs/>
          <w:szCs w:val="22"/>
          <w:lang w:bidi="es-ES"/>
        </w:rPr>
        <w:t>En promedio se han habilitado 3,</w:t>
      </w:r>
      <w:r w:rsidR="001257FB">
        <w:rPr>
          <w:rFonts w:eastAsia="Times New Roman" w:cs="Times New Roman"/>
          <w:bCs/>
          <w:szCs w:val="22"/>
          <w:lang w:bidi="es-ES"/>
        </w:rPr>
        <w:t>1</w:t>
      </w:r>
      <w:r w:rsidRPr="00BB4D6D">
        <w:rPr>
          <w:rFonts w:eastAsia="Times New Roman" w:cs="Times New Roman"/>
          <w:bCs/>
          <w:szCs w:val="22"/>
          <w:lang w:bidi="es-ES"/>
        </w:rPr>
        <w:t xml:space="preserve"> medios diferentes de presentación de las solicitudes.</w:t>
      </w:r>
      <w:r>
        <w:rPr>
          <w:rFonts w:eastAsia="Times New Roman" w:cs="Times New Roman"/>
          <w:bCs/>
          <w:szCs w:val="22"/>
          <w:lang w:bidi="es-ES"/>
        </w:rPr>
        <w:t xml:space="preserve"> El rango de variación oscila entre 0 – no se informa de la forma de presentación de las solicitudes</w:t>
      </w:r>
      <w:r w:rsidR="00DF2B08">
        <w:rPr>
          <w:rFonts w:eastAsia="Times New Roman" w:cs="Times New Roman"/>
          <w:bCs/>
          <w:szCs w:val="22"/>
          <w:lang w:bidi="es-ES"/>
        </w:rPr>
        <w:t xml:space="preserve"> -</w:t>
      </w:r>
      <w:r>
        <w:rPr>
          <w:rFonts w:eastAsia="Times New Roman" w:cs="Times New Roman"/>
          <w:bCs/>
          <w:szCs w:val="22"/>
          <w:lang w:bidi="es-ES"/>
        </w:rPr>
        <w:t xml:space="preserve"> y 7.</w:t>
      </w:r>
    </w:p>
    <w:p w:rsidR="00DF2B08" w:rsidRDefault="00DF2B08" w:rsidP="00BB4D6D">
      <w:pPr>
        <w:pStyle w:val="Epgrafe"/>
        <w:keepNext/>
        <w:rPr>
          <w:color w:val="438086" w:themeColor="accent2"/>
          <w:sz w:val="22"/>
          <w:szCs w:val="22"/>
        </w:rPr>
      </w:pPr>
    </w:p>
    <w:p w:rsidR="00BB4D6D" w:rsidRPr="00BB4D6D" w:rsidRDefault="00BB4D6D" w:rsidP="00BB4D6D">
      <w:pPr>
        <w:pStyle w:val="Epgrafe"/>
        <w:keepNext/>
        <w:rPr>
          <w:color w:val="438086" w:themeColor="accent2"/>
          <w:sz w:val="22"/>
          <w:szCs w:val="22"/>
        </w:rPr>
      </w:pPr>
      <w:r w:rsidRPr="00BB4D6D">
        <w:rPr>
          <w:color w:val="438086" w:themeColor="accent2"/>
          <w:sz w:val="22"/>
          <w:szCs w:val="22"/>
        </w:rPr>
        <w:t xml:space="preserve">Gráfico </w:t>
      </w:r>
      <w:r w:rsidRPr="00BB4D6D">
        <w:rPr>
          <w:color w:val="438086" w:themeColor="accent2"/>
          <w:sz w:val="22"/>
          <w:szCs w:val="22"/>
        </w:rPr>
        <w:fldChar w:fldCharType="begin"/>
      </w:r>
      <w:r w:rsidRPr="00BB4D6D">
        <w:rPr>
          <w:color w:val="438086" w:themeColor="accent2"/>
          <w:sz w:val="22"/>
          <w:szCs w:val="22"/>
        </w:rPr>
        <w:instrText xml:space="preserve"> SEQ Gráfico \* ARABIC </w:instrText>
      </w:r>
      <w:r w:rsidRPr="00BB4D6D">
        <w:rPr>
          <w:color w:val="438086" w:themeColor="accent2"/>
          <w:sz w:val="22"/>
          <w:szCs w:val="22"/>
        </w:rPr>
        <w:fldChar w:fldCharType="separate"/>
      </w:r>
      <w:r w:rsidRPr="00BB4D6D">
        <w:rPr>
          <w:color w:val="438086" w:themeColor="accent2"/>
          <w:sz w:val="22"/>
          <w:szCs w:val="22"/>
        </w:rPr>
        <w:t>6</w:t>
      </w:r>
      <w:r w:rsidRPr="00BB4D6D">
        <w:rPr>
          <w:color w:val="438086" w:themeColor="accent2"/>
          <w:sz w:val="22"/>
          <w:szCs w:val="22"/>
        </w:rPr>
        <w:fldChar w:fldCharType="end"/>
      </w:r>
      <w:r w:rsidRPr="00BB4D6D">
        <w:rPr>
          <w:color w:val="438086" w:themeColor="accent2"/>
          <w:sz w:val="22"/>
          <w:szCs w:val="22"/>
        </w:rPr>
        <w:t xml:space="preserve">: Distribución del número de medios habilitados para la </w:t>
      </w:r>
      <w:r w:rsidR="00521377">
        <w:rPr>
          <w:color w:val="438086" w:themeColor="accent2"/>
          <w:sz w:val="22"/>
          <w:szCs w:val="22"/>
        </w:rPr>
        <w:t>presentación de las solicitudes (porcentajes)</w:t>
      </w:r>
    </w:p>
    <w:p w:rsidR="00BB4D6D" w:rsidRDefault="001257FB" w:rsidP="00D974D1">
      <w:pPr>
        <w:spacing w:before="120" w:after="120" w:line="312" w:lineRule="auto"/>
        <w:rPr>
          <w:rFonts w:eastAsia="Times New Roman" w:cs="Times New Roman"/>
          <w:bCs/>
          <w:szCs w:val="22"/>
          <w:lang w:bidi="es-ES"/>
        </w:rPr>
      </w:pPr>
      <w:r>
        <w:rPr>
          <w:noProof/>
        </w:rPr>
        <w:drawing>
          <wp:inline distT="0" distB="0" distL="0" distR="0" wp14:anchorId="2F5E828F" wp14:editId="00152E0E">
            <wp:extent cx="5793897" cy="2662279"/>
            <wp:effectExtent l="0" t="0" r="16510" b="2413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5F91" w:rsidRPr="001D5F91" w:rsidRDefault="001572F5" w:rsidP="00D974D1">
      <w:pPr>
        <w:spacing w:before="120" w:after="120" w:line="312" w:lineRule="auto"/>
        <w:rPr>
          <w:rFonts w:eastAsia="Times New Roman" w:cs="Times New Roman"/>
          <w:bCs/>
          <w:szCs w:val="22"/>
          <w:lang w:bidi="es-ES"/>
        </w:rPr>
      </w:pPr>
      <w:r>
        <w:rPr>
          <w:rFonts w:eastAsia="Times New Roman" w:cs="Times New Roman"/>
          <w:bCs/>
          <w:szCs w:val="22"/>
          <w:lang w:bidi="es-ES"/>
        </w:rPr>
        <w:t>E</w:t>
      </w:r>
      <w:r w:rsidR="00BB4D6D">
        <w:rPr>
          <w:rFonts w:eastAsia="Times New Roman" w:cs="Times New Roman"/>
          <w:bCs/>
          <w:szCs w:val="22"/>
          <w:lang w:bidi="es-ES"/>
        </w:rPr>
        <w:t xml:space="preserve">n cuanto a los requisitos establecidos </w:t>
      </w:r>
      <w:r w:rsidR="00DF2B08">
        <w:rPr>
          <w:rFonts w:eastAsia="Times New Roman" w:cs="Times New Roman"/>
          <w:bCs/>
          <w:szCs w:val="22"/>
          <w:lang w:bidi="es-ES"/>
        </w:rPr>
        <w:t>exigidos</w:t>
      </w:r>
      <w:r w:rsidR="00BB4D6D">
        <w:rPr>
          <w:rFonts w:eastAsia="Times New Roman" w:cs="Times New Roman"/>
          <w:bCs/>
          <w:szCs w:val="22"/>
          <w:lang w:bidi="es-ES"/>
        </w:rPr>
        <w:t xml:space="preserve">, </w:t>
      </w:r>
      <w:r w:rsidR="001257FB">
        <w:rPr>
          <w:rFonts w:eastAsia="Times New Roman" w:cs="Times New Roman"/>
          <w:bCs/>
          <w:szCs w:val="22"/>
          <w:lang w:bidi="es-ES"/>
        </w:rPr>
        <w:t>dos</w:t>
      </w:r>
      <w:r w:rsidR="00BB4D6D">
        <w:rPr>
          <w:rFonts w:eastAsia="Times New Roman" w:cs="Times New Roman"/>
          <w:bCs/>
          <w:szCs w:val="22"/>
          <w:lang w:bidi="es-ES"/>
        </w:rPr>
        <w:t xml:space="preserve"> instituciones no informan en su web sobre este asunto. En los restantes casos, </w:t>
      </w:r>
      <w:r w:rsidR="00521377">
        <w:rPr>
          <w:rFonts w:eastAsia="Times New Roman" w:cs="Times New Roman"/>
          <w:bCs/>
          <w:szCs w:val="22"/>
          <w:lang w:bidi="es-ES"/>
        </w:rPr>
        <w:t>dos</w:t>
      </w:r>
      <w:r w:rsidR="00BB4D6D">
        <w:rPr>
          <w:rFonts w:eastAsia="Times New Roman" w:cs="Times New Roman"/>
          <w:bCs/>
          <w:szCs w:val="22"/>
          <w:lang w:bidi="es-ES"/>
        </w:rPr>
        <w:t xml:space="preserve"> instituci</w:t>
      </w:r>
      <w:r w:rsidR="00521377">
        <w:rPr>
          <w:rFonts w:eastAsia="Times New Roman" w:cs="Times New Roman"/>
          <w:bCs/>
          <w:szCs w:val="22"/>
          <w:lang w:bidi="es-ES"/>
        </w:rPr>
        <w:t>ones</w:t>
      </w:r>
      <w:r w:rsidR="00BB4D6D">
        <w:rPr>
          <w:rFonts w:eastAsia="Times New Roman" w:cs="Times New Roman"/>
          <w:bCs/>
          <w:szCs w:val="22"/>
          <w:lang w:bidi="es-ES"/>
        </w:rPr>
        <w:t xml:space="preserve"> </w:t>
      </w:r>
      <w:r w:rsidR="00672872">
        <w:rPr>
          <w:rFonts w:eastAsia="Times New Roman" w:cs="Times New Roman"/>
          <w:bCs/>
          <w:szCs w:val="22"/>
          <w:lang w:bidi="es-ES"/>
        </w:rPr>
        <w:t>no incluye</w:t>
      </w:r>
      <w:r w:rsidR="00521377">
        <w:rPr>
          <w:rFonts w:eastAsia="Times New Roman" w:cs="Times New Roman"/>
          <w:bCs/>
          <w:szCs w:val="22"/>
          <w:lang w:bidi="es-ES"/>
        </w:rPr>
        <w:t>n</w:t>
      </w:r>
      <w:r w:rsidR="00672872">
        <w:rPr>
          <w:rFonts w:eastAsia="Times New Roman" w:cs="Times New Roman"/>
          <w:bCs/>
          <w:szCs w:val="22"/>
          <w:lang w:bidi="es-ES"/>
        </w:rPr>
        <w:t xml:space="preserve"> requisitos obligatorios</w:t>
      </w:r>
      <w:r w:rsidR="00521377">
        <w:rPr>
          <w:rFonts w:eastAsia="Times New Roman" w:cs="Times New Roman"/>
          <w:bCs/>
          <w:szCs w:val="22"/>
          <w:lang w:bidi="es-ES"/>
        </w:rPr>
        <w:t>,</w:t>
      </w:r>
      <w:r w:rsidR="00672872">
        <w:rPr>
          <w:rFonts w:eastAsia="Times New Roman" w:cs="Times New Roman"/>
          <w:bCs/>
          <w:szCs w:val="22"/>
          <w:lang w:bidi="es-ES"/>
        </w:rPr>
        <w:t xml:space="preserve"> </w:t>
      </w:r>
      <w:r w:rsidR="001257FB">
        <w:rPr>
          <w:rFonts w:eastAsia="Times New Roman" w:cs="Times New Roman"/>
          <w:bCs/>
          <w:szCs w:val="22"/>
          <w:lang w:bidi="es-ES"/>
        </w:rPr>
        <w:t>cinco</w:t>
      </w:r>
      <w:r w:rsidR="00DF2B08">
        <w:rPr>
          <w:rFonts w:eastAsia="Times New Roman" w:cs="Times New Roman"/>
          <w:bCs/>
          <w:szCs w:val="22"/>
          <w:lang w:bidi="es-ES"/>
        </w:rPr>
        <w:t xml:space="preserve"> exigen</w:t>
      </w:r>
      <w:r w:rsidR="00521377">
        <w:rPr>
          <w:rFonts w:eastAsia="Times New Roman" w:cs="Times New Roman"/>
          <w:bCs/>
          <w:szCs w:val="22"/>
          <w:lang w:bidi="es-ES"/>
        </w:rPr>
        <w:t xml:space="preserve"> la identificación de la persona que efectúa la solicitud, en </w:t>
      </w:r>
      <w:r w:rsidR="00521377">
        <w:rPr>
          <w:rFonts w:eastAsia="Times New Roman" w:cs="Times New Roman"/>
          <w:bCs/>
          <w:szCs w:val="22"/>
          <w:lang w:bidi="es-ES"/>
        </w:rPr>
        <w:lastRenderedPageBreak/>
        <w:t>otro caso se exige la acreditación de la identidad por medios digitales ya que solo se ha habilitado como medio de presentación de solicitudes la sede electrónica de la institución. A la identificación se añade</w:t>
      </w:r>
      <w:r w:rsidR="00DF2B08">
        <w:rPr>
          <w:rFonts w:eastAsia="Times New Roman" w:cs="Times New Roman"/>
          <w:bCs/>
          <w:szCs w:val="22"/>
          <w:lang w:bidi="es-ES"/>
        </w:rPr>
        <w:t xml:space="preserve"> como requisito más frecuente</w:t>
      </w:r>
      <w:r w:rsidR="00521377">
        <w:rPr>
          <w:rFonts w:eastAsia="Times New Roman" w:cs="Times New Roman"/>
          <w:bCs/>
          <w:szCs w:val="22"/>
          <w:lang w:bidi="es-ES"/>
        </w:rPr>
        <w:t xml:space="preserve"> la indicación del medio de contacto para las notificaciones.  </w:t>
      </w:r>
    </w:p>
    <w:p w:rsidR="00521377" w:rsidRDefault="00521377" w:rsidP="00521377">
      <w:pPr>
        <w:spacing w:before="120" w:after="120" w:line="312" w:lineRule="auto"/>
        <w:rPr>
          <w:rFonts w:eastAsia="Times New Roman" w:cs="Times New Roman"/>
          <w:bCs/>
          <w:szCs w:val="22"/>
          <w:lang w:bidi="es-ES"/>
        </w:rPr>
      </w:pPr>
      <w:r>
        <w:rPr>
          <w:rFonts w:eastAsia="Times New Roman" w:cs="Times New Roman"/>
          <w:bCs/>
          <w:szCs w:val="22"/>
          <w:lang w:bidi="es-ES"/>
        </w:rPr>
        <w:t>En general, se proporcionan facilidades adicionales para la presentación de las solicitudes</w:t>
      </w:r>
      <w:r w:rsidR="00F75B78">
        <w:rPr>
          <w:rFonts w:eastAsia="Times New Roman" w:cs="Times New Roman"/>
          <w:bCs/>
          <w:szCs w:val="22"/>
          <w:lang w:bidi="es-ES"/>
        </w:rPr>
        <w:t xml:space="preserve">. Prácticamente todas las instituciones disponen de formularios en su web, </w:t>
      </w:r>
      <w:r w:rsidR="001257FB">
        <w:rPr>
          <w:rFonts w:eastAsia="Times New Roman" w:cs="Times New Roman"/>
          <w:bCs/>
          <w:szCs w:val="22"/>
          <w:lang w:bidi="es-ES"/>
        </w:rPr>
        <w:t>cuatro</w:t>
      </w:r>
      <w:r w:rsidR="00F75B78">
        <w:rPr>
          <w:rFonts w:eastAsia="Times New Roman" w:cs="Times New Roman"/>
          <w:bCs/>
          <w:szCs w:val="22"/>
          <w:lang w:bidi="es-ES"/>
        </w:rPr>
        <w:t xml:space="preserve"> proporcionan instrucciones o explicaciones adicionales y cuatro ayudas para la cumplimentación de las solicitudes. </w:t>
      </w:r>
    </w:p>
    <w:p w:rsidR="001D5F91" w:rsidRDefault="001D5F91" w:rsidP="0019120F">
      <w:pPr>
        <w:rPr>
          <w:rFonts w:asciiTheme="majorHAnsi" w:hAnsiTheme="majorHAnsi"/>
          <w:color w:val="438086" w:themeColor="accent2"/>
          <w:szCs w:val="24"/>
        </w:rPr>
      </w:pPr>
    </w:p>
    <w:p w:rsidR="006469F3" w:rsidRDefault="00F75B78" w:rsidP="00F75B78">
      <w:pPr>
        <w:pStyle w:val="Ttulo3"/>
      </w:pPr>
      <w:bookmarkStart w:id="20" w:name="_Toc69312061"/>
      <w:r>
        <w:t xml:space="preserve">IV.3.2 </w:t>
      </w:r>
      <w:r w:rsidR="006469F3" w:rsidRPr="006469F3">
        <w:t>Gestión de las solicitudes de acceso</w:t>
      </w:r>
      <w:bookmarkEnd w:id="20"/>
    </w:p>
    <w:p w:rsidR="00F75B78" w:rsidRDefault="00F75B78" w:rsidP="006469F3">
      <w:pPr>
        <w:rPr>
          <w:rStyle w:val="Ttulo2Car"/>
          <w:rFonts w:ascii="Century Gothic" w:hAnsi="Century Gothic"/>
          <w:b w:val="0"/>
          <w:sz w:val="22"/>
          <w:szCs w:val="22"/>
        </w:rPr>
      </w:pPr>
    </w:p>
    <w:p w:rsidR="00F75B78" w:rsidRDefault="00F75B78" w:rsidP="00F75B78">
      <w:pPr>
        <w:rPr>
          <w:rFonts w:eastAsia="Times New Roman" w:cs="Times New Roman"/>
          <w:bCs/>
          <w:lang w:bidi="es-ES"/>
        </w:rPr>
      </w:pPr>
      <w:r w:rsidRPr="00734470">
        <w:rPr>
          <w:rFonts w:eastAsia="Times New Roman" w:cs="Times New Roman"/>
          <w:bCs/>
          <w:lang w:bidi="es-ES"/>
        </w:rPr>
        <w:t>Las evidencias obtenidas a partir de la presentación de una solicitud de acceso dirigida a cada una de las instituciones se reflejan a continuación organizadas según la fase del procedimiento establecido por la LTAIBG.</w:t>
      </w:r>
    </w:p>
    <w:p w:rsidR="006469F3" w:rsidRPr="00F75B78" w:rsidRDefault="006469F3" w:rsidP="006469F3">
      <w:pPr>
        <w:rPr>
          <w:i/>
          <w:color w:val="438086" w:themeColor="accent2"/>
          <w:szCs w:val="22"/>
        </w:rPr>
      </w:pPr>
      <w:bookmarkStart w:id="21" w:name="_Toc69312062"/>
      <w:r w:rsidRPr="00F75B78">
        <w:rPr>
          <w:rStyle w:val="Ttulo2Car"/>
          <w:rFonts w:ascii="Century Gothic" w:hAnsi="Century Gothic"/>
          <w:i/>
          <w:sz w:val="22"/>
          <w:szCs w:val="22"/>
        </w:rPr>
        <w:t>Inicio del procedimiento</w:t>
      </w:r>
      <w:bookmarkEnd w:id="21"/>
    </w:p>
    <w:p w:rsidR="00141128" w:rsidRDefault="00141128" w:rsidP="00DF2B08">
      <w:pPr>
        <w:spacing w:before="120" w:after="120"/>
        <w:rPr>
          <w:rFonts w:eastAsia="Times New Roman" w:cs="Times New Roman"/>
          <w:szCs w:val="24"/>
          <w:lang w:bidi="es-ES"/>
        </w:rPr>
      </w:pPr>
      <w:r>
        <w:rPr>
          <w:rFonts w:eastAsia="Times New Roman" w:cs="Times New Roman"/>
          <w:szCs w:val="24"/>
          <w:lang w:bidi="es-ES"/>
        </w:rPr>
        <w:t xml:space="preserve">Las solicitudes se presentaron entre los meses de febrero y marzo. </w:t>
      </w:r>
      <w:r w:rsidR="006F1D40">
        <w:rPr>
          <w:rFonts w:eastAsia="Times New Roman" w:cs="Times New Roman"/>
          <w:szCs w:val="24"/>
          <w:lang w:bidi="es-ES"/>
        </w:rPr>
        <w:t>Seis</w:t>
      </w:r>
      <w:r>
        <w:rPr>
          <w:rFonts w:eastAsia="Times New Roman" w:cs="Times New Roman"/>
          <w:szCs w:val="24"/>
          <w:lang w:bidi="es-ES"/>
        </w:rPr>
        <w:t xml:space="preserve"> de las solicitudes</w:t>
      </w:r>
      <w:r w:rsidRPr="00141128">
        <w:rPr>
          <w:rFonts w:eastAsia="Times New Roman" w:cs="Times New Roman"/>
          <w:szCs w:val="24"/>
          <w:lang w:bidi="es-ES"/>
        </w:rPr>
        <w:t xml:space="preserve"> presentaba</w:t>
      </w:r>
      <w:r>
        <w:rPr>
          <w:rFonts w:eastAsia="Times New Roman" w:cs="Times New Roman"/>
          <w:szCs w:val="24"/>
          <w:lang w:bidi="es-ES"/>
        </w:rPr>
        <w:t>n una incidencia</w:t>
      </w:r>
      <w:r w:rsidR="00E632A2">
        <w:rPr>
          <w:rFonts w:eastAsia="Times New Roman" w:cs="Times New Roman"/>
          <w:szCs w:val="24"/>
          <w:lang w:bidi="es-ES"/>
        </w:rPr>
        <w:t>:</w:t>
      </w:r>
      <w:r>
        <w:rPr>
          <w:rFonts w:eastAsia="Times New Roman" w:cs="Times New Roman"/>
          <w:szCs w:val="24"/>
          <w:lang w:bidi="es-ES"/>
        </w:rPr>
        <w:t xml:space="preserve"> o bien</w:t>
      </w:r>
      <w:r w:rsidRPr="00141128">
        <w:rPr>
          <w:rFonts w:eastAsia="Times New Roman" w:cs="Times New Roman"/>
          <w:szCs w:val="24"/>
          <w:lang w:bidi="es-ES"/>
        </w:rPr>
        <w:t xml:space="preserve"> no indicaba el periodo de tiempo al que se refería la información demandada </w:t>
      </w:r>
      <w:r>
        <w:rPr>
          <w:rFonts w:eastAsia="Times New Roman" w:cs="Times New Roman"/>
          <w:szCs w:val="24"/>
          <w:lang w:bidi="es-ES"/>
        </w:rPr>
        <w:t xml:space="preserve"> o bien no se especificaba el formato de entrega de la información. </w:t>
      </w:r>
      <w:r w:rsidRPr="00141128">
        <w:rPr>
          <w:rFonts w:eastAsia="Times New Roman" w:cs="Times New Roman"/>
          <w:szCs w:val="24"/>
          <w:lang w:bidi="es-ES"/>
        </w:rPr>
        <w:t xml:space="preserve"> </w:t>
      </w:r>
    </w:p>
    <w:p w:rsidR="00141128" w:rsidRDefault="00141128" w:rsidP="00DF2B08">
      <w:pPr>
        <w:spacing w:before="120" w:after="120"/>
        <w:rPr>
          <w:rFonts w:eastAsia="Times New Roman" w:cs="Times New Roman"/>
          <w:szCs w:val="24"/>
          <w:lang w:bidi="es-ES"/>
        </w:rPr>
      </w:pPr>
      <w:r>
        <w:rPr>
          <w:rFonts w:eastAsia="Times New Roman" w:cs="Times New Roman"/>
          <w:szCs w:val="24"/>
          <w:lang w:bidi="es-ES"/>
        </w:rPr>
        <w:t xml:space="preserve">Seis de las solicitudes se presentaron mediante los formularios web habilitados, tres por correo electrónico y </w:t>
      </w:r>
      <w:r w:rsidR="006F1D40">
        <w:rPr>
          <w:rFonts w:eastAsia="Times New Roman" w:cs="Times New Roman"/>
          <w:szCs w:val="24"/>
          <w:lang w:bidi="es-ES"/>
        </w:rPr>
        <w:t>una</w:t>
      </w:r>
      <w:r>
        <w:rPr>
          <w:rFonts w:eastAsia="Times New Roman" w:cs="Times New Roman"/>
          <w:szCs w:val="24"/>
          <w:lang w:bidi="es-ES"/>
        </w:rPr>
        <w:t xml:space="preserve"> a través de sede electrónica.</w:t>
      </w:r>
    </w:p>
    <w:p w:rsidR="00141128" w:rsidRPr="00141128" w:rsidRDefault="00141128" w:rsidP="00141128">
      <w:pPr>
        <w:spacing w:before="120" w:after="120" w:line="312" w:lineRule="auto"/>
        <w:rPr>
          <w:rFonts w:eastAsia="Times New Roman" w:cs="Times New Roman"/>
          <w:szCs w:val="24"/>
          <w:lang w:bidi="es-ES"/>
        </w:rPr>
      </w:pPr>
      <w:r>
        <w:rPr>
          <w:rFonts w:eastAsia="Times New Roman" w:cs="Times New Roman"/>
          <w:szCs w:val="24"/>
          <w:lang w:bidi="es-ES"/>
        </w:rPr>
        <w:t xml:space="preserve">Se recibió acuse de recibo para </w:t>
      </w:r>
      <w:r w:rsidR="006F1D40">
        <w:rPr>
          <w:rFonts w:eastAsia="Times New Roman" w:cs="Times New Roman"/>
          <w:szCs w:val="24"/>
          <w:lang w:bidi="es-ES"/>
        </w:rPr>
        <w:t>4</w:t>
      </w:r>
      <w:r>
        <w:rPr>
          <w:rFonts w:eastAsia="Times New Roman" w:cs="Times New Roman"/>
          <w:szCs w:val="24"/>
          <w:lang w:bidi="es-ES"/>
        </w:rPr>
        <w:t xml:space="preserve"> de las </w:t>
      </w:r>
      <w:r w:rsidR="006F1D40">
        <w:rPr>
          <w:rFonts w:eastAsia="Times New Roman" w:cs="Times New Roman"/>
          <w:szCs w:val="24"/>
          <w:lang w:bidi="es-ES"/>
        </w:rPr>
        <w:t>10</w:t>
      </w:r>
      <w:r>
        <w:rPr>
          <w:rFonts w:eastAsia="Times New Roman" w:cs="Times New Roman"/>
          <w:szCs w:val="24"/>
          <w:lang w:bidi="es-ES"/>
        </w:rPr>
        <w:t xml:space="preserve"> solicitudes presentadas. </w:t>
      </w:r>
    </w:p>
    <w:p w:rsidR="006469F3" w:rsidRPr="00141128" w:rsidRDefault="006469F3" w:rsidP="0019120F">
      <w:pPr>
        <w:rPr>
          <w:rStyle w:val="Ttulo2Car"/>
          <w:rFonts w:ascii="Century Gothic" w:hAnsi="Century Gothic"/>
          <w:i/>
          <w:sz w:val="22"/>
          <w:szCs w:val="22"/>
        </w:rPr>
      </w:pPr>
      <w:bookmarkStart w:id="22" w:name="_Toc69312063"/>
      <w:r w:rsidRPr="00141128">
        <w:rPr>
          <w:rStyle w:val="Ttulo2Car"/>
          <w:rFonts w:ascii="Century Gothic" w:hAnsi="Century Gothic"/>
          <w:i/>
          <w:sz w:val="22"/>
          <w:szCs w:val="22"/>
        </w:rPr>
        <w:t>Tramitación</w:t>
      </w:r>
      <w:bookmarkEnd w:id="22"/>
    </w:p>
    <w:p w:rsidR="00DF2B08" w:rsidRPr="00521A02" w:rsidRDefault="00E62C56" w:rsidP="00DF2B08">
      <w:pPr>
        <w:pStyle w:val="Prrafodelista"/>
        <w:numPr>
          <w:ilvl w:val="0"/>
          <w:numId w:val="44"/>
        </w:numPr>
        <w:rPr>
          <w:rFonts w:eastAsia="Times New Roman" w:cs="Times New Roman"/>
          <w:szCs w:val="24"/>
          <w:lang w:bidi="es-ES"/>
        </w:rPr>
      </w:pPr>
      <w:r w:rsidRPr="00521A02">
        <w:rPr>
          <w:rFonts w:eastAsia="Times New Roman" w:cs="Times New Roman"/>
          <w:szCs w:val="24"/>
          <w:lang w:bidi="es-ES"/>
        </w:rPr>
        <w:t xml:space="preserve">Se remite comunicación del inicio de la tramitación por parte de una de las instituciones. </w:t>
      </w:r>
    </w:p>
    <w:p w:rsidR="00DF2B08" w:rsidRPr="00521A02" w:rsidRDefault="00E62C56" w:rsidP="00DF2B08">
      <w:pPr>
        <w:pStyle w:val="Prrafodelista"/>
        <w:numPr>
          <w:ilvl w:val="0"/>
          <w:numId w:val="44"/>
        </w:numPr>
        <w:rPr>
          <w:rFonts w:eastAsia="Times New Roman" w:cs="Times New Roman"/>
          <w:szCs w:val="24"/>
          <w:lang w:bidi="es-ES"/>
        </w:rPr>
      </w:pPr>
      <w:r w:rsidRPr="00521A02">
        <w:rPr>
          <w:rFonts w:eastAsia="Times New Roman" w:cs="Times New Roman"/>
          <w:szCs w:val="24"/>
          <w:lang w:bidi="es-ES"/>
        </w:rPr>
        <w:t xml:space="preserve">No se solicita subsanación para ninguna de las solicitudes que presentaban incidencias. </w:t>
      </w:r>
    </w:p>
    <w:p w:rsidR="00DF2B08" w:rsidRDefault="00E62C56" w:rsidP="000B25CE">
      <w:pPr>
        <w:pStyle w:val="Prrafodelista"/>
        <w:numPr>
          <w:ilvl w:val="0"/>
          <w:numId w:val="44"/>
        </w:numPr>
        <w:rPr>
          <w:rFonts w:eastAsia="Times New Roman" w:cs="Times New Roman"/>
          <w:szCs w:val="24"/>
          <w:lang w:bidi="es-ES"/>
        </w:rPr>
      </w:pPr>
      <w:r w:rsidRPr="00521A02">
        <w:rPr>
          <w:rFonts w:eastAsia="Times New Roman" w:cs="Times New Roman"/>
          <w:szCs w:val="24"/>
          <w:lang w:bidi="es-ES"/>
        </w:rPr>
        <w:t>Dos de las instituciones contactan con la persona solicitante para aclarar dudas respecto del contenido</w:t>
      </w:r>
      <w:r w:rsidRPr="00DF2B08">
        <w:rPr>
          <w:rFonts w:eastAsia="Times New Roman" w:cs="Times New Roman"/>
          <w:szCs w:val="24"/>
          <w:lang w:bidi="es-ES"/>
        </w:rPr>
        <w:t xml:space="preserve"> de las solicitudes. </w:t>
      </w:r>
      <w:r w:rsidR="00741E5A">
        <w:rPr>
          <w:rFonts w:eastAsia="Times New Roman" w:cs="Times New Roman"/>
          <w:szCs w:val="24"/>
          <w:lang w:bidi="es-ES"/>
        </w:rPr>
        <w:t xml:space="preserve">En uno de estos casos y dadas las dificultades </w:t>
      </w:r>
      <w:r w:rsidR="000B25CE">
        <w:rPr>
          <w:rFonts w:eastAsia="Times New Roman" w:cs="Times New Roman"/>
          <w:szCs w:val="24"/>
          <w:lang w:bidi="es-ES"/>
        </w:rPr>
        <w:t xml:space="preserve">de comprensión del contenido </w:t>
      </w:r>
      <w:r w:rsidR="00E632A2">
        <w:rPr>
          <w:rFonts w:eastAsia="Times New Roman" w:cs="Times New Roman"/>
          <w:szCs w:val="24"/>
          <w:lang w:bidi="es-ES"/>
        </w:rPr>
        <w:t xml:space="preserve">concreto </w:t>
      </w:r>
      <w:r w:rsidR="000B25CE">
        <w:rPr>
          <w:rFonts w:eastAsia="Times New Roman" w:cs="Times New Roman"/>
          <w:szCs w:val="24"/>
          <w:lang w:bidi="es-ES"/>
        </w:rPr>
        <w:t xml:space="preserve">solicitado </w:t>
      </w:r>
      <w:r w:rsidR="000B25CE" w:rsidRPr="000B25CE">
        <w:rPr>
          <w:rFonts w:eastAsia="Times New Roman" w:cs="Times New Roman"/>
          <w:szCs w:val="24"/>
          <w:lang w:bidi="es-ES"/>
        </w:rPr>
        <w:t>se desiste de continuar con la solicitud de información</w:t>
      </w:r>
      <w:r w:rsidR="000B25CE">
        <w:rPr>
          <w:rFonts w:eastAsia="Times New Roman" w:cs="Times New Roman"/>
          <w:szCs w:val="24"/>
          <w:lang w:bidi="es-ES"/>
        </w:rPr>
        <w:t>.</w:t>
      </w:r>
    </w:p>
    <w:p w:rsidR="00DF2B08" w:rsidRDefault="00E62C56" w:rsidP="00DF2B08">
      <w:pPr>
        <w:pStyle w:val="Prrafodelista"/>
        <w:numPr>
          <w:ilvl w:val="0"/>
          <w:numId w:val="44"/>
        </w:numPr>
        <w:rPr>
          <w:rFonts w:eastAsia="Times New Roman" w:cs="Times New Roman"/>
          <w:szCs w:val="24"/>
          <w:lang w:bidi="es-ES"/>
        </w:rPr>
      </w:pPr>
      <w:r w:rsidRPr="00DF2B08">
        <w:rPr>
          <w:rFonts w:eastAsia="Times New Roman" w:cs="Times New Roman"/>
          <w:szCs w:val="24"/>
          <w:lang w:bidi="es-ES"/>
        </w:rPr>
        <w:t>En un caso se comunica la necesidad de ampliar el plazo para la resolución de la solicitud.</w:t>
      </w:r>
      <w:r w:rsidR="005B5DEF" w:rsidRPr="00DF2B08">
        <w:rPr>
          <w:rFonts w:eastAsia="Times New Roman" w:cs="Times New Roman"/>
          <w:szCs w:val="24"/>
          <w:lang w:bidi="es-ES"/>
        </w:rPr>
        <w:t xml:space="preserve"> </w:t>
      </w:r>
    </w:p>
    <w:p w:rsidR="006469F3" w:rsidRDefault="005B5DEF" w:rsidP="00DF2B08">
      <w:pPr>
        <w:pStyle w:val="Prrafodelista"/>
        <w:numPr>
          <w:ilvl w:val="0"/>
          <w:numId w:val="44"/>
        </w:numPr>
        <w:rPr>
          <w:rFonts w:eastAsia="Times New Roman" w:cs="Times New Roman"/>
          <w:szCs w:val="24"/>
          <w:lang w:bidi="es-ES"/>
        </w:rPr>
      </w:pPr>
      <w:r w:rsidRPr="00DF2B08">
        <w:rPr>
          <w:rFonts w:eastAsia="Times New Roman" w:cs="Times New Roman"/>
          <w:szCs w:val="24"/>
          <w:lang w:bidi="es-ES"/>
        </w:rPr>
        <w:t>Dos de las instituciones disponen de un canal para consultar el estado de tramitación de la solicitud.</w:t>
      </w:r>
    </w:p>
    <w:p w:rsidR="0078130A" w:rsidRPr="0078130A" w:rsidRDefault="0078130A" w:rsidP="0078130A">
      <w:pPr>
        <w:rPr>
          <w:rFonts w:eastAsia="Times New Roman" w:cs="Times New Roman"/>
          <w:szCs w:val="24"/>
          <w:lang w:bidi="es-ES"/>
        </w:rPr>
      </w:pPr>
    </w:p>
    <w:p w:rsidR="006469F3" w:rsidRDefault="006469F3" w:rsidP="0019120F">
      <w:pPr>
        <w:rPr>
          <w:rStyle w:val="Ttulo2Car"/>
          <w:rFonts w:ascii="Century Gothic" w:hAnsi="Century Gothic"/>
          <w:i/>
          <w:sz w:val="22"/>
          <w:szCs w:val="22"/>
        </w:rPr>
      </w:pPr>
      <w:bookmarkStart w:id="23" w:name="_Toc69312064"/>
      <w:r w:rsidRPr="00E62C56">
        <w:rPr>
          <w:rStyle w:val="Ttulo2Car"/>
          <w:rFonts w:ascii="Century Gothic" w:hAnsi="Century Gothic"/>
          <w:i/>
          <w:sz w:val="22"/>
          <w:szCs w:val="22"/>
        </w:rPr>
        <w:lastRenderedPageBreak/>
        <w:t>Resolución</w:t>
      </w:r>
      <w:bookmarkEnd w:id="23"/>
    </w:p>
    <w:p w:rsidR="000B25CE" w:rsidRDefault="000B25CE" w:rsidP="000B25CE">
      <w:pPr>
        <w:pStyle w:val="Prrafodelista"/>
        <w:numPr>
          <w:ilvl w:val="0"/>
          <w:numId w:val="45"/>
        </w:numPr>
        <w:rPr>
          <w:rFonts w:eastAsia="Times New Roman" w:cs="Times New Roman"/>
          <w:szCs w:val="24"/>
          <w:lang w:bidi="es-ES"/>
        </w:rPr>
      </w:pPr>
      <w:r w:rsidRPr="000B25CE">
        <w:rPr>
          <w:rFonts w:eastAsia="Times New Roman" w:cs="Times New Roman"/>
          <w:szCs w:val="24"/>
          <w:lang w:bidi="es-ES"/>
        </w:rPr>
        <w:t xml:space="preserve">No consta que se haya emitido </w:t>
      </w:r>
      <w:r w:rsidR="001F5549">
        <w:rPr>
          <w:rFonts w:eastAsia="Times New Roman" w:cs="Times New Roman"/>
          <w:szCs w:val="24"/>
          <w:lang w:bidi="es-ES"/>
        </w:rPr>
        <w:t>respuesta</w:t>
      </w:r>
      <w:r>
        <w:rPr>
          <w:rFonts w:eastAsia="Times New Roman" w:cs="Times New Roman"/>
          <w:szCs w:val="24"/>
          <w:lang w:bidi="es-ES"/>
        </w:rPr>
        <w:t xml:space="preserve"> en dos de los casos, p</w:t>
      </w:r>
      <w:r w:rsidRPr="000B25CE">
        <w:rPr>
          <w:rFonts w:eastAsia="Times New Roman" w:cs="Times New Roman"/>
          <w:szCs w:val="24"/>
          <w:lang w:bidi="es-ES"/>
        </w:rPr>
        <w:t xml:space="preserve">or </w:t>
      </w:r>
      <w:r>
        <w:rPr>
          <w:rFonts w:eastAsia="Times New Roman" w:cs="Times New Roman"/>
          <w:szCs w:val="24"/>
          <w:lang w:bidi="es-ES"/>
        </w:rPr>
        <w:t>lo que cabe</w:t>
      </w:r>
      <w:r w:rsidRPr="000B25CE">
        <w:rPr>
          <w:rFonts w:eastAsia="Times New Roman" w:cs="Times New Roman"/>
          <w:szCs w:val="24"/>
          <w:lang w:bidi="es-ES"/>
        </w:rPr>
        <w:t xml:space="preserve"> entender que la solicitud ha sido denegada por silencio administrativo al haber transcurrido el plazo de un mes sin obtener respuesta</w:t>
      </w:r>
      <w:r>
        <w:rPr>
          <w:rFonts w:eastAsia="Times New Roman" w:cs="Times New Roman"/>
          <w:szCs w:val="24"/>
          <w:lang w:bidi="es-ES"/>
        </w:rPr>
        <w:t xml:space="preserve">. En uno de estos casos la solicitud tuvo que presentarse a través del único medio de contacto genérico localizado en la web de la institución, </w:t>
      </w:r>
      <w:r w:rsidR="00EC674E">
        <w:rPr>
          <w:rFonts w:eastAsia="Times New Roman" w:cs="Times New Roman"/>
          <w:szCs w:val="24"/>
          <w:lang w:bidi="es-ES"/>
        </w:rPr>
        <w:t>lo que podría explicar la falta de resolución.</w:t>
      </w:r>
    </w:p>
    <w:p w:rsidR="006469F3" w:rsidRDefault="000B25CE" w:rsidP="000B25CE">
      <w:pPr>
        <w:pStyle w:val="Prrafodelista"/>
        <w:numPr>
          <w:ilvl w:val="0"/>
          <w:numId w:val="45"/>
        </w:numPr>
        <w:rPr>
          <w:rFonts w:eastAsia="Times New Roman" w:cs="Times New Roman"/>
          <w:szCs w:val="24"/>
          <w:lang w:bidi="es-ES"/>
        </w:rPr>
      </w:pPr>
      <w:r>
        <w:rPr>
          <w:rFonts w:eastAsia="Times New Roman" w:cs="Times New Roman"/>
          <w:szCs w:val="24"/>
          <w:lang w:bidi="es-ES"/>
        </w:rPr>
        <w:t>Dos de las instituciones</w:t>
      </w:r>
      <w:r w:rsidR="001F5549">
        <w:rPr>
          <w:rFonts w:eastAsia="Times New Roman" w:cs="Times New Roman"/>
          <w:szCs w:val="24"/>
          <w:lang w:bidi="es-ES"/>
        </w:rPr>
        <w:t xml:space="preserve"> responden pero</w:t>
      </w:r>
      <w:r>
        <w:rPr>
          <w:rFonts w:eastAsia="Times New Roman" w:cs="Times New Roman"/>
          <w:szCs w:val="24"/>
          <w:lang w:bidi="es-ES"/>
        </w:rPr>
        <w:t xml:space="preserve"> no emiten una resolución expresa. La información solicitada se remite mediante un correo electrónico</w:t>
      </w:r>
      <w:r w:rsidR="00EC674E">
        <w:rPr>
          <w:rFonts w:eastAsia="Times New Roman" w:cs="Times New Roman"/>
          <w:szCs w:val="24"/>
          <w:lang w:bidi="es-ES"/>
        </w:rPr>
        <w:t>.</w:t>
      </w:r>
    </w:p>
    <w:p w:rsidR="00EC674E" w:rsidRDefault="00B80AB2" w:rsidP="000B25CE">
      <w:pPr>
        <w:pStyle w:val="Prrafodelista"/>
        <w:numPr>
          <w:ilvl w:val="0"/>
          <w:numId w:val="45"/>
        </w:numPr>
        <w:rPr>
          <w:rFonts w:eastAsia="Times New Roman" w:cs="Times New Roman"/>
          <w:szCs w:val="24"/>
          <w:lang w:bidi="es-ES"/>
        </w:rPr>
      </w:pPr>
      <w:r>
        <w:rPr>
          <w:rFonts w:eastAsia="Times New Roman" w:cs="Times New Roman"/>
          <w:szCs w:val="24"/>
          <w:lang w:bidi="es-ES"/>
        </w:rPr>
        <w:t>Cuatro</w:t>
      </w:r>
      <w:r w:rsidR="00EC674E">
        <w:rPr>
          <w:rFonts w:eastAsia="Times New Roman" w:cs="Times New Roman"/>
          <w:szCs w:val="24"/>
          <w:lang w:bidi="es-ES"/>
        </w:rPr>
        <w:t xml:space="preserve"> de las </w:t>
      </w:r>
      <w:r>
        <w:rPr>
          <w:rFonts w:eastAsia="Times New Roman" w:cs="Times New Roman"/>
          <w:szCs w:val="24"/>
          <w:lang w:bidi="es-ES"/>
        </w:rPr>
        <w:t>cinco</w:t>
      </w:r>
      <w:r w:rsidR="00EC674E">
        <w:rPr>
          <w:rFonts w:eastAsia="Times New Roman" w:cs="Times New Roman"/>
          <w:szCs w:val="24"/>
          <w:lang w:bidi="es-ES"/>
        </w:rPr>
        <w:t xml:space="preserve"> resoluciones emitidas están motivadas.</w:t>
      </w:r>
    </w:p>
    <w:p w:rsidR="00EC674E" w:rsidRDefault="00EC674E" w:rsidP="000B25CE">
      <w:pPr>
        <w:pStyle w:val="Prrafodelista"/>
        <w:numPr>
          <w:ilvl w:val="0"/>
          <w:numId w:val="45"/>
        </w:numPr>
        <w:rPr>
          <w:rFonts w:eastAsia="Times New Roman" w:cs="Times New Roman"/>
          <w:szCs w:val="24"/>
          <w:lang w:bidi="es-ES"/>
        </w:rPr>
      </w:pPr>
      <w:r>
        <w:rPr>
          <w:rFonts w:eastAsia="Times New Roman" w:cs="Times New Roman"/>
          <w:szCs w:val="24"/>
          <w:lang w:bidi="es-ES"/>
        </w:rPr>
        <w:t xml:space="preserve">Las </w:t>
      </w:r>
      <w:r w:rsidR="00B80AB2">
        <w:rPr>
          <w:rFonts w:eastAsia="Times New Roman" w:cs="Times New Roman"/>
          <w:szCs w:val="24"/>
          <w:lang w:bidi="es-ES"/>
        </w:rPr>
        <w:t>cinco</w:t>
      </w:r>
      <w:r>
        <w:rPr>
          <w:rFonts w:eastAsia="Times New Roman" w:cs="Times New Roman"/>
          <w:szCs w:val="24"/>
          <w:lang w:bidi="es-ES"/>
        </w:rPr>
        <w:t xml:space="preserve"> resoluciones están completas, son claras y comprensibles.</w:t>
      </w:r>
    </w:p>
    <w:p w:rsidR="00EC674E" w:rsidRDefault="00EC674E" w:rsidP="000B25CE">
      <w:pPr>
        <w:pStyle w:val="Prrafodelista"/>
        <w:numPr>
          <w:ilvl w:val="0"/>
          <w:numId w:val="45"/>
        </w:numPr>
        <w:rPr>
          <w:rFonts w:eastAsia="Times New Roman" w:cs="Times New Roman"/>
          <w:szCs w:val="24"/>
          <w:lang w:bidi="es-ES"/>
        </w:rPr>
      </w:pPr>
      <w:r>
        <w:rPr>
          <w:rFonts w:eastAsia="Times New Roman" w:cs="Times New Roman"/>
          <w:szCs w:val="24"/>
          <w:lang w:bidi="es-ES"/>
        </w:rPr>
        <w:t>Salvo una</w:t>
      </w:r>
      <w:r w:rsidR="00BD5EA0">
        <w:rPr>
          <w:rFonts w:eastAsia="Times New Roman" w:cs="Times New Roman"/>
          <w:szCs w:val="24"/>
          <w:lang w:bidi="es-ES"/>
        </w:rPr>
        <w:t>,</w:t>
      </w:r>
      <w:r>
        <w:rPr>
          <w:rFonts w:eastAsia="Times New Roman" w:cs="Times New Roman"/>
          <w:szCs w:val="24"/>
          <w:lang w:bidi="es-ES"/>
        </w:rPr>
        <w:t xml:space="preserve"> todas incluyen antecedentes de hecho, fundamentos de derecho y la decisión adoptada.</w:t>
      </w:r>
    </w:p>
    <w:p w:rsidR="008762AA" w:rsidRDefault="00EC674E" w:rsidP="008762AA">
      <w:pPr>
        <w:pStyle w:val="Prrafodelista"/>
        <w:numPr>
          <w:ilvl w:val="0"/>
          <w:numId w:val="45"/>
        </w:numPr>
        <w:rPr>
          <w:rFonts w:eastAsia="Times New Roman" w:cs="Times New Roman"/>
          <w:szCs w:val="24"/>
          <w:lang w:bidi="es-ES"/>
        </w:rPr>
      </w:pPr>
      <w:r w:rsidRPr="008762AA">
        <w:rPr>
          <w:rFonts w:eastAsia="Times New Roman" w:cs="Times New Roman"/>
          <w:szCs w:val="24"/>
          <w:lang w:bidi="es-ES"/>
        </w:rPr>
        <w:t xml:space="preserve">Las </w:t>
      </w:r>
      <w:r w:rsidR="00B80AB2">
        <w:rPr>
          <w:rFonts w:eastAsia="Times New Roman" w:cs="Times New Roman"/>
          <w:szCs w:val="24"/>
          <w:lang w:bidi="es-ES"/>
        </w:rPr>
        <w:t>cinco</w:t>
      </w:r>
      <w:r w:rsidRPr="008762AA">
        <w:rPr>
          <w:rFonts w:eastAsia="Times New Roman" w:cs="Times New Roman"/>
          <w:szCs w:val="24"/>
          <w:lang w:bidi="es-ES"/>
        </w:rPr>
        <w:t xml:space="preserve"> incluyen pie de recurso, </w:t>
      </w:r>
      <w:r w:rsidR="00243981" w:rsidRPr="008762AA">
        <w:rPr>
          <w:rFonts w:eastAsia="Times New Roman" w:cs="Times New Roman"/>
          <w:szCs w:val="24"/>
          <w:lang w:bidi="es-ES"/>
        </w:rPr>
        <w:t>el órgano competente para resolverlos y el plazo para su interposición.</w:t>
      </w:r>
      <w:r w:rsidR="008762AA" w:rsidRPr="008762AA">
        <w:rPr>
          <w:rFonts w:eastAsia="Times New Roman" w:cs="Times New Roman"/>
          <w:szCs w:val="24"/>
          <w:lang w:bidi="es-ES"/>
        </w:rPr>
        <w:t xml:space="preserve"> Tres de las instituciones informan de la posibilidad de</w:t>
      </w:r>
      <w:r w:rsidR="008762AA" w:rsidRPr="008762AA">
        <w:rPr>
          <w:rFonts w:eastAsia="Times New Roman" w:cs="Times New Roman"/>
          <w:szCs w:val="22"/>
        </w:rPr>
        <w:t xml:space="preserve"> formular recurso potestativo de reposición frente </w:t>
      </w:r>
      <w:r w:rsidR="008762AA" w:rsidRPr="008762AA">
        <w:rPr>
          <w:rFonts w:eastAsia="Times New Roman" w:cs="Times New Roman"/>
          <w:szCs w:val="24"/>
          <w:lang w:bidi="es-ES"/>
        </w:rPr>
        <w:t xml:space="preserve">a las resoluciones denegatorias y otros </w:t>
      </w:r>
      <w:r w:rsidR="008762AA">
        <w:rPr>
          <w:rFonts w:eastAsia="Times New Roman" w:cs="Times New Roman"/>
          <w:szCs w:val="24"/>
          <w:lang w:bidi="es-ES"/>
        </w:rPr>
        <w:t>dos redirigen al apartado relativo al derecho de acceso</w:t>
      </w:r>
      <w:r w:rsidR="008762AA" w:rsidRPr="008762AA">
        <w:t xml:space="preserve"> </w:t>
      </w:r>
      <w:r w:rsidR="008762AA">
        <w:t>del</w:t>
      </w:r>
      <w:r w:rsidR="008762AA" w:rsidRPr="008762AA">
        <w:rPr>
          <w:rFonts w:eastAsia="Times New Roman" w:cs="Times New Roman"/>
          <w:szCs w:val="24"/>
          <w:lang w:bidi="es-ES"/>
        </w:rPr>
        <w:t xml:space="preserve"> Portal de Transparencia de la AGE,</w:t>
      </w:r>
      <w:r w:rsidR="008762AA">
        <w:rPr>
          <w:rFonts w:eastAsia="Times New Roman" w:cs="Times New Roman"/>
          <w:szCs w:val="24"/>
          <w:lang w:bidi="es-ES"/>
        </w:rPr>
        <w:t xml:space="preserve"> en el que se informa sobre la posibilidad de reclamación previa a la vía contenciosa ante el CTBG, aunque esta reclamación no es aplicable a uno de los dos órganos que informan sobre ella.</w:t>
      </w:r>
    </w:p>
    <w:p w:rsidR="00243981" w:rsidRPr="008762AA" w:rsidRDefault="00243981" w:rsidP="00243981">
      <w:pPr>
        <w:pStyle w:val="Prrafodelista"/>
        <w:numPr>
          <w:ilvl w:val="0"/>
          <w:numId w:val="45"/>
        </w:numPr>
        <w:rPr>
          <w:rFonts w:eastAsia="Times New Roman" w:cs="Times New Roman"/>
          <w:szCs w:val="24"/>
          <w:lang w:bidi="es-ES"/>
        </w:rPr>
      </w:pPr>
      <w:r w:rsidRPr="008762AA">
        <w:rPr>
          <w:rFonts w:eastAsia="Times New Roman" w:cs="Times New Roman"/>
          <w:szCs w:val="24"/>
          <w:lang w:bidi="es-ES"/>
        </w:rPr>
        <w:t>Uno de las instituciones inadmite la solicitud alegando la inexistencia de una base de datos que permita la entrega de la información sin necesidad de requerir un trabajo de reelaboración previa y el acceso a fuentes externas</w:t>
      </w:r>
      <w:r w:rsidR="00E632A2" w:rsidRPr="008762AA">
        <w:rPr>
          <w:rFonts w:eastAsia="Times New Roman" w:cs="Times New Roman"/>
          <w:szCs w:val="24"/>
          <w:lang w:bidi="es-ES"/>
        </w:rPr>
        <w:t>,</w:t>
      </w:r>
      <w:r w:rsidRPr="008762AA">
        <w:rPr>
          <w:rFonts w:eastAsia="Times New Roman" w:cs="Times New Roman"/>
          <w:szCs w:val="24"/>
          <w:lang w:bidi="es-ES"/>
        </w:rPr>
        <w:t xml:space="preserve">  lo que excede la capacidad de los recursos disponibles. Se interpone recurso potestativo de reposición</w:t>
      </w:r>
      <w:r w:rsidR="00E632A2" w:rsidRPr="008762AA">
        <w:rPr>
          <w:rFonts w:eastAsia="Times New Roman" w:cs="Times New Roman"/>
          <w:szCs w:val="24"/>
          <w:lang w:bidi="es-ES"/>
        </w:rPr>
        <w:t xml:space="preserve"> en el que</w:t>
      </w:r>
      <w:r w:rsidRPr="008762AA">
        <w:rPr>
          <w:rFonts w:eastAsia="Times New Roman" w:cs="Times New Roman"/>
          <w:szCs w:val="24"/>
          <w:lang w:bidi="es-ES"/>
        </w:rPr>
        <w:t xml:space="preserve"> se solicita la admisión parcial, en el sentido de que, al menos, se facilite aquella información que esté disponible. Para ello se invoca el criterio interpretativo 7/2015 del CTBG. Este recurso es desestimado alegando la necesidad de una labor de cuasi-reelaboración para </w:t>
      </w:r>
      <w:proofErr w:type="spellStart"/>
      <w:r w:rsidRPr="008762AA">
        <w:rPr>
          <w:rFonts w:eastAsia="Times New Roman" w:cs="Times New Roman"/>
          <w:szCs w:val="24"/>
          <w:lang w:bidi="es-ES"/>
        </w:rPr>
        <w:t>anonimizar</w:t>
      </w:r>
      <w:proofErr w:type="spellEnd"/>
      <w:r w:rsidRPr="008762AA">
        <w:rPr>
          <w:rFonts w:eastAsia="Times New Roman" w:cs="Times New Roman"/>
          <w:szCs w:val="24"/>
          <w:lang w:bidi="es-ES"/>
        </w:rPr>
        <w:t xml:space="preserve"> los datos de carácter personal – no se había solicitado ningún dato de este carácter -, la protección de los intereses de terceros y el volumen de datos solicitados.</w:t>
      </w:r>
    </w:p>
    <w:p w:rsidR="00243981" w:rsidRDefault="00E168E3" w:rsidP="00243981">
      <w:pPr>
        <w:pStyle w:val="Prrafodelista"/>
        <w:numPr>
          <w:ilvl w:val="0"/>
          <w:numId w:val="45"/>
        </w:numPr>
        <w:rPr>
          <w:rFonts w:eastAsia="Times New Roman" w:cs="Times New Roman"/>
          <w:szCs w:val="24"/>
          <w:lang w:bidi="es-ES"/>
        </w:rPr>
      </w:pPr>
      <w:r>
        <w:rPr>
          <w:rFonts w:eastAsia="Times New Roman" w:cs="Times New Roman"/>
          <w:szCs w:val="24"/>
          <w:lang w:bidi="es-ES"/>
        </w:rPr>
        <w:t>Ninguna de las resoluciones expresas o las comunicaciones vía correo electrónico está fuera de plazo.</w:t>
      </w:r>
    </w:p>
    <w:p w:rsidR="00052CDD" w:rsidRPr="00052CDD" w:rsidRDefault="00052CDD" w:rsidP="00052CDD">
      <w:pPr>
        <w:pStyle w:val="Prrafodelista"/>
        <w:numPr>
          <w:ilvl w:val="0"/>
          <w:numId w:val="45"/>
        </w:numPr>
        <w:rPr>
          <w:i/>
          <w:color w:val="438086" w:themeColor="accent2"/>
          <w:szCs w:val="22"/>
        </w:rPr>
      </w:pPr>
      <w:r>
        <w:rPr>
          <w:rFonts w:eastAsia="Times New Roman" w:cs="Times New Roman"/>
          <w:szCs w:val="24"/>
          <w:lang w:bidi="es-ES"/>
        </w:rPr>
        <w:t>En u</w:t>
      </w:r>
      <w:r w:rsidRPr="00052CDD">
        <w:rPr>
          <w:rFonts w:eastAsia="Times New Roman" w:cs="Times New Roman"/>
          <w:szCs w:val="24"/>
          <w:lang w:bidi="es-ES"/>
        </w:rPr>
        <w:t>na de las dos notificaciones efectuadas por correo electrónico</w:t>
      </w:r>
      <w:r>
        <w:rPr>
          <w:rFonts w:eastAsia="Times New Roman" w:cs="Times New Roman"/>
          <w:szCs w:val="24"/>
          <w:lang w:bidi="es-ES"/>
        </w:rPr>
        <w:t xml:space="preserve"> no se identifica al cargo que la firma. </w:t>
      </w:r>
    </w:p>
    <w:p w:rsidR="00052CDD" w:rsidRPr="00052CDD" w:rsidRDefault="00052CDD" w:rsidP="00052CDD">
      <w:pPr>
        <w:pStyle w:val="Prrafodelista"/>
        <w:numPr>
          <w:ilvl w:val="0"/>
          <w:numId w:val="45"/>
        </w:numPr>
        <w:rPr>
          <w:i/>
          <w:color w:val="438086" w:themeColor="accent2"/>
          <w:szCs w:val="22"/>
        </w:rPr>
      </w:pPr>
      <w:r>
        <w:rPr>
          <w:rFonts w:eastAsia="Times New Roman" w:cs="Times New Roman"/>
          <w:szCs w:val="24"/>
          <w:lang w:bidi="es-ES"/>
        </w:rPr>
        <w:t>Una de las resoluciones no se notifica por el medio solicitado ya que la solicitud se presentó por sede electrónica – único medio habilitado para la presentación de solicitudes – y sin embargo se notifica por correo electrónico.</w:t>
      </w:r>
    </w:p>
    <w:p w:rsidR="00052CDD" w:rsidRPr="00DB5874" w:rsidRDefault="00052CDD" w:rsidP="00DB5874">
      <w:pPr>
        <w:pStyle w:val="Prrafodelista"/>
        <w:numPr>
          <w:ilvl w:val="0"/>
          <w:numId w:val="45"/>
        </w:numPr>
        <w:rPr>
          <w:i/>
          <w:color w:val="438086" w:themeColor="accent2"/>
          <w:szCs w:val="22"/>
        </w:rPr>
      </w:pPr>
      <w:r w:rsidRPr="00DB5874">
        <w:rPr>
          <w:rFonts w:eastAsia="Times New Roman" w:cs="Times New Roman"/>
          <w:szCs w:val="24"/>
          <w:lang w:bidi="es-ES"/>
        </w:rPr>
        <w:t xml:space="preserve">En </w:t>
      </w:r>
      <w:r w:rsidR="00DB5874" w:rsidRPr="00DB5874">
        <w:rPr>
          <w:rFonts w:eastAsia="Times New Roman" w:cs="Times New Roman"/>
          <w:szCs w:val="24"/>
          <w:lang w:bidi="es-ES"/>
        </w:rPr>
        <w:t xml:space="preserve">todos los casos – salvo obviamente en la solicitud inadmitida – se da acceso a la información. En uno de ellos, se constata que la información proporcionada – datos agregados – no se correspondía con la información solicitada – datos desagregados -. Una vez </w:t>
      </w:r>
      <w:r w:rsidR="00E632A2" w:rsidRPr="00DB5874">
        <w:rPr>
          <w:rFonts w:eastAsia="Times New Roman" w:cs="Times New Roman"/>
          <w:szCs w:val="24"/>
          <w:lang w:bidi="es-ES"/>
        </w:rPr>
        <w:t>mostrada</w:t>
      </w:r>
      <w:r w:rsidR="00DB5874" w:rsidRPr="00DB5874">
        <w:rPr>
          <w:rFonts w:eastAsia="Times New Roman" w:cs="Times New Roman"/>
          <w:szCs w:val="24"/>
          <w:lang w:bidi="es-ES"/>
        </w:rPr>
        <w:t xml:space="preserve"> esta circunstancia a la </w:t>
      </w:r>
      <w:r w:rsidR="00DB5874" w:rsidRPr="00DB5874">
        <w:rPr>
          <w:rFonts w:eastAsia="Times New Roman" w:cs="Times New Roman"/>
          <w:szCs w:val="24"/>
          <w:lang w:bidi="es-ES"/>
        </w:rPr>
        <w:lastRenderedPageBreak/>
        <w:t>institución</w:t>
      </w:r>
      <w:r w:rsidR="00BD5EA0">
        <w:rPr>
          <w:rFonts w:eastAsia="Times New Roman" w:cs="Times New Roman"/>
          <w:szCs w:val="24"/>
          <w:lang w:bidi="es-ES"/>
        </w:rPr>
        <w:t>,</w:t>
      </w:r>
      <w:r w:rsidR="00DB5874" w:rsidRPr="00DB5874">
        <w:rPr>
          <w:rFonts w:eastAsia="Times New Roman" w:cs="Times New Roman"/>
          <w:szCs w:val="24"/>
          <w:lang w:bidi="es-ES"/>
        </w:rPr>
        <w:t xml:space="preserve"> se indica por ésta que entregar la información con los requisitos de la solicitud implicaría la revisión de miles de comunicaciones ya archivadas por lo que no es posible proporcionar más información de la entregada.</w:t>
      </w:r>
    </w:p>
    <w:p w:rsidR="00DB5874" w:rsidRPr="00106BCC" w:rsidRDefault="00DB5874" w:rsidP="00DB5874">
      <w:pPr>
        <w:pStyle w:val="Prrafodelista"/>
        <w:numPr>
          <w:ilvl w:val="0"/>
          <w:numId w:val="45"/>
        </w:numPr>
        <w:rPr>
          <w:i/>
          <w:color w:val="438086" w:themeColor="accent2"/>
          <w:szCs w:val="22"/>
        </w:rPr>
      </w:pPr>
      <w:r>
        <w:rPr>
          <w:rFonts w:eastAsia="Times New Roman" w:cs="Times New Roman"/>
          <w:szCs w:val="24"/>
          <w:lang w:bidi="es-ES"/>
        </w:rPr>
        <w:t>En todos los casos se proporciona la información en el momento de la notificación y en el formato solicitado.</w:t>
      </w:r>
    </w:p>
    <w:p w:rsidR="00106BCC" w:rsidRPr="00DB5874" w:rsidRDefault="00106BCC" w:rsidP="00DB5874">
      <w:pPr>
        <w:pStyle w:val="Prrafodelista"/>
        <w:numPr>
          <w:ilvl w:val="0"/>
          <w:numId w:val="45"/>
        </w:numPr>
        <w:rPr>
          <w:i/>
          <w:color w:val="438086" w:themeColor="accent2"/>
          <w:szCs w:val="22"/>
        </w:rPr>
      </w:pPr>
      <w:r>
        <w:rPr>
          <w:rFonts w:eastAsia="Times New Roman" w:cs="Times New Roman"/>
          <w:szCs w:val="24"/>
          <w:lang w:bidi="es-ES"/>
        </w:rPr>
        <w:t xml:space="preserve">Una de las resoluciones indica que la información solicitada está publicada en la web institucional proporcionando datos para facilitar su localización. </w:t>
      </w:r>
    </w:p>
    <w:p w:rsidR="00052CDD" w:rsidRDefault="00052CDD" w:rsidP="00052CDD">
      <w:pPr>
        <w:pStyle w:val="Prrafodelista"/>
        <w:rPr>
          <w:rFonts w:eastAsia="Times New Roman" w:cs="Times New Roman"/>
          <w:szCs w:val="24"/>
          <w:lang w:bidi="es-ES"/>
        </w:rPr>
      </w:pPr>
    </w:p>
    <w:p w:rsidR="006469F3" w:rsidRPr="00DB5874" w:rsidRDefault="00DB5874" w:rsidP="00DB5874">
      <w:pPr>
        <w:rPr>
          <w:rStyle w:val="Ttulo2Car"/>
          <w:rFonts w:ascii="Century Gothic" w:hAnsi="Century Gothic"/>
          <w:b w:val="0"/>
          <w:i/>
          <w:sz w:val="22"/>
          <w:szCs w:val="22"/>
        </w:rPr>
      </w:pPr>
      <w:r>
        <w:rPr>
          <w:rFonts w:asciiTheme="majorHAnsi" w:hAnsiTheme="majorHAnsi"/>
          <w:b/>
          <w:color w:val="438086" w:themeColor="accent2"/>
          <w:szCs w:val="24"/>
        </w:rPr>
        <w:t>IV</w:t>
      </w:r>
      <w:r w:rsidR="006469F3" w:rsidRPr="00DB5874">
        <w:rPr>
          <w:rFonts w:asciiTheme="majorHAnsi" w:hAnsiTheme="majorHAnsi"/>
          <w:b/>
          <w:color w:val="438086" w:themeColor="accent2"/>
          <w:szCs w:val="24"/>
        </w:rPr>
        <w:t>.3.</w:t>
      </w:r>
      <w:r>
        <w:rPr>
          <w:rFonts w:asciiTheme="majorHAnsi" w:hAnsiTheme="majorHAnsi"/>
          <w:b/>
          <w:color w:val="438086" w:themeColor="accent2"/>
          <w:szCs w:val="24"/>
        </w:rPr>
        <w:t>3.</w:t>
      </w:r>
      <w:r w:rsidR="006469F3" w:rsidRPr="00DB5874">
        <w:rPr>
          <w:rFonts w:asciiTheme="majorHAnsi" w:hAnsiTheme="majorHAnsi"/>
          <w:b/>
          <w:color w:val="438086" w:themeColor="accent2"/>
          <w:szCs w:val="24"/>
        </w:rPr>
        <w:t xml:space="preserve"> Buenas Prácticas</w:t>
      </w:r>
    </w:p>
    <w:p w:rsidR="006469F3" w:rsidRDefault="00DD555A" w:rsidP="00DD555A">
      <w:pPr>
        <w:rPr>
          <w:rStyle w:val="Ttulo2Car"/>
          <w:rFonts w:ascii="Century Gothic" w:hAnsi="Century Gothic"/>
          <w:b w:val="0"/>
          <w:color w:val="auto"/>
          <w:sz w:val="22"/>
          <w:szCs w:val="22"/>
        </w:rPr>
      </w:pPr>
      <w:bookmarkStart w:id="24" w:name="_Toc68778403"/>
      <w:bookmarkStart w:id="25" w:name="_Toc68945181"/>
      <w:bookmarkStart w:id="26" w:name="_Toc69312065"/>
      <w:r w:rsidRPr="00DD555A">
        <w:rPr>
          <w:rStyle w:val="Ttulo2Car"/>
          <w:rFonts w:ascii="Century Gothic" w:hAnsi="Century Gothic"/>
          <w:b w:val="0"/>
          <w:color w:val="auto"/>
          <w:sz w:val="22"/>
          <w:szCs w:val="22"/>
        </w:rPr>
        <w:t>Tambié</w:t>
      </w:r>
      <w:r>
        <w:rPr>
          <w:rStyle w:val="Ttulo2Car"/>
          <w:rFonts w:ascii="Century Gothic" w:hAnsi="Century Gothic"/>
          <w:b w:val="0"/>
          <w:color w:val="auto"/>
          <w:sz w:val="22"/>
          <w:szCs w:val="22"/>
        </w:rPr>
        <w:t>n en materia de derecho de acceso, las instituciones evaluadas presentan buenas prácticas que podrían ser aplicables por otras instituciones y organizaciones públicas.</w:t>
      </w:r>
      <w:bookmarkEnd w:id="24"/>
      <w:bookmarkEnd w:id="25"/>
      <w:bookmarkEnd w:id="26"/>
    </w:p>
    <w:p w:rsidR="00DD555A" w:rsidRPr="00DD555A" w:rsidRDefault="00DD555A" w:rsidP="00DD555A">
      <w:pPr>
        <w:pStyle w:val="Epgrafe"/>
        <w:keepNext/>
        <w:rPr>
          <w:color w:val="438086" w:themeColor="accent2"/>
          <w:sz w:val="22"/>
          <w:szCs w:val="22"/>
        </w:rPr>
      </w:pPr>
      <w:r w:rsidRPr="00DD555A">
        <w:rPr>
          <w:color w:val="438086" w:themeColor="accent2"/>
          <w:sz w:val="22"/>
          <w:szCs w:val="22"/>
        </w:rPr>
        <w:t xml:space="preserve">Cuadro </w:t>
      </w:r>
      <w:r w:rsidRPr="00DD555A">
        <w:rPr>
          <w:color w:val="438086" w:themeColor="accent2"/>
          <w:sz w:val="22"/>
          <w:szCs w:val="22"/>
        </w:rPr>
        <w:fldChar w:fldCharType="begin"/>
      </w:r>
      <w:r w:rsidRPr="00DD555A">
        <w:rPr>
          <w:color w:val="438086" w:themeColor="accent2"/>
          <w:sz w:val="22"/>
          <w:szCs w:val="22"/>
        </w:rPr>
        <w:instrText xml:space="preserve"> SEQ Cuadro \* ARABIC </w:instrText>
      </w:r>
      <w:r w:rsidRPr="00DD555A">
        <w:rPr>
          <w:color w:val="438086" w:themeColor="accent2"/>
          <w:sz w:val="22"/>
          <w:szCs w:val="22"/>
        </w:rPr>
        <w:fldChar w:fldCharType="separate"/>
      </w:r>
      <w:r w:rsidRPr="00DD555A">
        <w:rPr>
          <w:color w:val="438086" w:themeColor="accent2"/>
          <w:sz w:val="22"/>
          <w:szCs w:val="22"/>
        </w:rPr>
        <w:t>6</w:t>
      </w:r>
      <w:r w:rsidRPr="00DD555A">
        <w:rPr>
          <w:color w:val="438086" w:themeColor="accent2"/>
          <w:sz w:val="22"/>
          <w:szCs w:val="22"/>
        </w:rPr>
        <w:fldChar w:fldCharType="end"/>
      </w:r>
      <w:r w:rsidRPr="00DD555A">
        <w:rPr>
          <w:color w:val="438086" w:themeColor="accent2"/>
          <w:sz w:val="22"/>
          <w:szCs w:val="22"/>
        </w:rPr>
        <w:t>: Buenas prácticas en derecho de acceso</w:t>
      </w:r>
    </w:p>
    <w:tbl>
      <w:tblPr>
        <w:tblStyle w:val="Listavistosa-nfasis2"/>
        <w:tblW w:w="9464" w:type="dxa"/>
        <w:tblLook w:val="04A0" w:firstRow="1" w:lastRow="0" w:firstColumn="1" w:lastColumn="0" w:noHBand="0" w:noVBand="1"/>
      </w:tblPr>
      <w:tblGrid>
        <w:gridCol w:w="5920"/>
        <w:gridCol w:w="3544"/>
      </w:tblGrid>
      <w:tr w:rsidR="00DD555A" w:rsidRPr="00DD555A" w:rsidTr="00DD55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center"/>
              <w:rPr>
                <w:rFonts w:eastAsia="Times New Roman" w:cs="Calibri"/>
                <w:sz w:val="18"/>
                <w:szCs w:val="18"/>
              </w:rPr>
            </w:pPr>
            <w:r w:rsidRPr="00DD555A">
              <w:rPr>
                <w:rFonts w:eastAsia="Times New Roman" w:cs="Calibri"/>
                <w:sz w:val="18"/>
                <w:szCs w:val="18"/>
              </w:rPr>
              <w:t>Buena práctica</w:t>
            </w:r>
          </w:p>
        </w:tc>
        <w:tc>
          <w:tcPr>
            <w:tcW w:w="3544" w:type="dxa"/>
            <w:noWrap/>
            <w:hideMark/>
          </w:tcPr>
          <w:p w:rsidR="00DD555A" w:rsidRPr="00DD555A" w:rsidRDefault="00DD555A" w:rsidP="00DD555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DD555A">
              <w:rPr>
                <w:rFonts w:eastAsia="Times New Roman" w:cs="Calibri"/>
                <w:sz w:val="18"/>
                <w:szCs w:val="18"/>
              </w:rPr>
              <w:t>Institución</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rsidR="00DD555A" w:rsidRPr="00DD555A" w:rsidRDefault="00DD555A" w:rsidP="00DD555A">
            <w:pPr>
              <w:rPr>
                <w:rFonts w:eastAsia="Times New Roman" w:cs="Calibri"/>
                <w:b w:val="0"/>
                <w:color w:val="000000"/>
                <w:sz w:val="18"/>
                <w:szCs w:val="18"/>
              </w:rPr>
            </w:pPr>
            <w:r>
              <w:rPr>
                <w:rFonts w:eastAsia="Times New Roman" w:cs="Calibri"/>
                <w:b w:val="0"/>
                <w:color w:val="000000"/>
                <w:sz w:val="18"/>
                <w:szCs w:val="18"/>
              </w:rPr>
              <w:t>D</w:t>
            </w:r>
            <w:r w:rsidRPr="00DD555A">
              <w:rPr>
                <w:rFonts w:eastAsia="Times New Roman" w:cs="Calibri"/>
                <w:b w:val="0"/>
                <w:color w:val="000000"/>
                <w:sz w:val="18"/>
                <w:szCs w:val="18"/>
              </w:rPr>
              <w:t>isponibilidad de un formulario web</w:t>
            </w:r>
          </w:p>
        </w:tc>
        <w:tc>
          <w:tcPr>
            <w:tcW w:w="3544" w:type="dxa"/>
            <w:noWrap/>
          </w:tcPr>
          <w:p w:rsidR="00DD555A" w:rsidRPr="00DD555A" w:rsidRDefault="00DD555A" w:rsidP="00DD555A">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rPr>
            </w:pPr>
            <w:r w:rsidRPr="00DD555A">
              <w:rPr>
                <w:rFonts w:eastAsia="Times New Roman" w:cs="Calibri"/>
                <w:bCs/>
                <w:color w:val="000000"/>
                <w:sz w:val="18"/>
                <w:szCs w:val="18"/>
              </w:rPr>
              <w:t>Casa Real, Congreso, CGPJ, CE, Defensor, Senado, TC, TCU</w:t>
            </w:r>
          </w:p>
        </w:tc>
      </w:tr>
      <w:tr w:rsidR="00DD555A" w:rsidRPr="00DD555A" w:rsidTr="00DD555A">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Pr>
                <w:rFonts w:eastAsia="Times New Roman" w:cs="Calibri"/>
                <w:b w:val="0"/>
                <w:color w:val="000000"/>
                <w:sz w:val="18"/>
                <w:szCs w:val="18"/>
              </w:rPr>
              <w:t>H</w:t>
            </w:r>
            <w:r w:rsidRPr="00DD555A">
              <w:rPr>
                <w:rFonts w:eastAsia="Times New Roman" w:cs="Calibri"/>
                <w:b w:val="0"/>
                <w:color w:val="000000"/>
                <w:sz w:val="18"/>
                <w:szCs w:val="18"/>
              </w:rPr>
              <w:t>abilitación de diversos medios para la presentación</w:t>
            </w:r>
          </w:p>
        </w:tc>
        <w:tc>
          <w:tcPr>
            <w:tcW w:w="3544" w:type="dxa"/>
            <w:noWrap/>
            <w:hideMark/>
          </w:tcPr>
          <w:p w:rsidR="00DD555A" w:rsidRPr="00DD555A" w:rsidRDefault="00DD555A" w:rsidP="00DD555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Casa Real, Congreso, CGPJ, CE, Defensor, Senado, TC, TCU</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No se exige identificación o ésta no se acredita por medios digitales</w:t>
            </w:r>
          </w:p>
        </w:tc>
        <w:tc>
          <w:tcPr>
            <w:tcW w:w="3544" w:type="dxa"/>
            <w:noWrap/>
            <w:hideMark/>
          </w:tcPr>
          <w:p w:rsidR="00DD555A" w:rsidRPr="00DD555A" w:rsidRDefault="00DD555A" w:rsidP="00DD555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Congreso, CGPJ, CE, Defensor, Senado, TC, TCU</w:t>
            </w:r>
          </w:p>
        </w:tc>
      </w:tr>
      <w:tr w:rsidR="00DD555A" w:rsidRPr="00DD555A" w:rsidTr="00DD555A">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Información adicional, instrucciones o ayudas</w:t>
            </w:r>
          </w:p>
        </w:tc>
        <w:tc>
          <w:tcPr>
            <w:tcW w:w="3544" w:type="dxa"/>
            <w:noWrap/>
            <w:hideMark/>
          </w:tcPr>
          <w:p w:rsidR="00DD555A" w:rsidRPr="00DD555A" w:rsidRDefault="00DD555A" w:rsidP="00DD555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Casa Real, Congreso, CGPJ, CE, Defensor, Senado, TC, TCU</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Posibilidad de consulta del estado de tramitación de la solicitud</w:t>
            </w:r>
          </w:p>
        </w:tc>
        <w:tc>
          <w:tcPr>
            <w:tcW w:w="3544" w:type="dxa"/>
            <w:noWrap/>
            <w:hideMark/>
          </w:tcPr>
          <w:p w:rsidR="00DD555A" w:rsidRPr="00DD555A" w:rsidRDefault="00DD555A" w:rsidP="00B80AB2">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Congreso, Senado</w:t>
            </w:r>
          </w:p>
        </w:tc>
      </w:tr>
      <w:tr w:rsidR="00DD555A" w:rsidRPr="00DD555A" w:rsidTr="00DD555A">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Posibilidad de recurso previo a la vía judicial (instituciones a las que no aplica la</w:t>
            </w:r>
            <w:r>
              <w:rPr>
                <w:rFonts w:eastAsia="Times New Roman" w:cs="Calibri"/>
                <w:b w:val="0"/>
                <w:color w:val="000000"/>
                <w:sz w:val="18"/>
                <w:szCs w:val="18"/>
              </w:rPr>
              <w:t xml:space="preserve"> </w:t>
            </w:r>
            <w:r w:rsidRPr="00DD555A">
              <w:rPr>
                <w:rFonts w:eastAsia="Times New Roman" w:cs="Calibri"/>
                <w:b w:val="0"/>
                <w:color w:val="000000"/>
                <w:sz w:val="18"/>
                <w:szCs w:val="18"/>
              </w:rPr>
              <w:t>reclamación ante el CTBG)</w:t>
            </w:r>
          </w:p>
        </w:tc>
        <w:tc>
          <w:tcPr>
            <w:tcW w:w="3544" w:type="dxa"/>
            <w:noWrap/>
            <w:hideMark/>
          </w:tcPr>
          <w:p w:rsidR="00DD555A" w:rsidRPr="00DD555A" w:rsidRDefault="00DD555A" w:rsidP="00DD555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CGPJ, Congreso, Senado</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Publicación de todas las resoluciones emitidas</w:t>
            </w:r>
          </w:p>
        </w:tc>
        <w:tc>
          <w:tcPr>
            <w:tcW w:w="3544" w:type="dxa"/>
            <w:noWrap/>
            <w:hideMark/>
          </w:tcPr>
          <w:p w:rsidR="00DD555A" w:rsidRPr="00DD555A" w:rsidRDefault="00DD555A" w:rsidP="00DD555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Senado, TC</w:t>
            </w:r>
          </w:p>
        </w:tc>
      </w:tr>
      <w:tr w:rsidR="00DD555A" w:rsidRPr="00DD555A" w:rsidTr="00DD555A">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Información sobre las razones por las que no se entrega determinada información</w:t>
            </w:r>
          </w:p>
        </w:tc>
        <w:tc>
          <w:tcPr>
            <w:tcW w:w="3544" w:type="dxa"/>
            <w:noWrap/>
            <w:hideMark/>
          </w:tcPr>
          <w:p w:rsidR="00DD555A" w:rsidRPr="00DD555A" w:rsidRDefault="00DD555A" w:rsidP="00DD555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Congreso, Senado</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Información estadística sobre derecho de acceso</w:t>
            </w:r>
          </w:p>
        </w:tc>
        <w:tc>
          <w:tcPr>
            <w:tcW w:w="3544" w:type="dxa"/>
            <w:noWrap/>
            <w:hideMark/>
          </w:tcPr>
          <w:p w:rsidR="00DD555A" w:rsidRPr="00DD555A" w:rsidRDefault="00DD555A" w:rsidP="00B80AB2">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Congreso, Senado</w:t>
            </w:r>
          </w:p>
        </w:tc>
      </w:tr>
      <w:tr w:rsidR="00DD555A" w:rsidRPr="00DD555A" w:rsidTr="00DD555A">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Organización de las resoluciones por materias</w:t>
            </w:r>
          </w:p>
        </w:tc>
        <w:tc>
          <w:tcPr>
            <w:tcW w:w="3544" w:type="dxa"/>
            <w:noWrap/>
            <w:hideMark/>
          </w:tcPr>
          <w:p w:rsidR="00DD555A" w:rsidRPr="00DD555A" w:rsidRDefault="00DD555A" w:rsidP="00DD555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Senado</w:t>
            </w:r>
          </w:p>
        </w:tc>
      </w:tr>
      <w:tr w:rsidR="00DD555A" w:rsidRPr="00DD555A" w:rsidTr="00DD5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DD555A" w:rsidRPr="00DD555A" w:rsidRDefault="00DD555A" w:rsidP="00DD555A">
            <w:pPr>
              <w:jc w:val="left"/>
              <w:rPr>
                <w:rFonts w:eastAsia="Times New Roman" w:cs="Calibri"/>
                <w:b w:val="0"/>
                <w:color w:val="000000"/>
                <w:sz w:val="18"/>
                <w:szCs w:val="18"/>
              </w:rPr>
            </w:pPr>
            <w:r w:rsidRPr="00DD555A">
              <w:rPr>
                <w:rFonts w:eastAsia="Times New Roman" w:cs="Calibri"/>
                <w:b w:val="0"/>
                <w:color w:val="000000"/>
                <w:sz w:val="18"/>
                <w:szCs w:val="18"/>
              </w:rPr>
              <w:t xml:space="preserve">Publicación de la información más demandada </w:t>
            </w:r>
          </w:p>
        </w:tc>
        <w:tc>
          <w:tcPr>
            <w:tcW w:w="3544" w:type="dxa"/>
            <w:noWrap/>
            <w:hideMark/>
          </w:tcPr>
          <w:p w:rsidR="00DD555A" w:rsidRPr="00DD555A" w:rsidRDefault="00DD555A" w:rsidP="00DD555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DD555A">
              <w:rPr>
                <w:rFonts w:eastAsia="Times New Roman" w:cs="Calibri"/>
                <w:color w:val="000000"/>
                <w:sz w:val="18"/>
                <w:szCs w:val="18"/>
              </w:rPr>
              <w:t>TC</w:t>
            </w:r>
          </w:p>
        </w:tc>
      </w:tr>
    </w:tbl>
    <w:p w:rsidR="00DB5874" w:rsidRDefault="00DB5874" w:rsidP="00DD555A">
      <w:pPr>
        <w:rPr>
          <w:rStyle w:val="Ttulo2Car"/>
          <w:rFonts w:ascii="Century Gothic" w:hAnsi="Century Gothic"/>
          <w:b w:val="0"/>
          <w:i/>
          <w:sz w:val="22"/>
          <w:szCs w:val="22"/>
        </w:rPr>
      </w:pPr>
    </w:p>
    <w:p w:rsidR="00513EC7" w:rsidRDefault="00734470" w:rsidP="00734470">
      <w:pPr>
        <w:pStyle w:val="Ttulo1"/>
      </w:pPr>
      <w:bookmarkStart w:id="27" w:name="_Toc69312066"/>
      <w:r>
        <w:t>V.</w:t>
      </w:r>
      <w:r w:rsidR="00DF2B08">
        <w:t xml:space="preserve"> </w:t>
      </w:r>
      <w:r w:rsidR="0065420F">
        <w:t>Conclusiones y Recomendaciones</w:t>
      </w:r>
      <w:bookmarkEnd w:id="27"/>
    </w:p>
    <w:p w:rsidR="00596EDD" w:rsidRDefault="00596EDD" w:rsidP="00596EDD"/>
    <w:p w:rsidR="00DD555A" w:rsidRPr="00DD555A" w:rsidRDefault="00DD555A" w:rsidP="00DD555A">
      <w:pPr>
        <w:pStyle w:val="Ttulo2"/>
      </w:pPr>
      <w:bookmarkStart w:id="28" w:name="_Toc69312067"/>
      <w:r>
        <w:t xml:space="preserve">V.1 </w:t>
      </w:r>
      <w:r w:rsidRPr="00DD555A">
        <w:t>En materia de publicidad activa</w:t>
      </w:r>
      <w:bookmarkEnd w:id="28"/>
    </w:p>
    <w:p w:rsidR="00794A50" w:rsidRDefault="00794A50" w:rsidP="00596EDD"/>
    <w:p w:rsidR="00794A50" w:rsidRPr="001836F5" w:rsidRDefault="001836F5" w:rsidP="00596EDD">
      <w:pPr>
        <w:rPr>
          <w:b/>
          <w:color w:val="325F64" w:themeColor="accent2" w:themeShade="BF"/>
        </w:rPr>
      </w:pPr>
      <w:r w:rsidRPr="001836F5">
        <w:rPr>
          <w:b/>
          <w:color w:val="325F64" w:themeColor="accent2" w:themeShade="BF"/>
        </w:rPr>
        <w:t>La información sujeta a obligaciones de publicidad activa está organizada y es fácilmente localizable en las webs institucionales de las instituciones evaluadas</w:t>
      </w:r>
      <w:r w:rsidR="004612EB">
        <w:rPr>
          <w:b/>
          <w:color w:val="325F64" w:themeColor="accent2" w:themeShade="BF"/>
        </w:rPr>
        <w:t>.</w:t>
      </w:r>
    </w:p>
    <w:p w:rsidR="00794A50" w:rsidRDefault="001836F5" w:rsidP="00596EDD">
      <w:r>
        <w:t xml:space="preserve">Lo que se debe a que todas ellas disponen de un portal de transparencia y a que en la mayoría de los casos la información se organiza siguiendo la estructura de la </w:t>
      </w:r>
      <w:r>
        <w:lastRenderedPageBreak/>
        <w:t>LTAIBG. No obstante algunas instituciones publican información obligatoria al margen de su Portal de Transparencia</w:t>
      </w:r>
      <w:r w:rsidR="00BD5EA0">
        <w:t xml:space="preserve">, </w:t>
      </w:r>
      <w:r>
        <w:t>lo que dificulta su localización.</w:t>
      </w:r>
    </w:p>
    <w:p w:rsidR="001836F5" w:rsidRDefault="001836F5" w:rsidP="001836F5">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En la medida de lo posible la información debe ajustarse al patrón establecido por la LTAIBG: Información Institucional y Organizativa e Información Económica y Presupuestaria, dado que es esperable que los ciudadanos utilicen</w:t>
      </w:r>
      <w:r w:rsidR="004612EB" w:rsidRPr="004612EB">
        <w:t xml:space="preserve"> la Ley </w:t>
      </w:r>
      <w:r w:rsidR="00AB1458">
        <w:t>como</w:t>
      </w:r>
      <w:r>
        <w:t xml:space="preserve"> referencia para localizar la información.</w:t>
      </w:r>
    </w:p>
    <w:p w:rsidR="001836F5" w:rsidRDefault="004D12E5" w:rsidP="001836F5">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Todas las informaciones obligatorias deberían publicarse en el Portal de Transparencia. En el supuesto de que una información se encuentre publicada en otro lugar de la web institucional</w:t>
      </w:r>
      <w:r w:rsidR="00BD5EA0">
        <w:t>,</w:t>
      </w:r>
      <w:r>
        <w:t xml:space="preserve"> debería enlazarse a ella desde el Portal de Transparencia</w:t>
      </w:r>
      <w:r w:rsidR="004612EB">
        <w:t>,</w:t>
      </w:r>
      <w:r>
        <w:t xml:space="preserve"> </w:t>
      </w:r>
      <w:r w:rsidR="004016D1">
        <w:t xml:space="preserve">ubicando dicho enlace en el bloque de información al que pertenezca. </w:t>
      </w:r>
      <w:r>
        <w:t xml:space="preserve">  </w:t>
      </w:r>
    </w:p>
    <w:p w:rsidR="00794A50" w:rsidRPr="002A35CD" w:rsidRDefault="00F710DF" w:rsidP="00596EDD">
      <w:pPr>
        <w:rPr>
          <w:b/>
          <w:color w:val="325F64" w:themeColor="accent2" w:themeShade="BF"/>
        </w:rPr>
      </w:pPr>
      <w:r w:rsidRPr="002A35CD">
        <w:rPr>
          <w:b/>
          <w:color w:val="325F64" w:themeColor="accent2" w:themeShade="BF"/>
        </w:rPr>
        <w:t>En promedio se publica casi el 8</w:t>
      </w:r>
      <w:r w:rsidR="002A35CD">
        <w:rPr>
          <w:b/>
          <w:color w:val="325F64" w:themeColor="accent2" w:themeShade="BF"/>
        </w:rPr>
        <w:t>1</w:t>
      </w:r>
      <w:r w:rsidRPr="002A35CD">
        <w:rPr>
          <w:b/>
          <w:color w:val="325F64" w:themeColor="accent2" w:themeShade="BF"/>
        </w:rPr>
        <w:t>% de las informaciones obligatorias aunque existen diferencias entre bloques de información y una gran variabilidad entre las instituciones evaluadas</w:t>
      </w:r>
      <w:r w:rsidR="004016D1" w:rsidRPr="002A35CD">
        <w:rPr>
          <w:b/>
          <w:color w:val="325F64" w:themeColor="accent2" w:themeShade="BF"/>
        </w:rPr>
        <w:t xml:space="preserve">. </w:t>
      </w:r>
    </w:p>
    <w:p w:rsidR="00AB1458" w:rsidRDefault="00F710DF" w:rsidP="00596EDD">
      <w:r w:rsidRPr="002A35CD">
        <w:t>Mientras en el bloque de</w:t>
      </w:r>
      <w:r>
        <w:t xml:space="preserve"> Información Institucional y Organizativa se publica prácticamente el 88% de la información obligatoria – en este bloque la información que presenta menor cumplimiento es el Registro de Actividades de Tratamiento </w:t>
      </w:r>
      <w:r w:rsidR="00C34DD2">
        <w:t>–, en el bloque de Información Económica y Presupuestaria la proporción de contenidos obligatorios publicados alcanza el 7</w:t>
      </w:r>
      <w:r w:rsidR="00C0625A">
        <w:t>8</w:t>
      </w:r>
      <w:r w:rsidR="00C34DD2">
        <w:t>%.</w:t>
      </w:r>
      <w:r w:rsidR="00AB1458">
        <w:t xml:space="preserve"> </w:t>
      </w:r>
      <w:r w:rsidR="00C34DD2">
        <w:t xml:space="preserve">Los contenidos que en menor medida se publican son los datos estadísticos </w:t>
      </w:r>
      <w:r w:rsidR="001A7FD3">
        <w:t xml:space="preserve">sobre los contratos adjudicados según procedimiento de licitación, las indemnizaciones concedidas a altos cargos con ocasión del cese y las autorizaciones de compatibilidad para el ejercicio de actividades públicas o privadas concedidas a empleados. </w:t>
      </w:r>
    </w:p>
    <w:p w:rsidR="00705B9D" w:rsidRDefault="001A7FD3" w:rsidP="00596EDD">
      <w:r>
        <w:t>Algunas de las instituciones en sus informes de observaciones</w:t>
      </w:r>
      <w:r w:rsidR="00AB1458">
        <w:t>,</w:t>
      </w:r>
      <w:r>
        <w:t xml:space="preserve"> han indicado </w:t>
      </w:r>
      <w:r w:rsidR="00705B9D">
        <w:t xml:space="preserve">como causa de la falta de publicación de </w:t>
      </w:r>
      <w:r>
        <w:t xml:space="preserve">algunas informaciones </w:t>
      </w:r>
      <w:r w:rsidR="00705B9D">
        <w:t>que no existía información que publicar por no haber habido actividad en ese ámbito concreto.</w:t>
      </w:r>
    </w:p>
    <w:p w:rsidR="004B627A" w:rsidRDefault="004B627A" w:rsidP="00596EDD">
      <w:r>
        <w:t>Por otra parte, en algunos casos se indica en las observaciones, que una información no localizada du</w:t>
      </w:r>
      <w:r w:rsidR="004612EB">
        <w:t>rante la evaluación está</w:t>
      </w:r>
      <w:r>
        <w:t xml:space="preserve"> publicada conjuntamente con la información relativa a otra obligación, por ejemplo</w:t>
      </w:r>
      <w:r w:rsidR="004612EB">
        <w:t>,</w:t>
      </w:r>
      <w:r>
        <w:t xml:space="preserve"> la publicación de las subvenciones o ayudas públicas concedidas a través de las cuentas anuales.</w:t>
      </w:r>
    </w:p>
    <w:p w:rsidR="00524F99" w:rsidRDefault="00524F99" w:rsidP="00596EDD">
      <w:r>
        <w:t xml:space="preserve">Otra cuestión que también ha sido </w:t>
      </w:r>
      <w:r w:rsidR="00BD5EA0">
        <w:t>alegada</w:t>
      </w:r>
      <w:r>
        <w:t>, es la consideración</w:t>
      </w:r>
      <w:r w:rsidR="004612EB">
        <w:t xml:space="preserve"> </w:t>
      </w:r>
      <w:r>
        <w:t>de</w:t>
      </w:r>
      <w:r w:rsidR="004612EB">
        <w:t xml:space="preserve"> que</w:t>
      </w:r>
      <w:r>
        <w:t xml:space="preserve"> la información relativa a las autorizaciones de compatibilidad para el ejercicio de actividades privadas al cese de altos cargos, no constituye una obligación aplicable a la institución dado que dichas autorizaciones se efectúan por otra entidad. </w:t>
      </w:r>
    </w:p>
    <w:p w:rsidR="00705B9D" w:rsidRDefault="00612662" w:rsidP="00705B9D">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La primera recomendación obviamente, es la publicación de todas las informaciones obligatorias. </w:t>
      </w:r>
    </w:p>
    <w:p w:rsidR="00612662" w:rsidRDefault="00524F99" w:rsidP="00705B9D">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lastRenderedPageBreak/>
        <w:t xml:space="preserve">En </w:t>
      </w:r>
      <w:r w:rsidR="00F6070C">
        <w:t>cuanto a la falta de publicación de algunas informaciones por no haber existido actividad en ese ámbito concreto, d</w:t>
      </w:r>
      <w:r w:rsidR="00F6070C" w:rsidRPr="00F6070C">
        <w:t>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w:t>
      </w:r>
      <w:r w:rsidR="00F6070C">
        <w:t xml:space="preserve"> o porque algún tipo de regula</w:t>
      </w:r>
      <w:r w:rsidR="004612EB">
        <w:t>ción no permite su publicación</w:t>
      </w:r>
      <w:r w:rsidR="00F6070C" w:rsidRPr="00F6070C">
        <w:t>, es que se indique expresamente tal circunstancia. Por esta razón, este Consejo, recomienda que en el apartado correspondiente a la obligación de publicidad activa para la que no ha existido actividad</w:t>
      </w:r>
      <w:r w:rsidR="00F6070C">
        <w:t xml:space="preserve"> o cuando no sea posible su publicación porque existan restricciones legales, </w:t>
      </w:r>
      <w:r w:rsidR="00F6070C" w:rsidRPr="00F6070C">
        <w:t>se haga constar expresamente esta circunstancia.</w:t>
      </w:r>
    </w:p>
    <w:p w:rsidR="004B627A" w:rsidRDefault="004B627A" w:rsidP="00705B9D">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En cuanto a la publicación de información de una obligación a través de otra, este CTBG recuerda que la publicación de las informaciones obligatorias debe realizarse manera individualizada</w:t>
      </w:r>
      <w:r w:rsidR="009768D7">
        <w:t>.</w:t>
      </w:r>
      <w:r>
        <w:t xml:space="preserve">   </w:t>
      </w:r>
    </w:p>
    <w:p w:rsidR="00F6070C" w:rsidRDefault="00F6070C" w:rsidP="00F6070C">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Finalmente en relación con el tercer supuesto, no publicación porque la información deriva de una decisión de otra entidad, como es el caso de las autorizaciones de compatibilidad privada al cese de altos cargos, cabe recordar que el artículo 5.4 de la LTAIBG señala que la información sujeta a las obligaciones de transparencia será publicada en las correspondientes sedes electrónicas o páginas web de los sujetos obligados. El hecho de que quien tiene la competencia para otorgar la autorización sea un órgano diferente, no implica que pueda obviarse la publicación de esta información por parte del órgano en el que la persona autorizada prestó sus servicios.</w:t>
      </w:r>
    </w:p>
    <w:p w:rsidR="00C34DD2" w:rsidRPr="00F6070C" w:rsidRDefault="00F6070C" w:rsidP="00596EDD">
      <w:pPr>
        <w:rPr>
          <w:b/>
          <w:color w:val="325F64" w:themeColor="accent2" w:themeShade="BF"/>
        </w:rPr>
      </w:pPr>
      <w:r w:rsidRPr="00F6070C">
        <w:rPr>
          <w:b/>
          <w:color w:val="325F64" w:themeColor="accent2" w:themeShade="BF"/>
        </w:rPr>
        <w:t xml:space="preserve">Aunque </w:t>
      </w:r>
      <w:r w:rsidR="004B627A">
        <w:rPr>
          <w:b/>
          <w:color w:val="325F64" w:themeColor="accent2" w:themeShade="BF"/>
        </w:rPr>
        <w:t xml:space="preserve">en general los criterios de calidad de la información publicada obtienen una valoración elevada existen algunos déficits que afectan a la accesibilidad a la información como consecuencia de la forma de publicar las informaciones y, sobre todo, </w:t>
      </w:r>
      <w:r w:rsidR="00BD5EA0">
        <w:rPr>
          <w:b/>
          <w:color w:val="325F64" w:themeColor="accent2" w:themeShade="BF"/>
        </w:rPr>
        <w:t>se observa</w:t>
      </w:r>
      <w:r w:rsidR="004B627A">
        <w:rPr>
          <w:b/>
          <w:color w:val="325F64" w:themeColor="accent2" w:themeShade="BF"/>
        </w:rPr>
        <w:t xml:space="preserve"> la falta </w:t>
      </w:r>
      <w:r w:rsidR="00BD5EA0">
        <w:rPr>
          <w:b/>
          <w:color w:val="325F64" w:themeColor="accent2" w:themeShade="BF"/>
        </w:rPr>
        <w:t xml:space="preserve">generalizada </w:t>
      </w:r>
      <w:r w:rsidR="004B627A">
        <w:rPr>
          <w:b/>
          <w:color w:val="325F64" w:themeColor="accent2" w:themeShade="BF"/>
        </w:rPr>
        <w:t>de referencias que permitan saber si la información publicada  está vigente.</w:t>
      </w:r>
    </w:p>
    <w:p w:rsidR="00524F99" w:rsidRDefault="004B627A" w:rsidP="004B627A">
      <w:pPr>
        <w:tabs>
          <w:tab w:val="left" w:pos="284"/>
        </w:tabs>
        <w:spacing w:before="120" w:after="120" w:line="312" w:lineRule="auto"/>
        <w:rPr>
          <w:rFonts w:cstheme="minorHAnsi"/>
          <w:szCs w:val="24"/>
        </w:rPr>
      </w:pPr>
      <w:r w:rsidRPr="004B627A">
        <w:rPr>
          <w:rFonts w:cstheme="minorHAnsi"/>
          <w:szCs w:val="24"/>
        </w:rPr>
        <w:t xml:space="preserve">Un ejemplo claro del primer supuesto </w:t>
      </w:r>
      <w:r>
        <w:rPr>
          <w:rFonts w:cstheme="minorHAnsi"/>
          <w:szCs w:val="24"/>
        </w:rPr>
        <w:t xml:space="preserve">es la publicación de la información del grupo de </w:t>
      </w:r>
      <w:r w:rsidR="009768D7">
        <w:rPr>
          <w:rFonts w:cstheme="minorHAnsi"/>
          <w:szCs w:val="24"/>
        </w:rPr>
        <w:t>contratación a través de los Perfiles del Contratante en la Plataforma de Contratación del Sector Público. El recurso a fuentes centralizadas para la publicación de informaciones obligatorias presenta diferentes problemas:</w:t>
      </w:r>
    </w:p>
    <w:p w:rsidR="009768D7" w:rsidRDefault="009768D7" w:rsidP="009768D7">
      <w:pPr>
        <w:pStyle w:val="Prrafodelista"/>
        <w:numPr>
          <w:ilvl w:val="0"/>
          <w:numId w:val="47"/>
        </w:numPr>
        <w:tabs>
          <w:tab w:val="left" w:pos="284"/>
        </w:tabs>
        <w:spacing w:before="120" w:after="120" w:line="312" w:lineRule="auto"/>
        <w:rPr>
          <w:rFonts w:cstheme="minorHAnsi"/>
          <w:szCs w:val="24"/>
        </w:rPr>
      </w:pPr>
      <w:r>
        <w:rPr>
          <w:rFonts w:cstheme="minorHAnsi"/>
          <w:szCs w:val="24"/>
        </w:rPr>
        <w:t>En primer lugar, se trata de fuentes de información de difícil acceso</w:t>
      </w:r>
      <w:r w:rsidR="006C3BE2">
        <w:rPr>
          <w:rFonts w:cstheme="minorHAnsi"/>
          <w:szCs w:val="24"/>
        </w:rPr>
        <w:t xml:space="preserve"> </w:t>
      </w:r>
      <w:r>
        <w:rPr>
          <w:rFonts w:cstheme="minorHAnsi"/>
          <w:szCs w:val="24"/>
        </w:rPr>
        <w:t>para la ciudadanía por las dificultades de manejo que presentan.</w:t>
      </w:r>
    </w:p>
    <w:p w:rsidR="009768D7" w:rsidRDefault="009768D7" w:rsidP="006C3BE2">
      <w:pPr>
        <w:pStyle w:val="Prrafodelista"/>
        <w:numPr>
          <w:ilvl w:val="0"/>
          <w:numId w:val="47"/>
        </w:numPr>
        <w:tabs>
          <w:tab w:val="left" w:pos="284"/>
        </w:tabs>
        <w:spacing w:before="120" w:after="120" w:line="312" w:lineRule="auto"/>
        <w:rPr>
          <w:rFonts w:cstheme="minorHAnsi"/>
          <w:szCs w:val="24"/>
        </w:rPr>
      </w:pPr>
      <w:r>
        <w:rPr>
          <w:rFonts w:cstheme="minorHAnsi"/>
          <w:szCs w:val="24"/>
        </w:rPr>
        <w:t>En segundo lugar, a</w:t>
      </w:r>
      <w:r w:rsidRPr="009768D7">
        <w:rPr>
          <w:rFonts w:cstheme="minorHAnsi"/>
          <w:szCs w:val="24"/>
        </w:rPr>
        <w:t>l estar diseñadas para otros usos</w:t>
      </w:r>
      <w:r>
        <w:rPr>
          <w:rFonts w:cstheme="minorHAnsi"/>
          <w:szCs w:val="24"/>
        </w:rPr>
        <w:t>,</w:t>
      </w:r>
      <w:r w:rsidRPr="009768D7">
        <w:rPr>
          <w:rFonts w:cstheme="minorHAnsi"/>
          <w:szCs w:val="24"/>
        </w:rPr>
        <w:t xml:space="preserve"> </w:t>
      </w:r>
      <w:r>
        <w:rPr>
          <w:rFonts w:cstheme="minorHAnsi"/>
          <w:szCs w:val="24"/>
        </w:rPr>
        <w:t>i</w:t>
      </w:r>
      <w:r w:rsidRPr="009768D7">
        <w:rPr>
          <w:rFonts w:cstheme="minorHAnsi"/>
          <w:szCs w:val="24"/>
        </w:rPr>
        <w:t xml:space="preserve">ncluyen mucha información no relacionada con las obligaciones de publicidad activa y por el contrario no incluyen otros contenidos que son obligatorios en aplicación de la LTAIBG. </w:t>
      </w:r>
      <w:r>
        <w:rPr>
          <w:rFonts w:cstheme="minorHAnsi"/>
          <w:szCs w:val="24"/>
        </w:rPr>
        <w:t xml:space="preserve"> Siguiendo con el ejemplo de la Plataforma de</w:t>
      </w:r>
      <w:r w:rsidR="006C3BE2">
        <w:rPr>
          <w:rFonts w:cstheme="minorHAnsi"/>
          <w:szCs w:val="24"/>
        </w:rPr>
        <w:t xml:space="preserve"> Contratación del Sector Público</w:t>
      </w:r>
      <w:r>
        <w:rPr>
          <w:rFonts w:cstheme="minorHAnsi"/>
          <w:szCs w:val="24"/>
        </w:rPr>
        <w:t xml:space="preserve">, ésta no incluye entre </w:t>
      </w:r>
      <w:r w:rsidR="006C3BE2">
        <w:rPr>
          <w:rFonts w:cstheme="minorHAnsi"/>
          <w:szCs w:val="24"/>
        </w:rPr>
        <w:t>l</w:t>
      </w:r>
      <w:r>
        <w:rPr>
          <w:rFonts w:cstheme="minorHAnsi"/>
          <w:szCs w:val="24"/>
        </w:rPr>
        <w:t xml:space="preserve">os criterios de búsqueda de licitaciones </w:t>
      </w:r>
      <w:r>
        <w:rPr>
          <w:rFonts w:cstheme="minorHAnsi"/>
          <w:szCs w:val="24"/>
        </w:rPr>
        <w:lastRenderedPageBreak/>
        <w:t>las modificaciones de los contratos</w:t>
      </w:r>
      <w:r w:rsidR="00317852">
        <w:rPr>
          <w:rFonts w:cstheme="minorHAnsi"/>
          <w:szCs w:val="24"/>
        </w:rPr>
        <w:t>,</w:t>
      </w:r>
      <w:r>
        <w:rPr>
          <w:rFonts w:cstheme="minorHAnsi"/>
          <w:szCs w:val="24"/>
        </w:rPr>
        <w:t xml:space="preserve"> que constituye una obligación diferenciada dentro del grupo contratación</w:t>
      </w:r>
      <w:r w:rsidR="006C3BE2">
        <w:rPr>
          <w:rFonts w:cstheme="minorHAnsi"/>
          <w:szCs w:val="24"/>
        </w:rPr>
        <w:t xml:space="preserve">. Localizar la información relativa a modificaciones en la </w:t>
      </w:r>
      <w:r w:rsidR="006C3BE2" w:rsidRPr="006C3BE2">
        <w:rPr>
          <w:rFonts w:cstheme="minorHAnsi"/>
          <w:szCs w:val="24"/>
        </w:rPr>
        <w:t>Plataforma de Contratación del Sector Público</w:t>
      </w:r>
      <w:r w:rsidR="006C3BE2">
        <w:rPr>
          <w:rFonts w:cstheme="minorHAnsi"/>
          <w:szCs w:val="24"/>
        </w:rPr>
        <w:t>, implica</w:t>
      </w:r>
      <w:r w:rsidR="000D2839">
        <w:rPr>
          <w:rFonts w:cstheme="minorHAnsi"/>
          <w:szCs w:val="24"/>
        </w:rPr>
        <w:t>ría</w:t>
      </w:r>
      <w:r w:rsidRPr="009768D7">
        <w:rPr>
          <w:rFonts w:cstheme="minorHAnsi"/>
          <w:szCs w:val="24"/>
        </w:rPr>
        <w:t xml:space="preserve"> abrir los enlaces a cada una de las licitaciones </w:t>
      </w:r>
      <w:r w:rsidR="00317852">
        <w:rPr>
          <w:rFonts w:cstheme="minorHAnsi"/>
          <w:szCs w:val="24"/>
        </w:rPr>
        <w:t>correspondientes a la entidad</w:t>
      </w:r>
      <w:r w:rsidRPr="009768D7">
        <w:rPr>
          <w:rFonts w:cstheme="minorHAnsi"/>
          <w:szCs w:val="24"/>
        </w:rPr>
        <w:t xml:space="preserve"> para conocer si </w:t>
      </w:r>
      <w:r w:rsidR="006C3BE2">
        <w:rPr>
          <w:rFonts w:cstheme="minorHAnsi"/>
          <w:szCs w:val="24"/>
        </w:rPr>
        <w:t>en alguna de ellas se ha dado esta circunstancia.</w:t>
      </w:r>
      <w:r w:rsidR="008762AA">
        <w:rPr>
          <w:rFonts w:cstheme="minorHAnsi"/>
          <w:szCs w:val="24"/>
        </w:rPr>
        <w:t xml:space="preserve"> Un problema adicional es que un</w:t>
      </w:r>
      <w:r w:rsidR="00E165D2">
        <w:rPr>
          <w:rFonts w:cstheme="minorHAnsi"/>
          <w:szCs w:val="24"/>
        </w:rPr>
        <w:t>a</w:t>
      </w:r>
      <w:r w:rsidR="008762AA">
        <w:rPr>
          <w:rFonts w:cstheme="minorHAnsi"/>
          <w:szCs w:val="24"/>
        </w:rPr>
        <w:t xml:space="preserve"> </w:t>
      </w:r>
      <w:r w:rsidR="00E165D2">
        <w:rPr>
          <w:rFonts w:cstheme="minorHAnsi"/>
          <w:szCs w:val="24"/>
        </w:rPr>
        <w:t xml:space="preserve">entidad puede tener más de un órgano de contratación, lo que supone una dificultad </w:t>
      </w:r>
      <w:r w:rsidR="007D671A">
        <w:rPr>
          <w:rFonts w:cstheme="minorHAnsi"/>
          <w:szCs w:val="24"/>
        </w:rPr>
        <w:t>añadida</w:t>
      </w:r>
      <w:r w:rsidR="00E165D2">
        <w:rPr>
          <w:rFonts w:cstheme="minorHAnsi"/>
          <w:szCs w:val="24"/>
        </w:rPr>
        <w:t>.</w:t>
      </w:r>
      <w:r w:rsidR="008762AA">
        <w:rPr>
          <w:rFonts w:cstheme="minorHAnsi"/>
          <w:szCs w:val="24"/>
        </w:rPr>
        <w:t xml:space="preserve"> </w:t>
      </w:r>
    </w:p>
    <w:p w:rsidR="006C3BE2" w:rsidRPr="009768D7" w:rsidRDefault="006C3BE2" w:rsidP="006C3BE2">
      <w:pPr>
        <w:pStyle w:val="Prrafodelista"/>
        <w:numPr>
          <w:ilvl w:val="0"/>
          <w:numId w:val="47"/>
        </w:numPr>
        <w:tabs>
          <w:tab w:val="left" w:pos="284"/>
        </w:tabs>
        <w:spacing w:before="120" w:after="120" w:line="312" w:lineRule="auto"/>
        <w:rPr>
          <w:rFonts w:cstheme="minorHAnsi"/>
          <w:szCs w:val="24"/>
        </w:rPr>
      </w:pPr>
      <w:r>
        <w:rPr>
          <w:rFonts w:cstheme="minorHAnsi"/>
          <w:szCs w:val="24"/>
        </w:rPr>
        <w:t xml:space="preserve">En tercer lugar, </w:t>
      </w:r>
      <w:r w:rsidRPr="006C3BE2">
        <w:rPr>
          <w:rFonts w:cstheme="minorHAnsi"/>
          <w:szCs w:val="24"/>
        </w:rPr>
        <w:t xml:space="preserve">un problema </w:t>
      </w:r>
      <w:r w:rsidR="007D671A">
        <w:rPr>
          <w:rFonts w:cstheme="minorHAnsi"/>
          <w:szCs w:val="24"/>
        </w:rPr>
        <w:t xml:space="preserve">que se suma </w:t>
      </w:r>
      <w:r w:rsidRPr="006C3BE2">
        <w:rPr>
          <w:rFonts w:cstheme="minorHAnsi"/>
          <w:szCs w:val="24"/>
        </w:rPr>
        <w:t>a los ya señalados</w:t>
      </w:r>
      <w:r w:rsidR="00317852">
        <w:rPr>
          <w:rFonts w:cstheme="minorHAnsi"/>
          <w:szCs w:val="24"/>
        </w:rPr>
        <w:t>,</w:t>
      </w:r>
      <w:r>
        <w:rPr>
          <w:rFonts w:cstheme="minorHAnsi"/>
          <w:szCs w:val="24"/>
        </w:rPr>
        <w:t xml:space="preserve"> es</w:t>
      </w:r>
      <w:r w:rsidRPr="006C3BE2">
        <w:rPr>
          <w:rFonts w:cstheme="minorHAnsi"/>
          <w:szCs w:val="24"/>
        </w:rPr>
        <w:t xml:space="preserve"> la imposibilidad de que la entidad que adopta </w:t>
      </w:r>
      <w:r w:rsidR="00BD5EA0">
        <w:rPr>
          <w:rFonts w:cstheme="minorHAnsi"/>
          <w:szCs w:val="24"/>
        </w:rPr>
        <w:t>la</w:t>
      </w:r>
      <w:r w:rsidRPr="006C3BE2">
        <w:rPr>
          <w:rFonts w:cstheme="minorHAnsi"/>
          <w:szCs w:val="24"/>
        </w:rPr>
        <w:t xml:space="preserve"> decisión</w:t>
      </w:r>
      <w:r w:rsidR="00BD5EA0">
        <w:rPr>
          <w:rFonts w:cstheme="minorHAnsi"/>
          <w:szCs w:val="24"/>
        </w:rPr>
        <w:t xml:space="preserve"> de publicar información enlazando a fuentes centralizadas,</w:t>
      </w:r>
      <w:r w:rsidRPr="006C3BE2">
        <w:rPr>
          <w:rFonts w:cstheme="minorHAnsi"/>
          <w:szCs w:val="24"/>
        </w:rPr>
        <w:t xml:space="preserve"> pueda controlar tanto los contenidos como el mantenimiento de los enlaces a su inform</w:t>
      </w:r>
      <w:r>
        <w:rPr>
          <w:rFonts w:cstheme="minorHAnsi"/>
          <w:szCs w:val="24"/>
        </w:rPr>
        <w:t>ación en la fuente centralizada</w:t>
      </w:r>
      <w:r w:rsidR="00317852">
        <w:rPr>
          <w:rFonts w:cstheme="minorHAnsi"/>
          <w:szCs w:val="24"/>
        </w:rPr>
        <w:t>. De</w:t>
      </w:r>
      <w:r>
        <w:rPr>
          <w:rFonts w:cstheme="minorHAnsi"/>
          <w:szCs w:val="24"/>
        </w:rPr>
        <w:t xml:space="preserve"> hecho se ha observado en el transcurso de esta evaluación que en ocasiones el enlace a la información de la institución en la fuente centralizada daba error.  </w:t>
      </w:r>
    </w:p>
    <w:p w:rsidR="00524F99" w:rsidRPr="006C3BE2" w:rsidRDefault="006C3BE2" w:rsidP="006C3BE2">
      <w:pPr>
        <w:pBdr>
          <w:top w:val="single" w:sz="8" w:space="1" w:color="226860"/>
          <w:left w:val="single" w:sz="8" w:space="4" w:color="226860"/>
          <w:bottom w:val="single" w:sz="8" w:space="1" w:color="226860"/>
          <w:right w:val="single" w:sz="8" w:space="4" w:color="226860"/>
        </w:pBdr>
        <w:tabs>
          <w:tab w:val="left" w:pos="284"/>
        </w:tabs>
        <w:spacing w:before="120" w:after="120"/>
        <w:rPr>
          <w:rFonts w:cstheme="minorHAnsi"/>
          <w:szCs w:val="24"/>
        </w:rPr>
      </w:pPr>
      <w:r w:rsidRPr="006C3BE2">
        <w:rPr>
          <w:rFonts w:cstheme="minorHAnsi"/>
          <w:szCs w:val="24"/>
        </w:rPr>
        <w:t>Por esta</w:t>
      </w:r>
      <w:r>
        <w:rPr>
          <w:rFonts w:cstheme="minorHAnsi"/>
          <w:szCs w:val="24"/>
        </w:rPr>
        <w:t>s razones</w:t>
      </w:r>
      <w:r w:rsidRPr="006C3BE2">
        <w:rPr>
          <w:rFonts w:cstheme="minorHAnsi"/>
          <w:szCs w:val="24"/>
        </w:rPr>
        <w:t xml:space="preserve"> desde este Consejo se </w:t>
      </w:r>
      <w:r>
        <w:rPr>
          <w:rFonts w:cstheme="minorHAnsi"/>
          <w:szCs w:val="24"/>
        </w:rPr>
        <w:t>insiste en recomendar</w:t>
      </w:r>
      <w:r w:rsidRPr="006C3BE2">
        <w:rPr>
          <w:rFonts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4612EB" w:rsidRDefault="004612EB" w:rsidP="00631760">
      <w:pPr>
        <w:tabs>
          <w:tab w:val="left" w:pos="284"/>
        </w:tabs>
        <w:spacing w:before="120" w:after="120" w:line="312" w:lineRule="auto"/>
        <w:rPr>
          <w:rFonts w:cstheme="minorHAnsi"/>
          <w:szCs w:val="24"/>
        </w:rPr>
      </w:pPr>
    </w:p>
    <w:p w:rsidR="00631760" w:rsidRPr="00631760" w:rsidRDefault="00631760" w:rsidP="00631760">
      <w:pPr>
        <w:tabs>
          <w:tab w:val="left" w:pos="284"/>
        </w:tabs>
        <w:spacing w:before="120" w:after="120" w:line="312" w:lineRule="auto"/>
        <w:rPr>
          <w:rFonts w:cstheme="minorHAnsi"/>
          <w:szCs w:val="24"/>
        </w:rPr>
      </w:pPr>
      <w:r w:rsidRPr="00631760">
        <w:rPr>
          <w:rFonts w:cstheme="minorHAnsi"/>
          <w:szCs w:val="24"/>
        </w:rPr>
        <w:t>Respecto de la actualización de la información</w:t>
      </w:r>
      <w:r>
        <w:rPr>
          <w:rFonts w:cstheme="minorHAnsi"/>
          <w:szCs w:val="24"/>
        </w:rPr>
        <w:t xml:space="preserve">, la situación más frecuente es que no se publique en los Portales de Transparencia la fecha en que se revisó o actualizó por última vez la información publicada. También en ocasiones, los documentos que contienen la información no están datados.  </w:t>
      </w:r>
      <w:r w:rsidRPr="00631760">
        <w:rPr>
          <w:rFonts w:cstheme="minorHAnsi"/>
          <w:szCs w:val="24"/>
        </w:rPr>
        <w:t xml:space="preserve"> </w:t>
      </w:r>
    </w:p>
    <w:p w:rsidR="00631760" w:rsidRDefault="00631760" w:rsidP="00631760">
      <w:pPr>
        <w:tabs>
          <w:tab w:val="left" w:pos="284"/>
        </w:tabs>
        <w:spacing w:before="120" w:after="120" w:line="312" w:lineRule="auto"/>
        <w:rPr>
          <w:rFonts w:cstheme="minorHAnsi"/>
          <w:szCs w:val="24"/>
        </w:rPr>
      </w:pPr>
      <w:r w:rsidRPr="00631760">
        <w:rPr>
          <w:rFonts w:cstheme="minorHAnsi"/>
          <w:szCs w:val="24"/>
        </w:rPr>
        <w:t xml:space="preserve">Algunas instituciones </w:t>
      </w:r>
      <w:r>
        <w:rPr>
          <w:rFonts w:cstheme="minorHAnsi"/>
          <w:szCs w:val="24"/>
        </w:rPr>
        <w:t xml:space="preserve">han señalado en sus observaciones, que la información contenida en el Portal se actualiza constantemente, o que determinadas informaciones – por ejemplo, las del bloque Institucional y Organizativa – son muy estables y que no requieren una actualización frecuente. </w:t>
      </w:r>
      <w:r w:rsidR="00A57F5B">
        <w:rPr>
          <w:rFonts w:cstheme="minorHAnsi"/>
          <w:szCs w:val="24"/>
        </w:rPr>
        <w:t>Otras instituciones mantienen el criterio respecto de varias obligaciones del bloque Información Económica y Presupuestaria, de no actualizar la información hasta que se produce la liquidación del presupuesto o se presentan las cuentas anuales.</w:t>
      </w:r>
    </w:p>
    <w:p w:rsidR="00A57F5B" w:rsidRDefault="00A57F5B" w:rsidP="00A57F5B">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sidRPr="00A57F5B">
        <w:rPr>
          <w:rFonts w:cstheme="minorHAnsi"/>
          <w:szCs w:val="24"/>
        </w:rPr>
        <w:t>Respecto de la</w:t>
      </w:r>
      <w:r w:rsidR="00BD5EA0">
        <w:rPr>
          <w:rFonts w:cstheme="minorHAnsi"/>
          <w:szCs w:val="24"/>
        </w:rPr>
        <w:t>s dos</w:t>
      </w:r>
      <w:r w:rsidRPr="00A57F5B">
        <w:rPr>
          <w:rFonts w:cstheme="minorHAnsi"/>
          <w:szCs w:val="24"/>
        </w:rPr>
        <w:t xml:space="preserve"> primera</w:t>
      </w:r>
      <w:r w:rsidR="00BD5EA0">
        <w:rPr>
          <w:rFonts w:cstheme="minorHAnsi"/>
          <w:szCs w:val="24"/>
        </w:rPr>
        <w:t>s</w:t>
      </w:r>
      <w:r w:rsidRPr="00A57F5B">
        <w:rPr>
          <w:rFonts w:cstheme="minorHAnsi"/>
          <w:szCs w:val="24"/>
        </w:rPr>
        <w:t xml:space="preserve"> cuesti</w:t>
      </w:r>
      <w:r w:rsidR="00BD5EA0">
        <w:rPr>
          <w:rFonts w:cstheme="minorHAnsi"/>
          <w:szCs w:val="24"/>
        </w:rPr>
        <w:t>ones</w:t>
      </w:r>
      <w:r w:rsidRPr="00A57F5B">
        <w:rPr>
          <w:rFonts w:cstheme="minorHAnsi"/>
          <w:szCs w:val="24"/>
        </w:rPr>
        <w:t xml:space="preserve">, </w:t>
      </w:r>
      <w:r>
        <w:rPr>
          <w:rFonts w:cstheme="minorHAnsi"/>
          <w:szCs w:val="24"/>
        </w:rPr>
        <w:t xml:space="preserve">actualización permanente o estabilidad en el tiempo de determinadas informaciones, </w:t>
      </w:r>
      <w:r w:rsidRPr="00A57F5B">
        <w:rPr>
          <w:rFonts w:cstheme="minorHAnsi"/>
          <w:szCs w:val="24"/>
        </w:rPr>
        <w:t xml:space="preserve">es preciso señalar que la única posibilidad que tienen los ciudadanos de saber si la información publicada está vigente o no, es que en </w:t>
      </w:r>
      <w:r w:rsidR="00317852">
        <w:rPr>
          <w:rFonts w:cstheme="minorHAnsi"/>
          <w:szCs w:val="24"/>
        </w:rPr>
        <w:t>el</w:t>
      </w:r>
      <w:r w:rsidRPr="00A57F5B">
        <w:rPr>
          <w:rFonts w:cstheme="minorHAnsi"/>
          <w:szCs w:val="24"/>
        </w:rPr>
        <w:t xml:space="preserve"> Portal </w:t>
      </w:r>
      <w:r w:rsidR="00317852">
        <w:rPr>
          <w:rFonts w:cstheme="minorHAnsi"/>
          <w:szCs w:val="24"/>
        </w:rPr>
        <w:t xml:space="preserve">de Transparencia </w:t>
      </w:r>
      <w:r w:rsidRPr="00A57F5B">
        <w:rPr>
          <w:rFonts w:cstheme="minorHAnsi"/>
          <w:szCs w:val="24"/>
        </w:rPr>
        <w:t xml:space="preserve">se indique expresamente. En este sentido bastaría con que en la página inicial se mostrase la fecha de la última revisión o actualización </w:t>
      </w:r>
      <w:r w:rsidR="00317852">
        <w:rPr>
          <w:rFonts w:cstheme="minorHAnsi"/>
          <w:szCs w:val="24"/>
        </w:rPr>
        <w:t xml:space="preserve">de la información contenida en </w:t>
      </w:r>
      <w:r w:rsidRPr="00A57F5B">
        <w:rPr>
          <w:rFonts w:cstheme="minorHAnsi"/>
          <w:szCs w:val="24"/>
        </w:rPr>
        <w:t>el Portal.</w:t>
      </w:r>
    </w:p>
    <w:p w:rsidR="00A57F5B" w:rsidRPr="00A57F5B" w:rsidRDefault="00A57F5B" w:rsidP="00A57F5B">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Pr>
          <w:rFonts w:cstheme="minorHAnsi"/>
          <w:szCs w:val="24"/>
        </w:rPr>
        <w:lastRenderedPageBreak/>
        <w:t xml:space="preserve">Y respecto de la segunda cuestión, </w:t>
      </w:r>
      <w:r w:rsidR="00E26834">
        <w:rPr>
          <w:rFonts w:cstheme="minorHAnsi"/>
          <w:szCs w:val="24"/>
        </w:rPr>
        <w:t>publicación de información económica a ejercicio vencido, e</w:t>
      </w:r>
      <w:r w:rsidRPr="00A57F5B">
        <w:rPr>
          <w:rFonts w:cstheme="minorHAnsi"/>
          <w:szCs w:val="24"/>
        </w:rPr>
        <w:t xml:space="preserve">l problema es que este criterio de publicación implica que la información se encuentre desactualizada. Por esta razón este Consejo recomienda </w:t>
      </w:r>
      <w:r w:rsidR="00E26834">
        <w:rPr>
          <w:rFonts w:cstheme="minorHAnsi"/>
          <w:szCs w:val="24"/>
        </w:rPr>
        <w:t>que aquellas informaciones que son conocidas a inicio del año – por ejemplo las retribuciones de altos cargos y máximos responsables – o que se refieren a actividades que pueden producirse en cualquier momento del año – por ejemplo, las indemnizaciones al cese de altos cargos – o</w:t>
      </w:r>
      <w:r w:rsidR="00317852">
        <w:rPr>
          <w:rFonts w:cstheme="minorHAnsi"/>
          <w:szCs w:val="24"/>
        </w:rPr>
        <w:t xml:space="preserve"> que</w:t>
      </w:r>
      <w:r w:rsidR="00E26834">
        <w:rPr>
          <w:rFonts w:cstheme="minorHAnsi"/>
          <w:szCs w:val="24"/>
        </w:rPr>
        <w:t xml:space="preserve"> se desarrollan de manera continua – por ejemplo, la información estadística sobre contratación o la ejecución presupuestaria – se publiquen </w:t>
      </w:r>
      <w:r w:rsidRPr="00A57F5B">
        <w:rPr>
          <w:rFonts w:cstheme="minorHAnsi"/>
          <w:szCs w:val="24"/>
        </w:rPr>
        <w:t xml:space="preserve">con una periodicidad inferior a la anual, dado que </w:t>
      </w:r>
      <w:r w:rsidR="00E26834">
        <w:rPr>
          <w:rFonts w:cstheme="minorHAnsi"/>
          <w:szCs w:val="24"/>
        </w:rPr>
        <w:t xml:space="preserve">además, se refieren a obligaciones individuales y diferentes de la publicación del presupuesto o de las cuentas anuales. </w:t>
      </w:r>
    </w:p>
    <w:p w:rsidR="004612EB" w:rsidRDefault="004612EB">
      <w:pPr>
        <w:jc w:val="left"/>
      </w:pPr>
    </w:p>
    <w:p w:rsidR="004612EB" w:rsidRDefault="004612EB" w:rsidP="004612EB">
      <w:pPr>
        <w:rPr>
          <w:b/>
          <w:color w:val="325F64" w:themeColor="accent2" w:themeShade="BF"/>
        </w:rPr>
      </w:pPr>
      <w:r w:rsidRPr="004612EB">
        <w:rPr>
          <w:b/>
          <w:color w:val="325F64" w:themeColor="accent2" w:themeShade="BF"/>
        </w:rPr>
        <w:t>E</w:t>
      </w:r>
      <w:r>
        <w:rPr>
          <w:b/>
          <w:color w:val="325F64" w:themeColor="accent2" w:themeShade="BF"/>
        </w:rPr>
        <w:t>n promedio e</w:t>
      </w:r>
      <w:r w:rsidRPr="004612EB">
        <w:rPr>
          <w:b/>
          <w:color w:val="325F64" w:themeColor="accent2" w:themeShade="BF"/>
        </w:rPr>
        <w:t>l índice de Cumplimiento de</w:t>
      </w:r>
      <w:r>
        <w:rPr>
          <w:b/>
          <w:color w:val="325F64" w:themeColor="accent2" w:themeShade="BF"/>
        </w:rPr>
        <w:t xml:space="preserve"> </w:t>
      </w:r>
      <w:r w:rsidRPr="004612EB">
        <w:rPr>
          <w:b/>
          <w:color w:val="325F64" w:themeColor="accent2" w:themeShade="BF"/>
        </w:rPr>
        <w:t>la Información Obligatoria (ICIO)</w:t>
      </w:r>
      <w:r>
        <w:rPr>
          <w:b/>
          <w:color w:val="325F64" w:themeColor="accent2" w:themeShade="BF"/>
        </w:rPr>
        <w:t xml:space="preserve"> alcanza un valor elevado, un  </w:t>
      </w:r>
      <w:r w:rsidR="007D671A">
        <w:rPr>
          <w:b/>
          <w:color w:val="325F64" w:themeColor="accent2" w:themeShade="BF"/>
        </w:rPr>
        <w:t>75,7</w:t>
      </w:r>
      <w:r>
        <w:rPr>
          <w:b/>
          <w:color w:val="325F64" w:themeColor="accent2" w:themeShade="BF"/>
        </w:rPr>
        <w:t>%</w:t>
      </w:r>
      <w:r w:rsidR="00BD5EA0">
        <w:rPr>
          <w:b/>
          <w:color w:val="325F64" w:themeColor="accent2" w:themeShade="BF"/>
        </w:rPr>
        <w:t>. B</w:t>
      </w:r>
      <w:r>
        <w:rPr>
          <w:b/>
          <w:color w:val="325F64" w:themeColor="accent2" w:themeShade="BF"/>
        </w:rPr>
        <w:t xml:space="preserve">astaría con </w:t>
      </w:r>
      <w:r w:rsidR="00BD5EA0">
        <w:rPr>
          <w:b/>
          <w:color w:val="325F64" w:themeColor="accent2" w:themeShade="BF"/>
        </w:rPr>
        <w:t>aplicar</w:t>
      </w:r>
      <w:r>
        <w:rPr>
          <w:b/>
          <w:color w:val="325F64" w:themeColor="accent2" w:themeShade="BF"/>
        </w:rPr>
        <w:t xml:space="preserve"> algunas de las recomendaciones efectuad</w:t>
      </w:r>
      <w:r w:rsidR="009400C9">
        <w:rPr>
          <w:b/>
          <w:color w:val="325F64" w:themeColor="accent2" w:themeShade="BF"/>
        </w:rPr>
        <w:t>as</w:t>
      </w:r>
      <w:r>
        <w:rPr>
          <w:b/>
          <w:color w:val="325F64" w:themeColor="accent2" w:themeShade="BF"/>
        </w:rPr>
        <w:t xml:space="preserve"> para obtener una notable mejora. Por otra parte, existe una gran variabilidad entre las instituciones evaluadas.</w:t>
      </w:r>
    </w:p>
    <w:p w:rsidR="009400C9" w:rsidRPr="009400C9" w:rsidRDefault="009400C9" w:rsidP="004612EB">
      <w:pPr>
        <w:rPr>
          <w:rFonts w:cstheme="minorHAnsi"/>
          <w:szCs w:val="24"/>
        </w:rPr>
      </w:pPr>
      <w:r w:rsidRPr="009400C9">
        <w:rPr>
          <w:rFonts w:cstheme="minorHAnsi"/>
          <w:szCs w:val="24"/>
        </w:rPr>
        <w:t>Respecto de esta última cuesti</w:t>
      </w:r>
      <w:r>
        <w:rPr>
          <w:rFonts w:cstheme="minorHAnsi"/>
          <w:szCs w:val="24"/>
        </w:rPr>
        <w:t xml:space="preserve">ón, </w:t>
      </w:r>
      <w:r w:rsidR="002A35CD">
        <w:rPr>
          <w:rFonts w:cstheme="minorHAnsi"/>
          <w:szCs w:val="24"/>
        </w:rPr>
        <w:t>siete</w:t>
      </w:r>
      <w:r>
        <w:rPr>
          <w:rFonts w:cstheme="minorHAnsi"/>
          <w:szCs w:val="24"/>
        </w:rPr>
        <w:t xml:space="preserve"> de las </w:t>
      </w:r>
      <w:r w:rsidR="002A35CD">
        <w:rPr>
          <w:rFonts w:cstheme="minorHAnsi"/>
          <w:szCs w:val="24"/>
        </w:rPr>
        <w:t>diez</w:t>
      </w:r>
      <w:r>
        <w:rPr>
          <w:rFonts w:cstheme="minorHAnsi"/>
          <w:szCs w:val="24"/>
        </w:rPr>
        <w:t xml:space="preserve"> instituciones evaluadas presentan niveles de cumplimiento iguales o superiores al índice de cumplimiento medio</w:t>
      </w:r>
      <w:r w:rsidR="00CE4882">
        <w:rPr>
          <w:rFonts w:cstheme="minorHAnsi"/>
          <w:szCs w:val="24"/>
        </w:rPr>
        <w:t xml:space="preserve">, con valores que oscilan entre un </w:t>
      </w:r>
      <w:r w:rsidR="007D671A">
        <w:rPr>
          <w:rFonts w:cstheme="minorHAnsi"/>
          <w:szCs w:val="24"/>
        </w:rPr>
        <w:t>77,2</w:t>
      </w:r>
      <w:r w:rsidR="00CE4882">
        <w:rPr>
          <w:rFonts w:cstheme="minorHAnsi"/>
          <w:szCs w:val="24"/>
        </w:rPr>
        <w:t xml:space="preserve"> y un </w:t>
      </w:r>
      <w:r w:rsidR="002A35CD">
        <w:rPr>
          <w:rFonts w:cstheme="minorHAnsi"/>
          <w:szCs w:val="24"/>
        </w:rPr>
        <w:t>87,4</w:t>
      </w:r>
      <w:r w:rsidR="00CE4882">
        <w:rPr>
          <w:rFonts w:cstheme="minorHAnsi"/>
          <w:szCs w:val="24"/>
        </w:rPr>
        <w:t xml:space="preserve">%. Por el contrario, el rango de valores de las instituciones que se sitúan por debajo del cumplimiento medio oscila entre un 48,6 y un </w:t>
      </w:r>
      <w:r w:rsidR="002A35CD">
        <w:rPr>
          <w:rFonts w:cstheme="minorHAnsi"/>
          <w:szCs w:val="24"/>
        </w:rPr>
        <w:t>72,8</w:t>
      </w:r>
      <w:r w:rsidR="00CE4882">
        <w:rPr>
          <w:rFonts w:cstheme="minorHAnsi"/>
          <w:szCs w:val="24"/>
        </w:rPr>
        <w:t>%.</w:t>
      </w:r>
      <w:r w:rsidR="00BD5EA0">
        <w:rPr>
          <w:rFonts w:cstheme="minorHAnsi"/>
          <w:szCs w:val="24"/>
        </w:rPr>
        <w:t xml:space="preserve"> </w:t>
      </w:r>
    </w:p>
    <w:p w:rsidR="004612EB" w:rsidRPr="004612EB" w:rsidRDefault="00CE4882" w:rsidP="004612EB">
      <w:pPr>
        <w:rPr>
          <w:b/>
          <w:color w:val="325F64" w:themeColor="accent2" w:themeShade="BF"/>
        </w:rPr>
      </w:pPr>
      <w:r>
        <w:rPr>
          <w:b/>
          <w:color w:val="325F64" w:themeColor="accent2" w:themeShade="BF"/>
        </w:rPr>
        <w:t xml:space="preserve">Todas las instituciones publican información adicional a la obligatoria relevante desde el punto de vista de la transparencia, lo que constituye una muestra su </w:t>
      </w:r>
      <w:proofErr w:type="spellStart"/>
      <w:r>
        <w:rPr>
          <w:b/>
          <w:color w:val="325F64" w:themeColor="accent2" w:themeShade="BF"/>
        </w:rPr>
        <w:t>proactividad</w:t>
      </w:r>
      <w:proofErr w:type="spellEnd"/>
      <w:r>
        <w:rPr>
          <w:b/>
          <w:color w:val="325F64" w:themeColor="accent2" w:themeShade="BF"/>
        </w:rPr>
        <w:t xml:space="preserve"> respecto de la transparencia</w:t>
      </w:r>
      <w:r w:rsidR="00334037">
        <w:rPr>
          <w:b/>
          <w:color w:val="325F64" w:themeColor="accent2" w:themeShade="BF"/>
        </w:rPr>
        <w:t xml:space="preserve"> y</w:t>
      </w:r>
      <w:r>
        <w:rPr>
          <w:b/>
          <w:color w:val="325F64" w:themeColor="accent2" w:themeShade="BF"/>
        </w:rPr>
        <w:t xml:space="preserve"> la rendición de cuentas.</w:t>
      </w:r>
    </w:p>
    <w:p w:rsidR="004612EB" w:rsidRDefault="00CE4882" w:rsidP="00CE4882">
      <w:r>
        <w:t>Algunas de estas informaciones adicionales se corresponden con obligaciones de publicidad activa que según lo dispuesto en la LTAIBG no son aplicables a los órganos constitucionales y de relevancia constitucional. En otros casos se trata de informaciones no contempladas en la Ley como las Agendas, los gas</w:t>
      </w:r>
      <w:r w:rsidR="00334037">
        <w:t>tos de viajes o protocolarios o los obsequios recibidos.</w:t>
      </w:r>
    </w:p>
    <w:p w:rsidR="00334037" w:rsidRDefault="00334037" w:rsidP="00CE4882">
      <w:pPr>
        <w:rPr>
          <w:b/>
          <w:color w:val="325F64" w:themeColor="accent2" w:themeShade="BF"/>
        </w:rPr>
      </w:pPr>
      <w:r w:rsidRPr="00334037">
        <w:rPr>
          <w:b/>
          <w:color w:val="325F64" w:themeColor="accent2" w:themeShade="BF"/>
        </w:rPr>
        <w:t>Todas las instituciones</w:t>
      </w:r>
      <w:r>
        <w:t xml:space="preserve"> </w:t>
      </w:r>
      <w:r w:rsidRPr="00334037">
        <w:rPr>
          <w:b/>
          <w:color w:val="325F64" w:themeColor="accent2" w:themeShade="BF"/>
        </w:rPr>
        <w:t>presentan buenas prácticas</w:t>
      </w:r>
      <w:r>
        <w:t xml:space="preserve"> </w:t>
      </w:r>
      <w:r w:rsidRPr="00334037">
        <w:rPr>
          <w:b/>
          <w:color w:val="325F64" w:themeColor="accent2" w:themeShade="BF"/>
        </w:rPr>
        <w:t xml:space="preserve">que podrían ser aplicadas por otras instituciones y organizaciones públicas </w:t>
      </w:r>
      <w:r>
        <w:rPr>
          <w:b/>
          <w:color w:val="325F64" w:themeColor="accent2" w:themeShade="BF"/>
        </w:rPr>
        <w:t>muchas</w:t>
      </w:r>
      <w:r>
        <w:t xml:space="preserve"> </w:t>
      </w:r>
      <w:r w:rsidRPr="00334037">
        <w:rPr>
          <w:b/>
          <w:color w:val="325F64" w:themeColor="accent2" w:themeShade="BF"/>
        </w:rPr>
        <w:t xml:space="preserve">de ellas dirigidas a facilitar la comprensión y la accesibilidad a la información. </w:t>
      </w:r>
    </w:p>
    <w:p w:rsidR="00334037" w:rsidRDefault="00565D36" w:rsidP="00CE4882">
      <w:r>
        <w:t>Entre ellas cabe destacar la inclusión de textos introductorios a los contenidos de los diversos apartados del Portal, la organización y forma de presentación de la información, especialmente el uso de formatos que posibilitan la accesibilidad de las personas con discapacidad.</w:t>
      </w:r>
    </w:p>
    <w:p w:rsidR="00BD5EA0" w:rsidRDefault="00BD5EA0" w:rsidP="00CE4882"/>
    <w:p w:rsidR="00565D36" w:rsidRDefault="004612EB" w:rsidP="004612EB">
      <w:pPr>
        <w:pStyle w:val="Ttulo2"/>
      </w:pPr>
      <w:bookmarkStart w:id="29" w:name="_Toc69312068"/>
      <w:r>
        <w:lastRenderedPageBreak/>
        <w:t>V.</w:t>
      </w:r>
      <w:r w:rsidR="00565D36">
        <w:t>2.</w:t>
      </w:r>
      <w:r>
        <w:t xml:space="preserve"> </w:t>
      </w:r>
      <w:r w:rsidRPr="00DD555A">
        <w:t xml:space="preserve">En materia de </w:t>
      </w:r>
      <w:r w:rsidR="00430EDA">
        <w:t>derecho de acceso.</w:t>
      </w:r>
      <w:bookmarkEnd w:id="29"/>
      <w:r>
        <w:t xml:space="preserve"> </w:t>
      </w:r>
    </w:p>
    <w:p w:rsidR="00565D36" w:rsidRDefault="00565D36" w:rsidP="004612EB">
      <w:pPr>
        <w:pStyle w:val="Ttulo2"/>
      </w:pPr>
    </w:p>
    <w:p w:rsidR="00565D36" w:rsidRDefault="00565D36" w:rsidP="00565D36">
      <w:pPr>
        <w:rPr>
          <w:b/>
          <w:color w:val="325F64" w:themeColor="accent2" w:themeShade="BF"/>
        </w:rPr>
      </w:pPr>
      <w:r w:rsidRPr="00565D36">
        <w:rPr>
          <w:b/>
          <w:color w:val="325F64" w:themeColor="accent2" w:themeShade="BF"/>
        </w:rPr>
        <w:t xml:space="preserve">La actividad </w:t>
      </w:r>
      <w:r>
        <w:rPr>
          <w:b/>
          <w:color w:val="325F64" w:themeColor="accent2" w:themeShade="BF"/>
        </w:rPr>
        <w:t>derivada del ejercicio del derecho de acceso tiene escasa entidad</w:t>
      </w:r>
      <w:r w:rsidR="00CA081B">
        <w:rPr>
          <w:b/>
          <w:color w:val="325F64" w:themeColor="accent2" w:themeShade="BF"/>
        </w:rPr>
        <w:t xml:space="preserve"> en estas instituciones</w:t>
      </w:r>
      <w:r w:rsidR="004538B9">
        <w:rPr>
          <w:b/>
          <w:color w:val="325F64" w:themeColor="accent2" w:themeShade="BF"/>
        </w:rPr>
        <w:t>,</w:t>
      </w:r>
      <w:r>
        <w:rPr>
          <w:b/>
          <w:color w:val="325F64" w:themeColor="accent2" w:themeShade="BF"/>
        </w:rPr>
        <w:t xml:space="preserve"> dado que en promedio y para las instituciones que han remitido información </w:t>
      </w:r>
      <w:r w:rsidR="00CA081B">
        <w:rPr>
          <w:b/>
          <w:color w:val="325F64" w:themeColor="accent2" w:themeShade="BF"/>
        </w:rPr>
        <w:t xml:space="preserve">se </w:t>
      </w:r>
      <w:r>
        <w:rPr>
          <w:b/>
          <w:color w:val="325F64" w:themeColor="accent2" w:themeShade="BF"/>
        </w:rPr>
        <w:t>recibieron</w:t>
      </w:r>
      <w:r w:rsidR="00CA081B">
        <w:rPr>
          <w:b/>
          <w:color w:val="325F64" w:themeColor="accent2" w:themeShade="BF"/>
        </w:rPr>
        <w:t xml:space="preserve"> en 2020, </w:t>
      </w:r>
      <w:r w:rsidR="00500F92">
        <w:rPr>
          <w:b/>
          <w:color w:val="325F64" w:themeColor="accent2" w:themeShade="BF"/>
        </w:rPr>
        <w:t>poco más de 78</w:t>
      </w:r>
      <w:r>
        <w:rPr>
          <w:b/>
          <w:color w:val="325F64" w:themeColor="accent2" w:themeShade="BF"/>
        </w:rPr>
        <w:t xml:space="preserve"> solicitudes de acceso a información pública.</w:t>
      </w:r>
    </w:p>
    <w:p w:rsidR="004612EB" w:rsidRDefault="00565D36" w:rsidP="00565D36">
      <w:r w:rsidRPr="00565D36">
        <w:t>Este escaso volumen</w:t>
      </w:r>
      <w:r>
        <w:rPr>
          <w:b/>
          <w:color w:val="325F64" w:themeColor="accent2" w:themeShade="BF"/>
        </w:rPr>
        <w:t xml:space="preserve"> </w:t>
      </w:r>
      <w:r w:rsidRPr="00565D36">
        <w:rPr>
          <w:b/>
          <w:color w:val="325F64" w:themeColor="accent2" w:themeShade="BF"/>
        </w:rPr>
        <w:t xml:space="preserve"> </w:t>
      </w:r>
      <w:r w:rsidRPr="00565D36">
        <w:t>de solicitudes de acceso</w:t>
      </w:r>
      <w:r>
        <w:t xml:space="preserve"> </w:t>
      </w:r>
      <w:r w:rsidR="004538B9">
        <w:t>hace</w:t>
      </w:r>
      <w:r>
        <w:t xml:space="preserve"> que se tramite la práctica totalidad de las solicitudes tanto</w:t>
      </w:r>
      <w:r w:rsidR="000D23D4">
        <w:t xml:space="preserve"> las</w:t>
      </w:r>
      <w:r>
        <w:t xml:space="preserve"> recibidas </w:t>
      </w:r>
      <w:r w:rsidR="000D23D4">
        <w:t xml:space="preserve">en el año </w:t>
      </w:r>
      <w:r>
        <w:t>como</w:t>
      </w:r>
      <w:r w:rsidR="000D23D4">
        <w:t xml:space="preserve"> las pendientes </w:t>
      </w:r>
      <w:r w:rsidR="004538B9">
        <w:t xml:space="preserve">a finales del año anterior, y como se verá más adelante, </w:t>
      </w:r>
      <w:r w:rsidR="00CA081B">
        <w:t xml:space="preserve">causa en </w:t>
      </w:r>
      <w:r w:rsidR="004538B9">
        <w:t>algunas instituciones</w:t>
      </w:r>
      <w:r w:rsidR="00CA081B">
        <w:t>,</w:t>
      </w:r>
      <w:r w:rsidR="004538B9">
        <w:t xml:space="preserve"> dificultades para diferenciar las solicitudes efectuadas al amparo de la LTAIBG de otras solicitudes de información vinculadas a la actividad  de la institución.</w:t>
      </w:r>
    </w:p>
    <w:p w:rsidR="004538B9" w:rsidRDefault="005624F1" w:rsidP="00565D36">
      <w:pPr>
        <w:rPr>
          <w:b/>
          <w:color w:val="325F64" w:themeColor="accent2" w:themeShade="BF"/>
        </w:rPr>
      </w:pPr>
      <w:r>
        <w:rPr>
          <w:b/>
          <w:color w:val="325F64" w:themeColor="accent2" w:themeShade="BF"/>
        </w:rPr>
        <w:t>L</w:t>
      </w:r>
      <w:r w:rsidR="004538B9" w:rsidRPr="004538B9">
        <w:rPr>
          <w:b/>
          <w:color w:val="325F64" w:themeColor="accent2" w:themeShade="BF"/>
        </w:rPr>
        <w:t>as solicitudes inadmitidas</w:t>
      </w:r>
      <w:r w:rsidR="000572FC">
        <w:rPr>
          <w:b/>
          <w:color w:val="325F64" w:themeColor="accent2" w:themeShade="BF"/>
        </w:rPr>
        <w:t xml:space="preserve"> </w:t>
      </w:r>
      <w:r>
        <w:rPr>
          <w:b/>
          <w:color w:val="325F64" w:themeColor="accent2" w:themeShade="BF"/>
        </w:rPr>
        <w:t>tienen escasa entidad</w:t>
      </w:r>
      <w:r w:rsidRPr="005624F1">
        <w:t xml:space="preserve"> </w:t>
      </w:r>
      <w:r w:rsidRPr="005624F1">
        <w:rPr>
          <w:b/>
          <w:color w:val="325F64" w:themeColor="accent2" w:themeShade="BF"/>
        </w:rPr>
        <w:t>en términos absolutos</w:t>
      </w:r>
      <w:r>
        <w:rPr>
          <w:b/>
          <w:color w:val="325F64" w:themeColor="accent2" w:themeShade="BF"/>
        </w:rPr>
        <w:t>,</w:t>
      </w:r>
      <w:r w:rsidR="004538B9" w:rsidRPr="004538B9">
        <w:rPr>
          <w:b/>
          <w:color w:val="325F64" w:themeColor="accent2" w:themeShade="BF"/>
        </w:rPr>
        <w:t xml:space="preserve"> representan el </w:t>
      </w:r>
      <w:r w:rsidR="002D19D0">
        <w:rPr>
          <w:b/>
          <w:color w:val="325F64" w:themeColor="accent2" w:themeShade="BF"/>
        </w:rPr>
        <w:t>13,45</w:t>
      </w:r>
      <w:r w:rsidR="004538B9" w:rsidRPr="004538B9">
        <w:rPr>
          <w:b/>
          <w:color w:val="325F64" w:themeColor="accent2" w:themeShade="BF"/>
        </w:rPr>
        <w:t xml:space="preserve">% del conjunto de solicitudes </w:t>
      </w:r>
      <w:r w:rsidR="000572FC">
        <w:rPr>
          <w:b/>
          <w:color w:val="325F64" w:themeColor="accent2" w:themeShade="BF"/>
        </w:rPr>
        <w:t>tramitadas</w:t>
      </w:r>
      <w:r w:rsidR="00F753C6">
        <w:rPr>
          <w:b/>
          <w:color w:val="325F64" w:themeColor="accent2" w:themeShade="BF"/>
        </w:rPr>
        <w:t xml:space="preserve"> pero</w:t>
      </w:r>
      <w:r>
        <w:rPr>
          <w:b/>
          <w:color w:val="325F64" w:themeColor="accent2" w:themeShade="BF"/>
        </w:rPr>
        <w:t xml:space="preserve"> la causa de inadmisión más frecuente</w:t>
      </w:r>
      <w:r w:rsidR="00F753C6">
        <w:rPr>
          <w:b/>
          <w:color w:val="325F64" w:themeColor="accent2" w:themeShade="BF"/>
        </w:rPr>
        <w:t xml:space="preserve"> es</w:t>
      </w:r>
      <w:r>
        <w:rPr>
          <w:b/>
          <w:color w:val="325F64" w:themeColor="accent2" w:themeShade="BF"/>
        </w:rPr>
        <w:t xml:space="preserve"> la consideración de la solicitud repetitiva o abusiva</w:t>
      </w:r>
      <w:r w:rsidR="00543A4A">
        <w:rPr>
          <w:b/>
          <w:color w:val="325F64" w:themeColor="accent2" w:themeShade="BF"/>
        </w:rPr>
        <w:t xml:space="preserve">, suponiendo más del </w:t>
      </w:r>
      <w:r w:rsidR="00A41982">
        <w:rPr>
          <w:b/>
          <w:color w:val="325F64" w:themeColor="accent2" w:themeShade="BF"/>
        </w:rPr>
        <w:t>42</w:t>
      </w:r>
      <w:r w:rsidR="00543A4A">
        <w:rPr>
          <w:b/>
          <w:color w:val="325F64" w:themeColor="accent2" w:themeShade="BF"/>
        </w:rPr>
        <w:t>% de las causas de inadmisión aplicadas.</w:t>
      </w:r>
    </w:p>
    <w:p w:rsidR="005624F1" w:rsidRPr="005624F1" w:rsidRDefault="005624F1" w:rsidP="00565D36">
      <w:r w:rsidRPr="005624F1">
        <w:t xml:space="preserve">La segunda causa </w:t>
      </w:r>
      <w:r w:rsidR="003211D0">
        <w:t xml:space="preserve">más frecuente es que la información solicitada </w:t>
      </w:r>
      <w:r w:rsidR="00F753C6">
        <w:t>dispone de un régimen específico de acceso</w:t>
      </w:r>
      <w:r w:rsidR="003211D0">
        <w:t xml:space="preserve">.  </w:t>
      </w:r>
    </w:p>
    <w:p w:rsidR="00CA081B" w:rsidRDefault="00F753C6" w:rsidP="00CA081B">
      <w:pPr>
        <w:pBdr>
          <w:top w:val="single" w:sz="4" w:space="0" w:color="438086" w:themeColor="accent2"/>
          <w:left w:val="single" w:sz="4" w:space="4" w:color="438086" w:themeColor="accent2"/>
          <w:bottom w:val="single" w:sz="4" w:space="1" w:color="438086" w:themeColor="accent2"/>
          <w:right w:val="single" w:sz="4" w:space="4" w:color="438086" w:themeColor="accent2"/>
        </w:pBdr>
        <w:contextualSpacing/>
        <w:rPr>
          <w:rFonts w:eastAsia="Times New Roman" w:cs="Times New Roman"/>
          <w:bCs/>
          <w:szCs w:val="22"/>
        </w:rPr>
      </w:pPr>
      <w:r w:rsidRPr="00F753C6">
        <w:rPr>
          <w:rFonts w:eastAsia="Times New Roman" w:cs="Times New Roman"/>
          <w:bCs/>
          <w:szCs w:val="22"/>
        </w:rPr>
        <w:t>A la vista del volumen de solicitudes inadmitidas invocando como causa de inadmisión que se trata de solicitudes repetitivas o abusivas, este Consejo recuerda los contenidos del Criterio Int</w:t>
      </w:r>
      <w:r w:rsidR="00543A4A">
        <w:rPr>
          <w:rFonts w:eastAsia="Times New Roman" w:cs="Times New Roman"/>
          <w:bCs/>
          <w:szCs w:val="22"/>
        </w:rPr>
        <w:t xml:space="preserve">erpretativo 3/2016. </w:t>
      </w:r>
    </w:p>
    <w:p w:rsidR="00CA081B" w:rsidRDefault="00CA081B" w:rsidP="00CA081B">
      <w:pPr>
        <w:pBdr>
          <w:top w:val="single" w:sz="4" w:space="0" w:color="438086" w:themeColor="accent2"/>
          <w:left w:val="single" w:sz="4" w:space="4" w:color="438086" w:themeColor="accent2"/>
          <w:bottom w:val="single" w:sz="4" w:space="1" w:color="438086" w:themeColor="accent2"/>
          <w:right w:val="single" w:sz="4" w:space="4" w:color="438086" w:themeColor="accent2"/>
        </w:pBdr>
        <w:contextualSpacing/>
        <w:rPr>
          <w:rFonts w:eastAsia="Times New Roman" w:cs="Times New Roman"/>
          <w:bCs/>
          <w:szCs w:val="22"/>
        </w:rPr>
      </w:pPr>
    </w:p>
    <w:p w:rsidR="00794A50" w:rsidRDefault="00F753C6" w:rsidP="00CA081B">
      <w:pPr>
        <w:pBdr>
          <w:top w:val="single" w:sz="4" w:space="0" w:color="438086" w:themeColor="accent2"/>
          <w:left w:val="single" w:sz="4" w:space="4" w:color="438086" w:themeColor="accent2"/>
          <w:bottom w:val="single" w:sz="4" w:space="1" w:color="438086" w:themeColor="accent2"/>
          <w:right w:val="single" w:sz="4" w:space="4" w:color="438086" w:themeColor="accent2"/>
        </w:pBdr>
        <w:contextualSpacing/>
      </w:pPr>
      <w:r w:rsidRPr="00F753C6">
        <w:rPr>
          <w:rFonts w:eastAsia="Times New Roman" w:cs="Times New Roman"/>
          <w:bCs/>
          <w:szCs w:val="22"/>
        </w:rPr>
        <w:t>En todo caso, las causas de inadmisión deben aplicarse de manera restrictiva y en este supuesto concreto de inadmisión han de concurrir dos requisitos: en el caso de la reiteración la solicitud debe ser manifiestamente reiterativa y en el caso de solicitudes abusivas además de ser cualitativamente abusivas debe</w:t>
      </w:r>
      <w:r w:rsidR="00543A4A">
        <w:rPr>
          <w:rFonts w:eastAsia="Times New Roman" w:cs="Times New Roman"/>
          <w:bCs/>
          <w:szCs w:val="22"/>
        </w:rPr>
        <w:t>n</w:t>
      </w:r>
      <w:r w:rsidRPr="00F753C6">
        <w:rPr>
          <w:rFonts w:eastAsia="Times New Roman" w:cs="Times New Roman"/>
          <w:bCs/>
          <w:szCs w:val="22"/>
        </w:rPr>
        <w:t xml:space="preserve"> ser injustificadas con la finalidad de la LTAIBG.</w:t>
      </w:r>
    </w:p>
    <w:p w:rsidR="00DD3A07" w:rsidRDefault="00DD3A07" w:rsidP="00596EDD"/>
    <w:p w:rsidR="00543A4A" w:rsidRPr="00183A18" w:rsidRDefault="002D19D0" w:rsidP="00596EDD">
      <w:pPr>
        <w:rPr>
          <w:b/>
        </w:rPr>
      </w:pPr>
      <w:r>
        <w:rPr>
          <w:b/>
          <w:color w:val="325F64" w:themeColor="accent2" w:themeShade="BF"/>
        </w:rPr>
        <w:t>Más d</w:t>
      </w:r>
      <w:r w:rsidR="00DD3A07" w:rsidRPr="00183A18">
        <w:rPr>
          <w:b/>
          <w:color w:val="325F64" w:themeColor="accent2" w:themeShade="BF"/>
        </w:rPr>
        <w:t>el 7</w:t>
      </w:r>
      <w:r>
        <w:rPr>
          <w:b/>
          <w:color w:val="325F64" w:themeColor="accent2" w:themeShade="BF"/>
        </w:rPr>
        <w:t>9</w:t>
      </w:r>
      <w:r w:rsidR="00DD3A07" w:rsidRPr="00183A18">
        <w:rPr>
          <w:b/>
          <w:color w:val="325F64" w:themeColor="accent2" w:themeShade="BF"/>
        </w:rPr>
        <w:t xml:space="preserve">% </w:t>
      </w:r>
      <w:r w:rsidR="00543A4A" w:rsidRPr="00183A18">
        <w:rPr>
          <w:b/>
          <w:color w:val="325F64" w:themeColor="accent2" w:themeShade="BF"/>
        </w:rPr>
        <w:t xml:space="preserve">de las resoluciones emitidas concede el acceso a la información, </w:t>
      </w:r>
      <w:r w:rsidR="00DD3A07" w:rsidRPr="00183A18">
        <w:rPr>
          <w:b/>
          <w:color w:val="325F64" w:themeColor="accent2" w:themeShade="BF"/>
        </w:rPr>
        <w:t xml:space="preserve">en la mayoría de los casos </w:t>
      </w:r>
      <w:r w:rsidR="00183A18">
        <w:rPr>
          <w:b/>
          <w:color w:val="325F64" w:themeColor="accent2" w:themeShade="BF"/>
        </w:rPr>
        <w:t>el</w:t>
      </w:r>
      <w:r w:rsidR="00183A18" w:rsidRPr="00183A18">
        <w:rPr>
          <w:b/>
          <w:color w:val="325F64" w:themeColor="accent2" w:themeShade="BF"/>
        </w:rPr>
        <w:t xml:space="preserve"> acces</w:t>
      </w:r>
      <w:r w:rsidR="00CA081B">
        <w:rPr>
          <w:b/>
          <w:color w:val="325F64" w:themeColor="accent2" w:themeShade="BF"/>
        </w:rPr>
        <w:t>o es</w:t>
      </w:r>
      <w:r w:rsidR="00183A18" w:rsidRPr="00183A18">
        <w:rPr>
          <w:b/>
          <w:color w:val="325F64" w:themeColor="accent2" w:themeShade="BF"/>
        </w:rPr>
        <w:t xml:space="preserve"> total</w:t>
      </w:r>
      <w:r>
        <w:rPr>
          <w:b/>
          <w:color w:val="325F64" w:themeColor="accent2" w:themeShade="BF"/>
        </w:rPr>
        <w:t>, un 77,5%</w:t>
      </w:r>
      <w:r w:rsidR="00183A18" w:rsidRPr="00183A18">
        <w:rPr>
          <w:b/>
          <w:color w:val="325F64" w:themeColor="accent2" w:themeShade="BF"/>
        </w:rPr>
        <w:t xml:space="preserve">. Sólo un </w:t>
      </w:r>
      <w:r>
        <w:rPr>
          <w:b/>
          <w:color w:val="325F64" w:themeColor="accent2" w:themeShade="BF"/>
        </w:rPr>
        <w:t>7,56</w:t>
      </w:r>
      <w:r w:rsidR="00183A18" w:rsidRPr="00183A18">
        <w:rPr>
          <w:b/>
          <w:color w:val="325F64" w:themeColor="accent2" w:themeShade="BF"/>
        </w:rPr>
        <w:t xml:space="preserve">% </w:t>
      </w:r>
      <w:r w:rsidR="00CA081B">
        <w:rPr>
          <w:b/>
          <w:color w:val="325F64" w:themeColor="accent2" w:themeShade="BF"/>
        </w:rPr>
        <w:t>desestima la solicitud. A</w:t>
      </w:r>
      <w:r w:rsidR="00183A18" w:rsidRPr="00183A18">
        <w:rPr>
          <w:b/>
          <w:color w:val="325F64" w:themeColor="accent2" w:themeShade="BF"/>
        </w:rPr>
        <w:t xml:space="preserve"> la vista de la información proporcionada, dentro de éstas solo una minoría deniega el acceso sobre la base de los límites del artículo 14.</w:t>
      </w:r>
    </w:p>
    <w:p w:rsidR="00183A18" w:rsidRPr="00183A18" w:rsidRDefault="00183A18" w:rsidP="00183A18">
      <w:pPr>
        <w:spacing w:before="120" w:after="120"/>
        <w:rPr>
          <w:rFonts w:eastAsia="Times New Roman" w:cs="Times New Roman"/>
          <w:bCs/>
          <w:szCs w:val="22"/>
          <w:lang w:bidi="es-ES"/>
        </w:rPr>
      </w:pPr>
      <w:r w:rsidRPr="00183A18">
        <w:rPr>
          <w:rFonts w:eastAsia="Times New Roman" w:cs="Times New Roman"/>
          <w:bCs/>
          <w:szCs w:val="22"/>
          <w:lang w:bidi="es-ES"/>
        </w:rPr>
        <w:t xml:space="preserve">Por otra parte se ha constatado que </w:t>
      </w:r>
      <w:r w:rsidR="00762A13">
        <w:rPr>
          <w:rFonts w:eastAsia="Times New Roman" w:cs="Times New Roman"/>
          <w:bCs/>
          <w:szCs w:val="22"/>
          <w:lang w:bidi="es-ES"/>
        </w:rPr>
        <w:t>la mayoría de</w:t>
      </w:r>
      <w:r w:rsidR="00E2701E">
        <w:rPr>
          <w:rFonts w:eastAsia="Times New Roman" w:cs="Times New Roman"/>
          <w:bCs/>
          <w:szCs w:val="22"/>
          <w:lang w:bidi="es-ES"/>
        </w:rPr>
        <w:t xml:space="preserve"> </w:t>
      </w:r>
      <w:r w:rsidR="00762A13">
        <w:rPr>
          <w:rFonts w:eastAsia="Times New Roman" w:cs="Times New Roman"/>
          <w:bCs/>
          <w:szCs w:val="22"/>
          <w:lang w:bidi="es-ES"/>
        </w:rPr>
        <w:t>las instituciones no</w:t>
      </w:r>
      <w:r w:rsidRPr="00183A18">
        <w:rPr>
          <w:rFonts w:eastAsia="Times New Roman" w:cs="Times New Roman"/>
          <w:bCs/>
          <w:szCs w:val="22"/>
          <w:lang w:bidi="es-ES"/>
        </w:rPr>
        <w:t xml:space="preserve"> publica las resoluciones denegatorias de acceso a la información por aplicación de los límites del artículo 14 de la Ley 19/2013.</w:t>
      </w:r>
    </w:p>
    <w:p w:rsidR="00183A18" w:rsidRPr="00183A18" w:rsidRDefault="00762A13" w:rsidP="00762A13">
      <w:pPr>
        <w:pBdr>
          <w:top w:val="single" w:sz="4" w:space="1" w:color="438086" w:themeColor="accent2"/>
          <w:left w:val="single" w:sz="4" w:space="4" w:color="438086" w:themeColor="accent2"/>
          <w:bottom w:val="single" w:sz="4" w:space="1" w:color="438086" w:themeColor="accent2"/>
          <w:right w:val="single" w:sz="4" w:space="4" w:color="438086" w:themeColor="accent2"/>
        </w:pBdr>
        <w:contextualSpacing/>
        <w:rPr>
          <w:rFonts w:eastAsia="Times New Roman" w:cs="Times New Roman"/>
          <w:bCs/>
          <w:szCs w:val="22"/>
        </w:rPr>
      </w:pPr>
      <w:r>
        <w:rPr>
          <w:rFonts w:eastAsia="Times New Roman" w:cs="Times New Roman"/>
          <w:bCs/>
          <w:szCs w:val="22"/>
        </w:rPr>
        <w:t xml:space="preserve">Todas las instituciones </w:t>
      </w:r>
      <w:r w:rsidR="00183A18" w:rsidRPr="00183A18">
        <w:rPr>
          <w:rFonts w:eastAsia="Times New Roman" w:cs="Times New Roman"/>
          <w:bCs/>
          <w:szCs w:val="22"/>
        </w:rPr>
        <w:t>debería</w:t>
      </w:r>
      <w:r>
        <w:rPr>
          <w:rFonts w:eastAsia="Times New Roman" w:cs="Times New Roman"/>
          <w:bCs/>
          <w:szCs w:val="22"/>
        </w:rPr>
        <w:t>n</w:t>
      </w:r>
      <w:r w:rsidR="00183A18" w:rsidRPr="00183A18">
        <w:rPr>
          <w:rFonts w:eastAsia="Times New Roman" w:cs="Times New Roman"/>
          <w:bCs/>
          <w:szCs w:val="22"/>
        </w:rPr>
        <w:t xml:space="preserve"> publicar en su Portal de Transparencia las resoluciones que deniegan el acceso a la información por aplicación de los límites del artículo 14, según lo dispuesto por el artículo 14.3 de la LTAIBG.</w:t>
      </w:r>
    </w:p>
    <w:p w:rsidR="00183A18" w:rsidRDefault="00183A18" w:rsidP="00183A18">
      <w:pPr>
        <w:spacing w:before="120" w:after="120"/>
        <w:ind w:left="426"/>
        <w:rPr>
          <w:rFonts w:eastAsia="Times New Roman" w:cs="Times New Roman"/>
          <w:bCs/>
          <w:szCs w:val="22"/>
          <w:lang w:bidi="es-ES"/>
        </w:rPr>
      </w:pPr>
    </w:p>
    <w:p w:rsidR="008847F2" w:rsidRDefault="00762A13" w:rsidP="00762A13">
      <w:pPr>
        <w:spacing w:before="120" w:after="120"/>
        <w:rPr>
          <w:rFonts w:eastAsia="Times New Roman" w:cs="Times New Roman"/>
          <w:b/>
          <w:bCs/>
          <w:color w:val="325F64" w:themeColor="accent2" w:themeShade="BF"/>
          <w:szCs w:val="22"/>
          <w:lang w:bidi="es-ES"/>
        </w:rPr>
      </w:pPr>
      <w:r w:rsidRPr="00E213C5">
        <w:rPr>
          <w:rFonts w:eastAsia="Times New Roman" w:cs="Times New Roman"/>
          <w:b/>
          <w:bCs/>
          <w:color w:val="325F64" w:themeColor="accent2" w:themeShade="BF"/>
          <w:szCs w:val="22"/>
          <w:lang w:bidi="es-ES"/>
        </w:rPr>
        <w:t xml:space="preserve">La mayoría de las instituciones dispone de un espacio específico para el ejercicio del derecho de acceso, pero solo el </w:t>
      </w:r>
      <w:r w:rsidR="00A41982">
        <w:rPr>
          <w:rFonts w:eastAsia="Times New Roman" w:cs="Times New Roman"/>
          <w:b/>
          <w:bCs/>
          <w:color w:val="325F64" w:themeColor="accent2" w:themeShade="BF"/>
          <w:szCs w:val="22"/>
          <w:lang w:bidi="es-ES"/>
        </w:rPr>
        <w:t>60</w:t>
      </w:r>
      <w:r w:rsidRPr="00E213C5">
        <w:rPr>
          <w:rFonts w:eastAsia="Times New Roman" w:cs="Times New Roman"/>
          <w:b/>
          <w:bCs/>
          <w:color w:val="325F64" w:themeColor="accent2" w:themeShade="BF"/>
          <w:szCs w:val="22"/>
          <w:lang w:bidi="es-ES"/>
        </w:rPr>
        <w:t xml:space="preserve">% informa expresamente sobre el derecho que asiste a los ciudadanos a solicitar información </w:t>
      </w:r>
      <w:r w:rsidR="00E213C5" w:rsidRPr="00E213C5">
        <w:rPr>
          <w:rFonts w:eastAsia="Times New Roman" w:cs="Times New Roman"/>
          <w:b/>
          <w:bCs/>
          <w:color w:val="325F64" w:themeColor="accent2" w:themeShade="BF"/>
          <w:szCs w:val="22"/>
          <w:lang w:bidi="es-ES"/>
        </w:rPr>
        <w:t>al amparo de la LTAIBG.</w:t>
      </w:r>
      <w:r w:rsidR="008847F2">
        <w:rPr>
          <w:rFonts w:eastAsia="Times New Roman" w:cs="Times New Roman"/>
          <w:b/>
          <w:bCs/>
          <w:color w:val="325F64" w:themeColor="accent2" w:themeShade="BF"/>
          <w:szCs w:val="22"/>
          <w:lang w:bidi="es-ES"/>
        </w:rPr>
        <w:t xml:space="preserve"> </w:t>
      </w:r>
    </w:p>
    <w:p w:rsidR="00E213C5" w:rsidRDefault="008847F2" w:rsidP="00762A13">
      <w:pPr>
        <w:spacing w:before="120" w:after="120"/>
        <w:rPr>
          <w:rFonts w:eastAsia="Times New Roman" w:cs="Times New Roman"/>
          <w:bCs/>
          <w:szCs w:val="22"/>
          <w:lang w:bidi="es-ES"/>
        </w:rPr>
      </w:pPr>
      <w:r w:rsidRPr="008847F2">
        <w:rPr>
          <w:rFonts w:eastAsia="Times New Roman" w:cs="Times New Roman"/>
          <w:bCs/>
          <w:szCs w:val="22"/>
          <w:lang w:bidi="es-ES"/>
        </w:rPr>
        <w:t>Una de las instituciones evaluadas tampoco informa sobre los medios habilitados</w:t>
      </w:r>
      <w:r>
        <w:rPr>
          <w:rFonts w:eastAsia="Times New Roman" w:cs="Times New Roman"/>
          <w:bCs/>
          <w:szCs w:val="22"/>
          <w:lang w:bidi="es-ES"/>
        </w:rPr>
        <w:t xml:space="preserve"> para la presentación de solicitudes y dos sobr</w:t>
      </w:r>
      <w:bookmarkStart w:id="30" w:name="_GoBack"/>
      <w:r>
        <w:rPr>
          <w:rFonts w:eastAsia="Times New Roman" w:cs="Times New Roman"/>
          <w:bCs/>
          <w:szCs w:val="22"/>
          <w:lang w:bidi="es-ES"/>
        </w:rPr>
        <w:t>e</w:t>
      </w:r>
      <w:bookmarkEnd w:id="30"/>
      <w:r>
        <w:rPr>
          <w:rFonts w:eastAsia="Times New Roman" w:cs="Times New Roman"/>
          <w:bCs/>
          <w:szCs w:val="22"/>
          <w:lang w:bidi="es-ES"/>
        </w:rPr>
        <w:t xml:space="preserve"> los requisitos necesarios para la presentación de una solicitud de acceso.</w:t>
      </w:r>
    </w:p>
    <w:p w:rsidR="00E213C5" w:rsidRDefault="00E213C5" w:rsidP="00E213C5">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rPr>
          <w:rFonts w:eastAsia="Times New Roman" w:cs="Times New Roman"/>
          <w:bCs/>
          <w:szCs w:val="22"/>
          <w:lang w:bidi="es-ES"/>
        </w:rPr>
      </w:pPr>
      <w:r w:rsidRPr="00E213C5">
        <w:rPr>
          <w:rFonts w:eastAsia="Times New Roman" w:cs="Times New Roman"/>
          <w:bCs/>
          <w:szCs w:val="22"/>
          <w:lang w:bidi="es-ES"/>
        </w:rPr>
        <w:t xml:space="preserve">Este Consejo recomienda que, para facilitar el acceso de la ciudadanía al ejercicio del derecho de acceso a la información pública, en el Portal de Transparencia de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w:t>
      </w:r>
      <w:r>
        <w:rPr>
          <w:rFonts w:eastAsia="Times New Roman" w:cs="Times New Roman"/>
          <w:bCs/>
          <w:szCs w:val="22"/>
          <w:lang w:bidi="es-ES"/>
        </w:rPr>
        <w:t>institución</w:t>
      </w:r>
      <w:r w:rsidRPr="00E213C5">
        <w:rPr>
          <w:rFonts w:eastAsia="Times New Roman" w:cs="Times New Roman"/>
          <w:bCs/>
          <w:szCs w:val="22"/>
          <w:lang w:bidi="es-ES"/>
        </w:rPr>
        <w:t xml:space="preserve"> y se informe sobre los requisitos necesarios para la presentación de una solicitud de acceso a la información pública. </w:t>
      </w:r>
    </w:p>
    <w:p w:rsidR="00E213C5" w:rsidRPr="00E213C5" w:rsidRDefault="00E213C5" w:rsidP="00E213C5">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rPr>
          <w:rFonts w:eastAsia="Times New Roman" w:cs="Times New Roman"/>
          <w:bCs/>
          <w:szCs w:val="22"/>
          <w:lang w:bidi="es-ES"/>
        </w:rPr>
      </w:pPr>
      <w:r w:rsidRPr="00E213C5">
        <w:rPr>
          <w:rFonts w:eastAsia="Times New Roman" w:cs="Times New Roman"/>
          <w:bCs/>
          <w:szCs w:val="22"/>
          <w:lang w:bidi="es-ES"/>
        </w:rPr>
        <w:t>Este mismo espacio podría utilizarse para la publicación de las resoluciones denegatorias por aplicación de los límites del artículo14 de la LTAIBG</w:t>
      </w:r>
      <w:r w:rsidR="00064F49">
        <w:rPr>
          <w:rFonts w:eastAsia="Times New Roman" w:cs="Times New Roman"/>
          <w:bCs/>
          <w:szCs w:val="22"/>
          <w:lang w:bidi="es-ES"/>
        </w:rPr>
        <w:t>.</w:t>
      </w:r>
    </w:p>
    <w:p w:rsidR="00E213C5" w:rsidRDefault="00E213C5" w:rsidP="00E213C5">
      <w:pPr>
        <w:spacing w:before="120" w:after="120"/>
        <w:ind w:left="142"/>
        <w:rPr>
          <w:rFonts w:eastAsia="Times New Roman" w:cs="Times New Roman"/>
          <w:bCs/>
          <w:szCs w:val="22"/>
          <w:lang w:bidi="es-ES"/>
        </w:rPr>
      </w:pPr>
    </w:p>
    <w:p w:rsidR="008847F2" w:rsidRDefault="008847F2" w:rsidP="00CA081B">
      <w:pPr>
        <w:spacing w:before="120" w:after="120"/>
        <w:rPr>
          <w:rFonts w:eastAsia="Times New Roman" w:cs="Times New Roman"/>
          <w:b/>
          <w:bCs/>
          <w:color w:val="325F64" w:themeColor="accent2" w:themeShade="BF"/>
          <w:szCs w:val="22"/>
          <w:lang w:bidi="es-ES"/>
        </w:rPr>
      </w:pPr>
      <w:r w:rsidRPr="008847F2">
        <w:rPr>
          <w:rFonts w:eastAsia="Times New Roman" w:cs="Times New Roman"/>
          <w:b/>
          <w:bCs/>
          <w:color w:val="325F64" w:themeColor="accent2" w:themeShade="BF"/>
          <w:szCs w:val="22"/>
          <w:lang w:bidi="es-ES"/>
        </w:rPr>
        <w:t xml:space="preserve">En general se han habilitado numerosos medios para la presentación de las solicitudes, más de tres en promedio. Los requisitos exigibles </w:t>
      </w:r>
      <w:r w:rsidR="00E93B9C" w:rsidRPr="008847F2">
        <w:rPr>
          <w:rFonts w:eastAsia="Times New Roman" w:cs="Times New Roman"/>
          <w:b/>
          <w:bCs/>
          <w:color w:val="325F64" w:themeColor="accent2" w:themeShade="BF"/>
          <w:szCs w:val="22"/>
          <w:lang w:bidi="es-ES"/>
        </w:rPr>
        <w:t>comúnmente</w:t>
      </w:r>
      <w:r w:rsidRPr="008847F2">
        <w:rPr>
          <w:rFonts w:eastAsia="Times New Roman" w:cs="Times New Roman"/>
          <w:b/>
          <w:bCs/>
          <w:color w:val="325F64" w:themeColor="accent2" w:themeShade="BF"/>
          <w:szCs w:val="22"/>
          <w:lang w:bidi="es-ES"/>
        </w:rPr>
        <w:t xml:space="preserve"> consisten en la identificación de quien presenta la solicitud y un medio de contacto para la notificación</w:t>
      </w:r>
      <w:r w:rsidR="00471BEF">
        <w:rPr>
          <w:rFonts w:eastAsia="Times New Roman" w:cs="Times New Roman"/>
          <w:b/>
          <w:bCs/>
          <w:color w:val="325F64" w:themeColor="accent2" w:themeShade="BF"/>
          <w:szCs w:val="22"/>
          <w:lang w:bidi="es-ES"/>
        </w:rPr>
        <w:t xml:space="preserve"> y además suelen aportarse facilidades adicionales - como  instrucciones o ayudas - </w:t>
      </w:r>
      <w:r w:rsidRPr="008847F2">
        <w:rPr>
          <w:rFonts w:eastAsia="Times New Roman" w:cs="Times New Roman"/>
          <w:b/>
          <w:bCs/>
          <w:color w:val="325F64" w:themeColor="accent2" w:themeShade="BF"/>
          <w:szCs w:val="22"/>
          <w:lang w:bidi="es-ES"/>
        </w:rPr>
        <w:t>, lo que facilita el ejercicio del derecho.</w:t>
      </w:r>
    </w:p>
    <w:p w:rsidR="00064F49" w:rsidRDefault="00064F49" w:rsidP="00E165D2">
      <w:pPr>
        <w:spacing w:before="120" w:after="120"/>
        <w:rPr>
          <w:rFonts w:eastAsia="Times New Roman" w:cs="Times New Roman"/>
          <w:bCs/>
          <w:szCs w:val="22"/>
          <w:lang w:bidi="es-ES"/>
        </w:rPr>
      </w:pPr>
      <w:r w:rsidRPr="00064F49">
        <w:rPr>
          <w:rFonts w:eastAsia="Times New Roman" w:cs="Times New Roman"/>
          <w:bCs/>
          <w:szCs w:val="22"/>
          <w:lang w:bidi="es-ES"/>
        </w:rPr>
        <w:t>No</w:t>
      </w:r>
      <w:r>
        <w:rPr>
          <w:rFonts w:eastAsia="Times New Roman" w:cs="Times New Roman"/>
          <w:bCs/>
          <w:szCs w:val="22"/>
          <w:lang w:bidi="es-ES"/>
        </w:rPr>
        <w:t xml:space="preserve"> obstante una de las instituciones solo incluye expresamente como medio de presentación su sede electrónica lo que implica que se exige identificación digital</w:t>
      </w:r>
      <w:r w:rsidR="00CA081B">
        <w:rPr>
          <w:rFonts w:eastAsia="Times New Roman" w:cs="Times New Roman"/>
          <w:bCs/>
          <w:szCs w:val="22"/>
          <w:lang w:bidi="es-ES"/>
        </w:rPr>
        <w:t xml:space="preserve"> para presentar una solicitud</w:t>
      </w:r>
      <w:r>
        <w:rPr>
          <w:rFonts w:eastAsia="Times New Roman" w:cs="Times New Roman"/>
          <w:bCs/>
          <w:szCs w:val="22"/>
          <w:lang w:bidi="es-ES"/>
        </w:rPr>
        <w:t xml:space="preserve">. </w:t>
      </w:r>
    </w:p>
    <w:p w:rsidR="00A41982" w:rsidRPr="00064F49" w:rsidRDefault="00A41982" w:rsidP="00E165D2">
      <w:pPr>
        <w:spacing w:before="120" w:after="120"/>
        <w:rPr>
          <w:rFonts w:eastAsia="Times New Roman" w:cs="Times New Roman"/>
          <w:bCs/>
          <w:szCs w:val="22"/>
          <w:lang w:bidi="es-ES"/>
        </w:rPr>
      </w:pPr>
    </w:p>
    <w:p w:rsidR="00CA081B" w:rsidRDefault="00064F49" w:rsidP="00CA081B">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r>
        <w:rPr>
          <w:rFonts w:eastAsia="Times New Roman" w:cs="Times New Roman"/>
          <w:szCs w:val="22"/>
        </w:rPr>
        <w:t xml:space="preserve">El hecho de que solo se identifique un medio de presentación de solicitudes, </w:t>
      </w:r>
      <w:r w:rsidRPr="00064F49">
        <w:rPr>
          <w:rFonts w:eastAsia="Times New Roman" w:cs="Times New Roman"/>
          <w:szCs w:val="22"/>
        </w:rPr>
        <w:t xml:space="preserve">no excluye que un ciudadano pueda dirigirse </w:t>
      </w:r>
      <w:r>
        <w:rPr>
          <w:rFonts w:eastAsia="Times New Roman" w:cs="Times New Roman"/>
          <w:szCs w:val="22"/>
        </w:rPr>
        <w:t>a la institución</w:t>
      </w:r>
      <w:r w:rsidRPr="00064F49">
        <w:rPr>
          <w:rFonts w:eastAsia="Times New Roman" w:cs="Times New Roman"/>
          <w:szCs w:val="22"/>
        </w:rPr>
        <w:t xml:space="preserve"> por los medios establecidos en la Ley 39/2015, pero esto implica un plus de conocimiento del funcionamiento de la Administración que no tiene por qué estar al alcance de la ciudadanía.</w:t>
      </w:r>
      <w:r w:rsidR="00471BEF">
        <w:rPr>
          <w:rFonts w:eastAsia="Times New Roman" w:cs="Times New Roman"/>
          <w:szCs w:val="22"/>
        </w:rPr>
        <w:t xml:space="preserve"> Por esta razón este Consejo recomienda que se identifiquen expresamente los medios a través de los cuales los ciudadanos pueden relacionarse con las administraciones.</w:t>
      </w:r>
    </w:p>
    <w:p w:rsidR="00471BEF" w:rsidRPr="00064F49" w:rsidRDefault="00471BEF" w:rsidP="00E213C5">
      <w:pPr>
        <w:spacing w:before="120" w:after="120"/>
        <w:ind w:left="142"/>
        <w:rPr>
          <w:rFonts w:eastAsia="Times New Roman" w:cs="Times New Roman"/>
          <w:bCs/>
          <w:szCs w:val="22"/>
          <w:lang w:bidi="es-ES"/>
        </w:rPr>
      </w:pPr>
    </w:p>
    <w:p w:rsidR="008847F2" w:rsidRDefault="00A41982" w:rsidP="00E213C5">
      <w:pPr>
        <w:spacing w:before="120" w:after="120"/>
        <w:ind w:left="142"/>
        <w:rPr>
          <w:rFonts w:eastAsia="Times New Roman" w:cs="Times New Roman"/>
          <w:b/>
          <w:bCs/>
          <w:color w:val="325F64" w:themeColor="accent2" w:themeShade="BF"/>
          <w:szCs w:val="22"/>
          <w:lang w:bidi="es-ES"/>
        </w:rPr>
      </w:pPr>
      <w:r>
        <w:rPr>
          <w:rFonts w:eastAsia="Times New Roman" w:cs="Times New Roman"/>
          <w:b/>
          <w:bCs/>
          <w:color w:val="325F64" w:themeColor="accent2" w:themeShade="BF"/>
          <w:szCs w:val="22"/>
          <w:lang w:bidi="es-ES"/>
        </w:rPr>
        <w:t>L</w:t>
      </w:r>
      <w:r w:rsidR="00E93B9C" w:rsidRPr="00E93B9C">
        <w:rPr>
          <w:rFonts w:eastAsia="Times New Roman" w:cs="Times New Roman"/>
          <w:b/>
          <w:bCs/>
          <w:color w:val="325F64" w:themeColor="accent2" w:themeShade="BF"/>
          <w:szCs w:val="22"/>
          <w:lang w:bidi="es-ES"/>
        </w:rPr>
        <w:t>a gestión de las solicitudes de acceso</w:t>
      </w:r>
      <w:r>
        <w:rPr>
          <w:rFonts w:eastAsia="Times New Roman" w:cs="Times New Roman"/>
          <w:b/>
          <w:bCs/>
          <w:color w:val="325F64" w:themeColor="accent2" w:themeShade="BF"/>
          <w:szCs w:val="22"/>
          <w:lang w:bidi="es-ES"/>
        </w:rPr>
        <w:t>, en general se ajusta</w:t>
      </w:r>
      <w:r w:rsidR="00E93B9C">
        <w:rPr>
          <w:rFonts w:eastAsia="Times New Roman" w:cs="Times New Roman"/>
          <w:b/>
          <w:bCs/>
          <w:color w:val="325F64" w:themeColor="accent2" w:themeShade="BF"/>
          <w:szCs w:val="22"/>
          <w:lang w:bidi="es-ES"/>
        </w:rPr>
        <w:t xml:space="preserve"> al procedimiento establecido por la LTAIBG, aunque se observan excepciones que se dan en todas las fases del procedimiento.</w:t>
      </w:r>
    </w:p>
    <w:p w:rsidR="00E93B9C" w:rsidRDefault="00E93B9C" w:rsidP="00E213C5">
      <w:pPr>
        <w:spacing w:before="120" w:after="120"/>
        <w:ind w:left="142"/>
        <w:rPr>
          <w:rFonts w:eastAsia="Times New Roman" w:cs="Times New Roman"/>
          <w:bCs/>
          <w:szCs w:val="22"/>
          <w:lang w:bidi="es-ES"/>
        </w:rPr>
      </w:pPr>
      <w:r w:rsidRPr="00E93B9C">
        <w:rPr>
          <w:rFonts w:eastAsia="Times New Roman" w:cs="Times New Roman"/>
          <w:bCs/>
          <w:szCs w:val="22"/>
          <w:lang w:bidi="es-ES"/>
        </w:rPr>
        <w:lastRenderedPageBreak/>
        <w:t xml:space="preserve">Solo </w:t>
      </w:r>
      <w:r w:rsidR="00A41982">
        <w:rPr>
          <w:rFonts w:eastAsia="Times New Roman" w:cs="Times New Roman"/>
          <w:bCs/>
          <w:szCs w:val="22"/>
          <w:lang w:bidi="es-ES"/>
        </w:rPr>
        <w:t>cuatro</w:t>
      </w:r>
      <w:r>
        <w:rPr>
          <w:rFonts w:eastAsia="Times New Roman" w:cs="Times New Roman"/>
          <w:bCs/>
          <w:szCs w:val="22"/>
          <w:lang w:bidi="es-ES"/>
        </w:rPr>
        <w:t xml:space="preserve"> de</w:t>
      </w:r>
      <w:r w:rsidR="00CA081B">
        <w:rPr>
          <w:rFonts w:eastAsia="Times New Roman" w:cs="Times New Roman"/>
          <w:bCs/>
          <w:szCs w:val="22"/>
          <w:lang w:bidi="es-ES"/>
        </w:rPr>
        <w:t xml:space="preserve"> </w:t>
      </w:r>
      <w:r>
        <w:rPr>
          <w:rFonts w:eastAsia="Times New Roman" w:cs="Times New Roman"/>
          <w:bCs/>
          <w:szCs w:val="22"/>
          <w:lang w:bidi="es-ES"/>
        </w:rPr>
        <w:t xml:space="preserve">las </w:t>
      </w:r>
      <w:r w:rsidR="00A41982">
        <w:rPr>
          <w:rFonts w:eastAsia="Times New Roman" w:cs="Times New Roman"/>
          <w:bCs/>
          <w:szCs w:val="22"/>
          <w:lang w:bidi="es-ES"/>
        </w:rPr>
        <w:t>diez</w:t>
      </w:r>
      <w:r>
        <w:rPr>
          <w:rFonts w:eastAsia="Times New Roman" w:cs="Times New Roman"/>
          <w:bCs/>
          <w:szCs w:val="22"/>
          <w:lang w:bidi="es-ES"/>
        </w:rPr>
        <w:t xml:space="preserve"> instituciones evaluadas emiten acuse de recibo de la solicitud presentada, solo una de ellas comunica el inicio de la tramitación y ninguna de las que habían recibido solicitudes con alguna incidencia solicita subsanación.</w:t>
      </w:r>
    </w:p>
    <w:p w:rsidR="00FF14EC" w:rsidRDefault="00E93B9C" w:rsidP="00E213C5">
      <w:pPr>
        <w:spacing w:before="120" w:after="120"/>
        <w:ind w:left="142"/>
        <w:rPr>
          <w:rFonts w:eastAsia="Times New Roman" w:cs="Times New Roman"/>
          <w:bCs/>
          <w:szCs w:val="22"/>
          <w:lang w:bidi="es-ES"/>
        </w:rPr>
      </w:pPr>
      <w:r>
        <w:rPr>
          <w:rFonts w:eastAsia="Times New Roman" w:cs="Times New Roman"/>
          <w:bCs/>
          <w:szCs w:val="22"/>
          <w:lang w:bidi="es-ES"/>
        </w:rPr>
        <w:t xml:space="preserve">Por otra parte y a partir de los contactos informales realizados a lo largo de la tramitación y también a partir de alguna de las resoluciones, se constata que, como se ha indicado, existe confusión entre solicitudes de información vinculadas a la actividad de la institución y solicitudes de información efectuadas al amparo dela LTAIBG. </w:t>
      </w:r>
      <w:r w:rsidR="00FF14EC">
        <w:rPr>
          <w:rFonts w:eastAsia="Times New Roman" w:cs="Times New Roman"/>
          <w:bCs/>
          <w:szCs w:val="22"/>
          <w:lang w:bidi="es-ES"/>
        </w:rPr>
        <w:t>De hecho las dificultades de comprensión del contenido de la solicitud hacen que en un caso se decida no continuar con ésta.</w:t>
      </w:r>
    </w:p>
    <w:p w:rsidR="00FF14EC" w:rsidRDefault="00FF14EC" w:rsidP="00FF14EC">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bCs/>
          <w:szCs w:val="22"/>
          <w:lang w:bidi="es-ES"/>
        </w:rPr>
        <w:t xml:space="preserve">Como se ha indicado, las solicitudes de información al amparo de la LTAIBG tienen escaso peso en la actividad desarrollada por estas instituciones. Por otra parte, la gestión de estas solicitudes se efectúa por unidades transversales que compaginan esta actividad con otras que seguramente son cuantitativamente más importantes. Todo ello hace que en ocasiones, las personas encargadas de las solicitudes de acceso a información pública tengan dificultades para identificarlas. </w:t>
      </w:r>
    </w:p>
    <w:p w:rsidR="00FF14EC" w:rsidRPr="00FF14EC" w:rsidRDefault="00FF14EC" w:rsidP="00FF14EC">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bCs/>
          <w:szCs w:val="22"/>
          <w:lang w:bidi="es-ES"/>
        </w:rPr>
        <w:t xml:space="preserve">Por esta razón, este Consejo recomienda que se habiliten </w:t>
      </w:r>
      <w:r w:rsidRPr="00FF14EC">
        <w:rPr>
          <w:rFonts w:eastAsia="Times New Roman" w:cs="Times New Roman"/>
          <w:bCs/>
          <w:szCs w:val="22"/>
          <w:lang w:bidi="es-ES"/>
        </w:rPr>
        <w:t xml:space="preserve"> mecanismos que permitan a las personas responsables de </w:t>
      </w:r>
      <w:r>
        <w:rPr>
          <w:rFonts w:eastAsia="Times New Roman" w:cs="Times New Roman"/>
          <w:bCs/>
          <w:szCs w:val="22"/>
          <w:lang w:bidi="es-ES"/>
        </w:rPr>
        <w:t>la</w:t>
      </w:r>
      <w:r w:rsidRPr="00FF14EC">
        <w:rPr>
          <w:rFonts w:eastAsia="Times New Roman" w:cs="Times New Roman"/>
          <w:bCs/>
          <w:szCs w:val="22"/>
          <w:lang w:bidi="es-ES"/>
        </w:rPr>
        <w:t xml:space="preserve"> gestión</w:t>
      </w:r>
      <w:r>
        <w:rPr>
          <w:rFonts w:eastAsia="Times New Roman" w:cs="Times New Roman"/>
          <w:bCs/>
          <w:szCs w:val="22"/>
          <w:lang w:bidi="es-ES"/>
        </w:rPr>
        <w:t xml:space="preserve"> de las solicitudes efectuadas en el ejercicio del derecho de acceso a la información pública, </w:t>
      </w:r>
      <w:r w:rsidRPr="00FF14EC">
        <w:rPr>
          <w:rFonts w:eastAsia="Times New Roman" w:cs="Times New Roman"/>
          <w:bCs/>
          <w:szCs w:val="22"/>
          <w:lang w:bidi="es-ES"/>
        </w:rPr>
        <w:t>identificarlas</w:t>
      </w:r>
      <w:r w:rsidR="00C21A1E">
        <w:rPr>
          <w:rFonts w:eastAsia="Times New Roman" w:cs="Times New Roman"/>
          <w:bCs/>
          <w:szCs w:val="22"/>
          <w:lang w:bidi="es-ES"/>
        </w:rPr>
        <w:t xml:space="preserve"> </w:t>
      </w:r>
      <w:r>
        <w:rPr>
          <w:rFonts w:eastAsia="Times New Roman" w:cs="Times New Roman"/>
          <w:bCs/>
          <w:szCs w:val="22"/>
          <w:lang w:bidi="es-ES"/>
        </w:rPr>
        <w:t>correctamente</w:t>
      </w:r>
      <w:r w:rsidRPr="00FF14EC">
        <w:rPr>
          <w:rFonts w:eastAsia="Times New Roman" w:cs="Times New Roman"/>
          <w:bCs/>
          <w:szCs w:val="22"/>
          <w:lang w:bidi="es-ES"/>
        </w:rPr>
        <w:t xml:space="preserve"> y diferenciarlas de otras solicitudes de información, por ejemplo mediante un registro específico y proporcionando formación a las personas que han de tramitarlas.</w:t>
      </w:r>
    </w:p>
    <w:p w:rsidR="00FF14EC" w:rsidRDefault="00FF14EC" w:rsidP="00FF14EC">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sidRPr="00FF14EC">
        <w:rPr>
          <w:rFonts w:eastAsia="Times New Roman" w:cs="Times New Roman"/>
          <w:bCs/>
          <w:szCs w:val="22"/>
          <w:lang w:bidi="es-ES"/>
        </w:rPr>
        <w:t>La confusión existente entre las diferentes peticiones de información que pueden efectuarse a la institución en la práctica puede llegar a suponer una barrera al ejercicio del derecho de acceso.</w:t>
      </w:r>
    </w:p>
    <w:p w:rsidR="00E93B9C" w:rsidRDefault="00FF14EC" w:rsidP="00E213C5">
      <w:pPr>
        <w:spacing w:before="120" w:after="120"/>
        <w:ind w:left="142"/>
        <w:rPr>
          <w:rFonts w:eastAsia="Times New Roman" w:cs="Times New Roman"/>
          <w:bCs/>
          <w:szCs w:val="22"/>
          <w:lang w:bidi="es-ES"/>
        </w:rPr>
      </w:pPr>
      <w:r>
        <w:rPr>
          <w:rFonts w:eastAsia="Times New Roman" w:cs="Times New Roman"/>
          <w:bCs/>
          <w:szCs w:val="22"/>
          <w:lang w:bidi="es-ES"/>
        </w:rPr>
        <w:t xml:space="preserve"> </w:t>
      </w:r>
    </w:p>
    <w:p w:rsidR="008B6F84" w:rsidRDefault="00C21A1E" w:rsidP="00E213C5">
      <w:pPr>
        <w:spacing w:before="120" w:after="120"/>
        <w:ind w:left="142"/>
        <w:rPr>
          <w:rFonts w:eastAsia="Times New Roman" w:cs="Times New Roman"/>
          <w:szCs w:val="22"/>
        </w:rPr>
      </w:pPr>
      <w:r>
        <w:rPr>
          <w:rFonts w:eastAsia="Times New Roman" w:cs="Times New Roman"/>
          <w:bCs/>
          <w:szCs w:val="22"/>
          <w:lang w:bidi="es-ES"/>
        </w:rPr>
        <w:t xml:space="preserve">Por otra parte, no en todos los casos se dicta resolución sino que se opta por conceder el acceso a la información remitiéndola </w:t>
      </w:r>
      <w:r w:rsidR="008B6F84">
        <w:rPr>
          <w:rFonts w:eastAsia="Times New Roman" w:cs="Times New Roman"/>
          <w:bCs/>
          <w:szCs w:val="22"/>
          <w:lang w:bidi="es-ES"/>
        </w:rPr>
        <w:t xml:space="preserve">mediante un correo electrónico que no contiene pie de recurso, </w:t>
      </w:r>
      <w:r w:rsidR="008B6F84" w:rsidRPr="008B6F84">
        <w:rPr>
          <w:rFonts w:eastAsia="Times New Roman" w:cs="Times New Roman"/>
          <w:szCs w:val="22"/>
        </w:rPr>
        <w:t>careciendo en consecuencia, de información sobre los medios de impugnación en caso de disconformidad con la respuesta proporcionada, cuestión sobre la que</w:t>
      </w:r>
      <w:r w:rsidR="00CA081B" w:rsidRPr="00CA081B">
        <w:t xml:space="preserve"> </w:t>
      </w:r>
      <w:r w:rsidR="00CA081B" w:rsidRPr="00CA081B">
        <w:rPr>
          <w:rFonts w:eastAsia="Times New Roman" w:cs="Times New Roman"/>
          <w:szCs w:val="22"/>
        </w:rPr>
        <w:t>en general</w:t>
      </w:r>
      <w:r w:rsidR="00CA081B">
        <w:rPr>
          <w:rFonts w:eastAsia="Times New Roman" w:cs="Times New Roman"/>
          <w:szCs w:val="22"/>
        </w:rPr>
        <w:t>,</w:t>
      </w:r>
      <w:r w:rsidR="00CA081B" w:rsidRPr="00CA081B">
        <w:rPr>
          <w:rFonts w:eastAsia="Times New Roman" w:cs="Times New Roman"/>
          <w:szCs w:val="22"/>
        </w:rPr>
        <w:t xml:space="preserve"> </w:t>
      </w:r>
      <w:r w:rsidR="008B6F84" w:rsidRPr="008B6F84">
        <w:rPr>
          <w:rFonts w:eastAsia="Times New Roman" w:cs="Times New Roman"/>
          <w:szCs w:val="22"/>
        </w:rPr>
        <w:t xml:space="preserve">tampoco se informa </w:t>
      </w:r>
      <w:r w:rsidR="008B6F84">
        <w:rPr>
          <w:rFonts w:eastAsia="Times New Roman" w:cs="Times New Roman"/>
          <w:szCs w:val="22"/>
        </w:rPr>
        <w:t xml:space="preserve">en los </w:t>
      </w:r>
      <w:r w:rsidR="008B6F84" w:rsidRPr="008B6F84">
        <w:rPr>
          <w:rFonts w:eastAsia="Times New Roman" w:cs="Times New Roman"/>
          <w:szCs w:val="22"/>
        </w:rPr>
        <w:t>Portal</w:t>
      </w:r>
      <w:r w:rsidR="008B6F84">
        <w:rPr>
          <w:rFonts w:eastAsia="Times New Roman" w:cs="Times New Roman"/>
          <w:szCs w:val="22"/>
        </w:rPr>
        <w:t>es</w:t>
      </w:r>
      <w:r w:rsidR="008B6F84" w:rsidRPr="008B6F84">
        <w:rPr>
          <w:rFonts w:eastAsia="Times New Roman" w:cs="Times New Roman"/>
          <w:szCs w:val="22"/>
        </w:rPr>
        <w:t xml:space="preserve"> de Transparencia</w:t>
      </w:r>
      <w:r w:rsidR="008B6F84">
        <w:rPr>
          <w:rFonts w:eastAsia="Times New Roman" w:cs="Times New Roman"/>
          <w:szCs w:val="22"/>
        </w:rPr>
        <w:t xml:space="preserve">. En uno de los casos esta forma de notificación tampoco se corresponde con la elección del solicitante dado que la solicitud se había presentado por sede electrónica – único medio habilitado </w:t>
      </w:r>
      <w:r w:rsidR="00E165D2">
        <w:rPr>
          <w:rFonts w:eastAsia="Times New Roman" w:cs="Times New Roman"/>
          <w:szCs w:val="22"/>
        </w:rPr>
        <w:t xml:space="preserve">por la entidad </w:t>
      </w:r>
      <w:r w:rsidR="008B6F84">
        <w:rPr>
          <w:rFonts w:eastAsia="Times New Roman" w:cs="Times New Roman"/>
          <w:szCs w:val="22"/>
        </w:rPr>
        <w:t>para la presentación de solicitudes-.</w:t>
      </w:r>
    </w:p>
    <w:p w:rsidR="00FF14EC" w:rsidRPr="00E93B9C" w:rsidRDefault="003774D5" w:rsidP="008B6F84">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szCs w:val="22"/>
        </w:rPr>
        <w:t>Todas las instituciones</w:t>
      </w:r>
      <w:r w:rsidR="008B6F84" w:rsidRPr="008B6F84">
        <w:rPr>
          <w:rFonts w:eastAsia="Times New Roman" w:cs="Times New Roman"/>
          <w:szCs w:val="22"/>
        </w:rPr>
        <w:t xml:space="preserve"> debería</w:t>
      </w:r>
      <w:r>
        <w:rPr>
          <w:rFonts w:eastAsia="Times New Roman" w:cs="Times New Roman"/>
          <w:szCs w:val="22"/>
        </w:rPr>
        <w:t>n</w:t>
      </w:r>
      <w:r w:rsidR="008B6F84" w:rsidRPr="008B6F84">
        <w:rPr>
          <w:rFonts w:eastAsia="Times New Roman" w:cs="Times New Roman"/>
          <w:szCs w:val="22"/>
        </w:rPr>
        <w:t xml:space="preserve"> </w:t>
      </w:r>
      <w:r w:rsidR="008B6F84" w:rsidRPr="003774D5">
        <w:rPr>
          <w:rFonts w:eastAsia="Times New Roman" w:cs="Times New Roman"/>
          <w:szCs w:val="22"/>
        </w:rPr>
        <w:t>ajustarse al procedimiento establecido por la Ley 19/2013 en lo que se refiere a la em</w:t>
      </w:r>
      <w:r>
        <w:rPr>
          <w:rFonts w:eastAsia="Times New Roman" w:cs="Times New Roman"/>
          <w:szCs w:val="22"/>
        </w:rPr>
        <w:t xml:space="preserve">isión de una resolución expresa, </w:t>
      </w:r>
      <w:r w:rsidR="008B6F84" w:rsidRPr="003774D5">
        <w:rPr>
          <w:rFonts w:eastAsia="Times New Roman" w:cs="Times New Roman"/>
          <w:szCs w:val="22"/>
        </w:rPr>
        <w:t>que indique los recursos que contra la misma procedan, órgano administrativo o judicial</w:t>
      </w:r>
      <w:r w:rsidR="008B6F84" w:rsidRPr="008B6F84">
        <w:rPr>
          <w:rFonts w:eastAsia="Times New Roman" w:cs="Times New Roman"/>
          <w:szCs w:val="22"/>
        </w:rPr>
        <w:t xml:space="preserve"> ante el que presentarlos y el plazo para interponerlos.  </w:t>
      </w:r>
      <w:r w:rsidR="008B6F84">
        <w:rPr>
          <w:rFonts w:eastAsia="Times New Roman" w:cs="Times New Roman"/>
          <w:szCs w:val="22"/>
        </w:rPr>
        <w:t xml:space="preserve"> </w:t>
      </w:r>
    </w:p>
    <w:p w:rsidR="008A2400" w:rsidRDefault="008A2400" w:rsidP="00E213C5">
      <w:pPr>
        <w:spacing w:before="120" w:after="120"/>
        <w:ind w:left="142"/>
        <w:rPr>
          <w:rFonts w:eastAsia="Times New Roman" w:cs="Times New Roman"/>
          <w:bCs/>
          <w:szCs w:val="22"/>
          <w:lang w:bidi="es-ES"/>
        </w:rPr>
      </w:pPr>
      <w:r>
        <w:rPr>
          <w:rFonts w:eastAsia="Times New Roman" w:cs="Times New Roman"/>
          <w:bCs/>
          <w:szCs w:val="22"/>
          <w:lang w:bidi="es-ES"/>
        </w:rPr>
        <w:lastRenderedPageBreak/>
        <w:t>En una</w:t>
      </w:r>
      <w:r w:rsidR="003774D5" w:rsidRPr="003774D5">
        <w:rPr>
          <w:rFonts w:eastAsia="Times New Roman" w:cs="Times New Roman"/>
          <w:bCs/>
          <w:szCs w:val="22"/>
          <w:lang w:bidi="es-ES"/>
        </w:rPr>
        <w:t xml:space="preserve"> de las </w:t>
      </w:r>
      <w:r>
        <w:rPr>
          <w:rFonts w:eastAsia="Times New Roman" w:cs="Times New Roman"/>
          <w:bCs/>
          <w:szCs w:val="22"/>
          <w:lang w:bidi="es-ES"/>
        </w:rPr>
        <w:t xml:space="preserve">solicitudes que resulta inadmitida y en otra que concede el acceso pero no proporciona la información solicitada, se alega entre otras razones la necesidad de reelaboración para proporcionar la información. </w:t>
      </w:r>
      <w:r w:rsidR="00C258FB">
        <w:rPr>
          <w:rFonts w:eastAsia="Times New Roman" w:cs="Times New Roman"/>
          <w:bCs/>
          <w:szCs w:val="22"/>
          <w:lang w:bidi="es-ES"/>
        </w:rPr>
        <w:t xml:space="preserve">Es importante señalar que el primer caso la información solicitada se refería a 185 expedientes y en el segundo a 14, según las memorias de estas instituciones.  </w:t>
      </w:r>
      <w:r w:rsidR="0050450D">
        <w:rPr>
          <w:rFonts w:eastAsia="Times New Roman" w:cs="Times New Roman"/>
          <w:bCs/>
          <w:szCs w:val="22"/>
          <w:lang w:bidi="es-ES"/>
        </w:rPr>
        <w:t xml:space="preserve">Por otra parte, bien mediante remisión a documentos publicados en la web o bien aportando directamente información, </w:t>
      </w:r>
      <w:r w:rsidR="00E165D2">
        <w:rPr>
          <w:rFonts w:eastAsia="Times New Roman" w:cs="Times New Roman"/>
          <w:bCs/>
          <w:szCs w:val="22"/>
          <w:lang w:bidi="es-ES"/>
        </w:rPr>
        <w:t xml:space="preserve">ambas instituciones </w:t>
      </w:r>
      <w:r w:rsidR="0050450D">
        <w:rPr>
          <w:rFonts w:eastAsia="Times New Roman" w:cs="Times New Roman"/>
          <w:bCs/>
          <w:szCs w:val="22"/>
          <w:lang w:bidi="es-ES"/>
        </w:rPr>
        <w:t>proporciona</w:t>
      </w:r>
      <w:r w:rsidR="00E165D2">
        <w:rPr>
          <w:rFonts w:eastAsia="Times New Roman" w:cs="Times New Roman"/>
          <w:bCs/>
          <w:szCs w:val="22"/>
          <w:lang w:bidi="es-ES"/>
        </w:rPr>
        <w:t>n la</w:t>
      </w:r>
      <w:r w:rsidR="0050450D">
        <w:rPr>
          <w:rFonts w:eastAsia="Times New Roman" w:cs="Times New Roman"/>
          <w:bCs/>
          <w:szCs w:val="22"/>
          <w:lang w:bidi="es-ES"/>
        </w:rPr>
        <w:t xml:space="preserve"> información </w:t>
      </w:r>
      <w:r w:rsidR="00E165D2">
        <w:rPr>
          <w:rFonts w:eastAsia="Times New Roman" w:cs="Times New Roman"/>
          <w:bCs/>
          <w:szCs w:val="22"/>
          <w:lang w:bidi="es-ES"/>
        </w:rPr>
        <w:t xml:space="preserve">solicitada de manera </w:t>
      </w:r>
      <w:r w:rsidR="0050450D">
        <w:rPr>
          <w:rFonts w:eastAsia="Times New Roman" w:cs="Times New Roman"/>
          <w:bCs/>
          <w:szCs w:val="22"/>
          <w:lang w:bidi="es-ES"/>
        </w:rPr>
        <w:t xml:space="preserve">agregada. </w:t>
      </w:r>
    </w:p>
    <w:p w:rsidR="008A2400" w:rsidRDefault="008A2400" w:rsidP="00CA081B">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contextualSpacing/>
        <w:rPr>
          <w:rFonts w:eastAsia="Times New Roman" w:cs="Times New Roman"/>
          <w:color w:val="FF0000"/>
          <w:szCs w:val="22"/>
        </w:rPr>
      </w:pPr>
      <w:r w:rsidRPr="008A2400">
        <w:rPr>
          <w:rFonts w:eastAsia="Times New Roman" w:cs="Times New Roman"/>
          <w:szCs w:val="22"/>
        </w:rPr>
        <w:t xml:space="preserve">Parece lógico pensar </w:t>
      </w:r>
      <w:r w:rsidRPr="0050450D">
        <w:rPr>
          <w:rFonts w:eastAsia="Times New Roman" w:cs="Times New Roman"/>
          <w:szCs w:val="22"/>
        </w:rPr>
        <w:t>que esta información agregada se ha elaborado a partir de datos individuales</w:t>
      </w:r>
      <w:r w:rsidR="0050450D">
        <w:rPr>
          <w:rFonts w:eastAsia="Times New Roman" w:cs="Times New Roman"/>
          <w:szCs w:val="22"/>
        </w:rPr>
        <w:t xml:space="preserve"> – que es lo que se solicitaba -</w:t>
      </w:r>
      <w:r w:rsidRPr="0050450D">
        <w:rPr>
          <w:rFonts w:eastAsia="Times New Roman" w:cs="Times New Roman"/>
          <w:szCs w:val="22"/>
        </w:rPr>
        <w:t>, razón por la que, a juicio, de este Consejo no se incurre en los supuestos contemplados en el Criterio Interpretativo 7/2015, que establece que concurre un supuesto de reelaboración cuando la información ha de elaborarse expresamente para dar una respuesta haciendo uso de diversas fuentes de información</w:t>
      </w:r>
      <w:r w:rsidRPr="008A2400">
        <w:rPr>
          <w:rFonts w:eastAsia="Times New Roman" w:cs="Times New Roman"/>
          <w:szCs w:val="22"/>
        </w:rPr>
        <w:t xml:space="preserve"> o cuando el organismo o entidad carezca de los medios técnicos que sean necesarios para extraer y explotar la información concreta que se solicita, resultando imposible proporcionar la información solicitada.</w:t>
      </w:r>
      <w:r w:rsidRPr="008A2400">
        <w:rPr>
          <w:rFonts w:eastAsia="Times New Roman" w:cs="Times New Roman"/>
          <w:color w:val="FF0000"/>
          <w:szCs w:val="22"/>
        </w:rPr>
        <w:t xml:space="preserve"> </w:t>
      </w:r>
    </w:p>
    <w:p w:rsidR="0050450D" w:rsidRPr="008A2400" w:rsidRDefault="0050450D" w:rsidP="00CA081B">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contextualSpacing/>
        <w:rPr>
          <w:rFonts w:eastAsia="Times New Roman" w:cs="Times New Roman"/>
          <w:szCs w:val="22"/>
        </w:rPr>
      </w:pPr>
    </w:p>
    <w:p w:rsidR="008A2400" w:rsidRPr="008A2400" w:rsidRDefault="008A2400" w:rsidP="00CA081B">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contextualSpacing/>
        <w:rPr>
          <w:rFonts w:eastAsia="Times New Roman" w:cs="Times New Roman"/>
          <w:szCs w:val="22"/>
        </w:rPr>
      </w:pPr>
      <w:r w:rsidRPr="008A2400">
        <w:rPr>
          <w:rFonts w:eastAsia="Times New Roman" w:cs="Times New Roman"/>
          <w:szCs w:val="22"/>
        </w:rPr>
        <w:t xml:space="preserve">Por esta razón este Consejo reitera los contenidos del citado criterio interpretativo e insiste en que la reelaboración supone un nuevo tratamiento de la información y no debe confundirse con otros supuestos, tales como el volumen o la complejidad de la información solicitada, la inclusión de datos personales susceptibles de acceso parcial o de </w:t>
      </w:r>
      <w:proofErr w:type="spellStart"/>
      <w:r w:rsidRPr="008A2400">
        <w:rPr>
          <w:rFonts w:eastAsia="Times New Roman" w:cs="Times New Roman"/>
          <w:szCs w:val="22"/>
        </w:rPr>
        <w:t>anonimización</w:t>
      </w:r>
      <w:proofErr w:type="spellEnd"/>
      <w:r w:rsidRPr="008A2400">
        <w:rPr>
          <w:rFonts w:eastAsia="Times New Roman" w:cs="Times New Roman"/>
          <w:szCs w:val="22"/>
        </w:rPr>
        <w:t xml:space="preserve"> o el acceso parcial de la información, supuestos estos contemplados en los artículos 20.1, 15.4 y 16 de la Ley 19/2013, que no suponen causas de inadmisión en sí mismas.</w:t>
      </w:r>
    </w:p>
    <w:p w:rsidR="00E93B9C" w:rsidRDefault="008A2400" w:rsidP="00E213C5">
      <w:pPr>
        <w:spacing w:before="120" w:after="120"/>
        <w:ind w:left="142"/>
        <w:rPr>
          <w:rFonts w:eastAsia="Times New Roman" w:cs="Times New Roman"/>
          <w:bCs/>
          <w:szCs w:val="22"/>
          <w:lang w:bidi="es-ES"/>
        </w:rPr>
      </w:pPr>
      <w:r>
        <w:rPr>
          <w:rFonts w:eastAsia="Times New Roman" w:cs="Times New Roman"/>
          <w:bCs/>
          <w:szCs w:val="22"/>
          <w:lang w:bidi="es-ES"/>
        </w:rPr>
        <w:t xml:space="preserve">   </w:t>
      </w:r>
    </w:p>
    <w:p w:rsidR="002C07EB" w:rsidRDefault="00CB41F1" w:rsidP="00E213C5">
      <w:pPr>
        <w:spacing w:before="120" w:after="120"/>
        <w:ind w:left="142"/>
        <w:rPr>
          <w:rFonts w:eastAsia="Times New Roman" w:cs="Times New Roman"/>
          <w:bCs/>
          <w:szCs w:val="22"/>
          <w:lang w:bidi="es-ES"/>
        </w:rPr>
      </w:pPr>
      <w:r>
        <w:rPr>
          <w:rFonts w:eastAsia="Times New Roman" w:cs="Times New Roman"/>
          <w:szCs w:val="24"/>
          <w:lang w:bidi="es-ES"/>
        </w:rPr>
        <w:t>Finalmente, n</w:t>
      </w:r>
      <w:r w:rsidRPr="000B25CE">
        <w:rPr>
          <w:rFonts w:eastAsia="Times New Roman" w:cs="Times New Roman"/>
          <w:szCs w:val="24"/>
          <w:lang w:bidi="es-ES"/>
        </w:rPr>
        <w:t xml:space="preserve">o consta que se haya emitido </w:t>
      </w:r>
      <w:r w:rsidR="00E165D2">
        <w:rPr>
          <w:rFonts w:eastAsia="Times New Roman" w:cs="Times New Roman"/>
          <w:szCs w:val="24"/>
          <w:lang w:bidi="es-ES"/>
        </w:rPr>
        <w:t>respuesta</w:t>
      </w:r>
      <w:r>
        <w:rPr>
          <w:rFonts w:eastAsia="Times New Roman" w:cs="Times New Roman"/>
          <w:szCs w:val="24"/>
          <w:lang w:bidi="es-ES"/>
        </w:rPr>
        <w:t xml:space="preserve"> en dos de los casos, p</w:t>
      </w:r>
      <w:r w:rsidRPr="000B25CE">
        <w:rPr>
          <w:rFonts w:eastAsia="Times New Roman" w:cs="Times New Roman"/>
          <w:szCs w:val="24"/>
          <w:lang w:bidi="es-ES"/>
        </w:rPr>
        <w:t xml:space="preserve">or </w:t>
      </w:r>
      <w:r>
        <w:rPr>
          <w:rFonts w:eastAsia="Times New Roman" w:cs="Times New Roman"/>
          <w:szCs w:val="24"/>
          <w:lang w:bidi="es-ES"/>
        </w:rPr>
        <w:t>lo que cabe</w:t>
      </w:r>
      <w:r w:rsidRPr="000B25CE">
        <w:rPr>
          <w:rFonts w:eastAsia="Times New Roman" w:cs="Times New Roman"/>
          <w:szCs w:val="24"/>
          <w:lang w:bidi="es-ES"/>
        </w:rPr>
        <w:t xml:space="preserve"> entender que </w:t>
      </w:r>
      <w:r>
        <w:rPr>
          <w:rFonts w:eastAsia="Times New Roman" w:cs="Times New Roman"/>
          <w:szCs w:val="24"/>
          <w:lang w:bidi="es-ES"/>
        </w:rPr>
        <w:t>ambas solicitudes</w:t>
      </w:r>
      <w:r w:rsidRPr="000B25CE">
        <w:rPr>
          <w:rFonts w:eastAsia="Times New Roman" w:cs="Times New Roman"/>
          <w:szCs w:val="24"/>
          <w:lang w:bidi="es-ES"/>
        </w:rPr>
        <w:t xml:space="preserve"> ha</w:t>
      </w:r>
      <w:r>
        <w:rPr>
          <w:rFonts w:eastAsia="Times New Roman" w:cs="Times New Roman"/>
          <w:szCs w:val="24"/>
          <w:lang w:bidi="es-ES"/>
        </w:rPr>
        <w:t>n</w:t>
      </w:r>
      <w:r w:rsidRPr="000B25CE">
        <w:rPr>
          <w:rFonts w:eastAsia="Times New Roman" w:cs="Times New Roman"/>
          <w:szCs w:val="24"/>
          <w:lang w:bidi="es-ES"/>
        </w:rPr>
        <w:t xml:space="preserve"> sido denegada</w:t>
      </w:r>
      <w:r>
        <w:rPr>
          <w:rFonts w:eastAsia="Times New Roman" w:cs="Times New Roman"/>
          <w:szCs w:val="24"/>
          <w:lang w:bidi="es-ES"/>
        </w:rPr>
        <w:t>s</w:t>
      </w:r>
      <w:r w:rsidRPr="000B25CE">
        <w:rPr>
          <w:rFonts w:eastAsia="Times New Roman" w:cs="Times New Roman"/>
          <w:szCs w:val="24"/>
          <w:lang w:bidi="es-ES"/>
        </w:rPr>
        <w:t xml:space="preserve"> por silencio administrativo al haber transcurrido el plazo de un mes sin obtener respuesta</w:t>
      </w:r>
      <w:r>
        <w:rPr>
          <w:rFonts w:eastAsia="Times New Roman" w:cs="Times New Roman"/>
          <w:szCs w:val="24"/>
          <w:lang w:bidi="es-ES"/>
        </w:rPr>
        <w:t>. En uno de estos casos la solicitud tuvo que presentarse a través del único medio de contacto genérico localizado en la web de la institución, lo que podría explicar la falta de resolución.</w:t>
      </w:r>
    </w:p>
    <w:p w:rsidR="002C07EB" w:rsidRDefault="002C07EB"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2C07EB" w:rsidRDefault="002C07EB" w:rsidP="00E213C5">
      <w:pPr>
        <w:spacing w:before="120" w:after="120"/>
        <w:ind w:left="142"/>
        <w:rPr>
          <w:rFonts w:eastAsia="Times New Roman" w:cs="Times New Roman"/>
          <w:bCs/>
          <w:szCs w:val="22"/>
          <w:lang w:bidi="es-ES"/>
        </w:rPr>
      </w:pPr>
    </w:p>
    <w:p w:rsidR="00794A50" w:rsidRPr="00794A50" w:rsidRDefault="009A7BE1" w:rsidP="00794A50">
      <w:pPr>
        <w:spacing w:line="240" w:lineRule="auto"/>
        <w:jc w:val="center"/>
        <w:rPr>
          <w:rFonts w:eastAsia="Times New Roman" w:cs="Times New Roman"/>
          <w:b/>
          <w:color w:val="000000"/>
          <w:sz w:val="30"/>
          <w:szCs w:val="30"/>
          <w:lang w:eastAsia="en-US"/>
        </w:rPr>
      </w:pPr>
      <w:sdt>
        <w:sdtPr>
          <w:rPr>
            <w:rFonts w:eastAsia="Times New Roman" w:cs="Times New Roman"/>
            <w:b/>
            <w:color w:val="438086" w:themeColor="accent2"/>
            <w:sz w:val="30"/>
            <w:szCs w:val="30"/>
            <w:lang w:eastAsia="en-US"/>
          </w:rPr>
          <w:id w:val="1557966967"/>
        </w:sdtPr>
        <w:sdtEndPr>
          <w:rPr>
            <w:color w:val="auto"/>
          </w:rPr>
        </w:sdtEndPr>
        <w:sdtContent>
          <w:r w:rsidR="00794A50" w:rsidRPr="00FF20A2">
            <w:rPr>
              <w:rFonts w:eastAsia="Times New Roman" w:cs="Times New Roman"/>
              <w:b/>
              <w:color w:val="438086" w:themeColor="accent2"/>
              <w:sz w:val="30"/>
              <w:szCs w:val="30"/>
              <w:lang w:eastAsia="en-US"/>
            </w:rPr>
            <w:t xml:space="preserve">Anexo: Criterios de medición de los atributos de la </w:t>
          </w:r>
          <w:r w:rsidR="00384774">
            <w:rPr>
              <w:rFonts w:eastAsia="Times New Roman" w:cs="Times New Roman"/>
              <w:b/>
              <w:color w:val="438086" w:themeColor="accent2"/>
              <w:sz w:val="30"/>
              <w:szCs w:val="30"/>
              <w:lang w:eastAsia="en-US"/>
            </w:rPr>
            <w:t>i</w:t>
          </w:r>
          <w:r w:rsidR="00794A50" w:rsidRPr="00FF20A2">
            <w:rPr>
              <w:rFonts w:eastAsia="Times New Roman" w:cs="Times New Roman"/>
              <w:b/>
              <w:color w:val="438086" w:themeColor="accent2"/>
              <w:sz w:val="30"/>
              <w:szCs w:val="30"/>
              <w:lang w:eastAsia="en-US"/>
            </w:rPr>
            <w:t>nformación</w:t>
          </w:r>
        </w:sdtContent>
      </w:sdt>
    </w:p>
    <w:tbl>
      <w:tblPr>
        <w:tblW w:w="5694" w:type="pct"/>
        <w:tblInd w:w="-497" w:type="dxa"/>
        <w:tblCellMar>
          <w:left w:w="70" w:type="dxa"/>
          <w:right w:w="70" w:type="dxa"/>
        </w:tblCellMar>
        <w:tblLook w:val="04A0" w:firstRow="1" w:lastRow="0" w:firstColumn="1" w:lastColumn="0" w:noHBand="0" w:noVBand="1"/>
      </w:tblPr>
      <w:tblGrid>
        <w:gridCol w:w="1929"/>
        <w:gridCol w:w="1519"/>
        <w:gridCol w:w="2381"/>
        <w:gridCol w:w="668"/>
        <w:gridCol w:w="3992"/>
      </w:tblGrid>
      <w:tr w:rsidR="00794A50" w:rsidRPr="00794A50" w:rsidTr="00384774">
        <w:trPr>
          <w:trHeight w:val="300"/>
        </w:trPr>
        <w:tc>
          <w:tcPr>
            <w:tcW w:w="919"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PRINCIPIOS GENERALES</w:t>
            </w:r>
          </w:p>
        </w:tc>
        <w:tc>
          <w:tcPr>
            <w:tcW w:w="724"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CRITERIO</w:t>
            </w:r>
          </w:p>
        </w:tc>
        <w:tc>
          <w:tcPr>
            <w:tcW w:w="1135"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DESCRIPCION</w:t>
            </w:r>
          </w:p>
        </w:tc>
        <w:tc>
          <w:tcPr>
            <w:tcW w:w="318"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VALOR</w:t>
            </w:r>
          </w:p>
        </w:tc>
        <w:tc>
          <w:tcPr>
            <w:tcW w:w="1903"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SIGNIFICADO</w:t>
            </w:r>
          </w:p>
        </w:tc>
      </w:tr>
      <w:tr w:rsidR="00794A50" w:rsidRPr="00794A50" w:rsidTr="00384774">
        <w:trPr>
          <w:trHeight w:val="514"/>
        </w:trPr>
        <w:tc>
          <w:tcPr>
            <w:tcW w:w="9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PUBLICACIÓN</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CONTENIDO</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obliga su publicación por la Ley19/21013</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SI se publica el contenido de la obligación exigida</w:t>
            </w:r>
          </w:p>
        </w:tc>
      </w:tr>
      <w:tr w:rsidR="00794A50" w:rsidRPr="00794A50" w:rsidTr="00384774">
        <w:trPr>
          <w:trHeight w:val="323"/>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publica el contenido de la obligación exigida</w:t>
            </w:r>
          </w:p>
        </w:tc>
      </w:tr>
      <w:tr w:rsidR="00794A50" w:rsidRPr="00794A50" w:rsidTr="00384774">
        <w:trPr>
          <w:trHeight w:val="427"/>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Modo de presentar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DIRECTA en la misma web o con enlace directo a la información</w:t>
            </w:r>
          </w:p>
        </w:tc>
      </w:tr>
      <w:tr w:rsidR="00794A50" w:rsidRPr="00794A50" w:rsidTr="00384774">
        <w:trPr>
          <w:trHeight w:val="419"/>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INDIRECTA pero sin dirigir a la información a la que se refiere</w:t>
            </w:r>
          </w:p>
        </w:tc>
      </w:tr>
      <w:tr w:rsidR="00794A50" w:rsidRPr="00794A50" w:rsidTr="00384774">
        <w:trPr>
          <w:trHeight w:val="411"/>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ACTUALIZACIÓN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identifica la fecha de datación de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y está dentro de los TRES meses previos a la fecha de consulta</w:t>
            </w:r>
          </w:p>
        </w:tc>
      </w:tr>
      <w:tr w:rsidR="00794A50" w:rsidRPr="00794A50" w:rsidTr="00384774">
        <w:trPr>
          <w:trHeight w:val="416"/>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pero NO ESTA ACTUALIZADO dentro de los tres meses</w:t>
            </w:r>
          </w:p>
        </w:tc>
      </w:tr>
      <w:tr w:rsidR="00794A50" w:rsidRPr="00794A50" w:rsidTr="00384774">
        <w:trPr>
          <w:trHeight w:val="422"/>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CONOCE la fecha de publicación de la información</w:t>
            </w:r>
          </w:p>
        </w:tc>
      </w:tr>
      <w:tr w:rsidR="00794A50" w:rsidRPr="00794A50" w:rsidTr="00384774">
        <w:trPr>
          <w:trHeight w:val="300"/>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ATRIBUTOS</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ACCESIBILIDAD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Número de clics para acceder a la información desde la página principal de transparencia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3 clics como máximo</w:t>
            </w:r>
          </w:p>
        </w:tc>
      </w:tr>
      <w:tr w:rsidR="00794A50" w:rsidRPr="00794A50" w:rsidTr="00384774">
        <w:trPr>
          <w:trHeight w:val="1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4</w:t>
            </w:r>
          </w:p>
        </w:tc>
      </w:tr>
      <w:tr w:rsidR="00794A50" w:rsidRPr="00794A50" w:rsidTr="00384774">
        <w:trPr>
          <w:trHeight w:val="24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5</w:t>
            </w:r>
          </w:p>
        </w:tc>
      </w:tr>
      <w:tr w:rsidR="00794A50" w:rsidRPr="00794A50" w:rsidTr="00384774">
        <w:trPr>
          <w:trHeight w:val="26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6</w:t>
            </w:r>
          </w:p>
        </w:tc>
      </w:tr>
      <w:tr w:rsidR="00794A50" w:rsidRPr="00794A50" w:rsidTr="00384774">
        <w:trPr>
          <w:trHeight w:val="28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7</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8</w:t>
            </w:r>
          </w:p>
        </w:tc>
      </w:tr>
      <w:tr w:rsidR="00794A50" w:rsidRPr="00794A50" w:rsidTr="00384774">
        <w:trPr>
          <w:trHeight w:val="13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9</w:t>
            </w:r>
          </w:p>
        </w:tc>
      </w:tr>
      <w:tr w:rsidR="00794A50" w:rsidRPr="00794A50" w:rsidTr="00384774">
        <w:trPr>
          <w:trHeight w:val="20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10</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11</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12</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Más de 12 clics</w:t>
            </w:r>
          </w:p>
        </w:tc>
      </w:tr>
      <w:tr w:rsidR="00794A50" w:rsidRPr="00794A50" w:rsidTr="00384774">
        <w:trPr>
          <w:trHeight w:val="26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CLARIDAD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Lenguaje fácil de entender por el público general. La información compleja se acompaña de comentarios, glosarios, textos introductorios o similares</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MUY comprensible o con ayudas, en su caso</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Comprensible</w:t>
            </w:r>
          </w:p>
        </w:tc>
      </w:tr>
      <w:tr w:rsidR="00794A50" w:rsidRPr="00794A50" w:rsidTr="00384774">
        <w:trPr>
          <w:trHeight w:val="25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Normal</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Poco comprensible</w:t>
            </w:r>
          </w:p>
        </w:tc>
      </w:tr>
      <w:tr w:rsidR="00794A50" w:rsidRPr="00794A50" w:rsidTr="00384774">
        <w:trPr>
          <w:trHeight w:val="18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Difícilmente comprensible</w:t>
            </w:r>
          </w:p>
        </w:tc>
      </w:tr>
      <w:tr w:rsidR="00794A50" w:rsidRPr="00794A50" w:rsidTr="00384774">
        <w:trPr>
          <w:trHeight w:val="24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12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NADA comprensible</w:t>
            </w:r>
          </w:p>
        </w:tc>
      </w:tr>
      <w:tr w:rsidR="00794A50" w:rsidRPr="00794A50" w:rsidTr="00384774">
        <w:trPr>
          <w:trHeight w:val="57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ESTRUCTURACIÓN</w:t>
            </w:r>
          </w:p>
        </w:tc>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Información organizada siguiendo una lógica clara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encuentra ordenada en grupos de materias, temáticas o de acuerdo con los bloques o grupos de información de la ley</w:t>
            </w:r>
          </w:p>
        </w:tc>
      </w:tr>
      <w:tr w:rsidR="00794A50" w:rsidRPr="00794A50" w:rsidTr="00384774">
        <w:trPr>
          <w:trHeight w:val="42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presenta dispersa sin agrupación ni ordenación alguna</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Reutilización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Formatos según Ley 37/2007</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Es un formato reutilizable establecido</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es un formato reutilizable</w:t>
            </w:r>
          </w:p>
        </w:tc>
      </w:tr>
      <w:tr w:rsidR="00794A50" w:rsidRPr="00794A50" w:rsidTr="00384774">
        <w:trPr>
          <w:trHeight w:val="343"/>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WEB</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LUGAR PUBLICACION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 xml:space="preserve">Dónde quedan publicadas las obligaciones de </w:t>
            </w:r>
            <w:r w:rsidRPr="00794A50">
              <w:rPr>
                <w:rFonts w:eastAsia="Times New Roman" w:cs="Calibri"/>
                <w:color w:val="000000"/>
                <w:sz w:val="16"/>
                <w:szCs w:val="16"/>
              </w:rPr>
              <w:lastRenderedPageBreak/>
              <w:t>publicidad activa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lastRenderedPageBreak/>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o banner en la página inicial del sitio</w:t>
            </w:r>
          </w:p>
        </w:tc>
      </w:tr>
      <w:tr w:rsidR="00794A50" w:rsidRPr="00794A50" w:rsidTr="00384774">
        <w:trPr>
          <w:trHeight w:val="362"/>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pero NO en la página de inicio</w:t>
            </w:r>
          </w:p>
        </w:tc>
      </w:tr>
      <w:tr w:rsidR="00794A50" w:rsidRPr="00794A50" w:rsidTr="00384774">
        <w:trPr>
          <w:trHeight w:val="6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existe un apartado específico de transparencia</w:t>
            </w:r>
          </w:p>
        </w:tc>
      </w:tr>
    </w:tbl>
    <w:p w:rsidR="00794A50" w:rsidRPr="00596EDD" w:rsidRDefault="00794A50" w:rsidP="00596EDD"/>
    <w:sectPr w:rsidR="00794A50" w:rsidRPr="00596EDD">
      <w:headerReference w:type="even" r:id="rId18"/>
      <w:headerReference w:type="default" r:id="rId19"/>
      <w:footerReference w:type="even" r:id="rId20"/>
      <w:footerReference w:type="default" r:id="rId21"/>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E9" w:rsidRDefault="003F1FE9">
      <w:pPr>
        <w:spacing w:after="0" w:line="240" w:lineRule="auto"/>
      </w:pPr>
      <w:r>
        <w:separator/>
      </w:r>
    </w:p>
  </w:endnote>
  <w:endnote w:type="continuationSeparator" w:id="0">
    <w:p w:rsidR="003F1FE9" w:rsidRDefault="003F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E9" w:rsidRDefault="003F1FE9">
    <w:r>
      <w:fldChar w:fldCharType="begin"/>
    </w:r>
    <w:r>
      <w:instrText>PAGE   \* MERGEFORMAT</w:instrText>
    </w:r>
    <w:r>
      <w:fldChar w:fldCharType="separate"/>
    </w:r>
    <w:r w:rsidR="002D19D0">
      <w:rPr>
        <w:noProof/>
      </w:rPr>
      <w:t>22</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3F1FE9">
      <w:trPr>
        <w:trHeight w:hRule="exact" w:val="72"/>
      </w:trPr>
      <w:tc>
        <w:tcPr>
          <w:tcW w:w="2718" w:type="dxa"/>
          <w:tcBorders>
            <w:top w:val="single" w:sz="12" w:space="0" w:color="438086" w:themeColor="accent2"/>
            <w:bottom w:val="single" w:sz="2" w:space="0" w:color="438086" w:themeColor="accent2"/>
          </w:tcBorders>
        </w:tcPr>
        <w:p w:rsidR="003F1FE9" w:rsidRDefault="003F1FE9">
          <w:pPr>
            <w:pStyle w:val="Sinespaciado"/>
          </w:pPr>
        </w:p>
      </w:tc>
      <w:tc>
        <w:tcPr>
          <w:tcW w:w="1017" w:type="dxa"/>
          <w:tcBorders>
            <w:bottom w:val="single" w:sz="2" w:space="0" w:color="438086" w:themeColor="accent2"/>
          </w:tcBorders>
        </w:tcPr>
        <w:p w:rsidR="003F1FE9" w:rsidRDefault="003F1FE9">
          <w:pPr>
            <w:pStyle w:val="Sinespaciado"/>
          </w:pPr>
        </w:p>
      </w:tc>
    </w:tr>
  </w:tbl>
  <w:p w:rsidR="003F1FE9" w:rsidRDefault="003F1F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E9" w:rsidRPr="008876B2" w:rsidRDefault="003F1FE9">
    <w:pPr>
      <w:jc w:val="right"/>
    </w:pPr>
    <w:r>
      <w:t>CTBG. Subdirección General de Transparencia y Buen Gobierno</w:t>
    </w:r>
    <w:r w:rsidRPr="008876B2">
      <w:t xml:space="preserve">.  </w:t>
    </w:r>
    <w:r w:rsidRPr="008876B2">
      <w:fldChar w:fldCharType="begin"/>
    </w:r>
    <w:r w:rsidRPr="008876B2">
      <w:instrText>PAGE   \* MERGEFORMAT</w:instrText>
    </w:r>
    <w:r w:rsidRPr="008876B2">
      <w:fldChar w:fldCharType="separate"/>
    </w:r>
    <w:r w:rsidR="002D19D0">
      <w:rPr>
        <w:noProof/>
      </w:rPr>
      <w:t>23</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44"/>
      <w:gridCol w:w="2578"/>
    </w:tblGrid>
    <w:tr w:rsidR="003F1FE9">
      <w:trPr>
        <w:trHeight w:hRule="exact" w:val="72"/>
        <w:jc w:val="right"/>
      </w:trPr>
      <w:tc>
        <w:tcPr>
          <w:tcW w:w="1098" w:type="dxa"/>
          <w:tcBorders>
            <w:bottom w:val="single" w:sz="2" w:space="0" w:color="438086" w:themeColor="accent2"/>
          </w:tcBorders>
        </w:tcPr>
        <w:p w:rsidR="003F1FE9" w:rsidRDefault="003F1FE9">
          <w:pPr>
            <w:pStyle w:val="Sinespaciado"/>
          </w:pPr>
        </w:p>
      </w:tc>
      <w:tc>
        <w:tcPr>
          <w:tcW w:w="2732" w:type="dxa"/>
          <w:tcBorders>
            <w:top w:val="single" w:sz="12" w:space="0" w:color="438086" w:themeColor="accent2"/>
            <w:bottom w:val="single" w:sz="2" w:space="0" w:color="438086" w:themeColor="accent2"/>
          </w:tcBorders>
        </w:tcPr>
        <w:p w:rsidR="003F1FE9" w:rsidRDefault="003F1FE9">
          <w:pPr>
            <w:pStyle w:val="Sinespaciado"/>
          </w:pPr>
        </w:p>
      </w:tc>
    </w:tr>
  </w:tbl>
  <w:p w:rsidR="003F1FE9" w:rsidRDefault="003F1F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E9" w:rsidRDefault="003F1FE9">
      <w:pPr>
        <w:spacing w:after="0" w:line="240" w:lineRule="auto"/>
      </w:pPr>
      <w:r>
        <w:separator/>
      </w:r>
    </w:p>
  </w:footnote>
  <w:footnote w:type="continuationSeparator" w:id="0">
    <w:p w:rsidR="003F1FE9" w:rsidRDefault="003F1FE9">
      <w:pPr>
        <w:spacing w:after="0" w:line="240" w:lineRule="auto"/>
      </w:pPr>
      <w:r>
        <w:continuationSeparator/>
      </w:r>
    </w:p>
  </w:footnote>
  <w:footnote w:id="1">
    <w:p w:rsidR="003F1FE9" w:rsidRPr="009150E1" w:rsidRDefault="003F1FE9">
      <w:pPr>
        <w:pStyle w:val="Textonotapie"/>
        <w:rPr>
          <w:sz w:val="18"/>
          <w:szCs w:val="18"/>
        </w:rPr>
      </w:pPr>
      <w:r>
        <w:rPr>
          <w:rStyle w:val="Refdenotaalpie"/>
        </w:rPr>
        <w:footnoteRef/>
      </w:r>
      <w:r>
        <w:t xml:space="preserve"> </w:t>
      </w:r>
      <w:r w:rsidRPr="009150E1">
        <w:rPr>
          <w:sz w:val="18"/>
          <w:szCs w:val="18"/>
        </w:rPr>
        <w:t>La referencia Órganos Constitucionales incluye tanto a éstos como a los órgan</w:t>
      </w:r>
      <w:r>
        <w:rPr>
          <w:sz w:val="18"/>
          <w:szCs w:val="18"/>
        </w:rPr>
        <w:t>os de relevancia constitucional.</w:t>
      </w:r>
    </w:p>
  </w:footnote>
  <w:footnote w:id="2">
    <w:p w:rsidR="003F1FE9" w:rsidRPr="00500F92" w:rsidRDefault="003F1FE9">
      <w:pPr>
        <w:pStyle w:val="Textonotapie"/>
        <w:rPr>
          <w:sz w:val="18"/>
          <w:szCs w:val="18"/>
        </w:rPr>
      </w:pPr>
      <w:r w:rsidRPr="009150E1">
        <w:rPr>
          <w:rStyle w:val="Refdenotaalpie"/>
          <w:sz w:val="18"/>
          <w:szCs w:val="18"/>
        </w:rPr>
        <w:footnoteRef/>
      </w:r>
      <w:r w:rsidRPr="009150E1">
        <w:rPr>
          <w:sz w:val="18"/>
          <w:szCs w:val="18"/>
        </w:rPr>
        <w:t xml:space="preserve"> </w:t>
      </w:r>
      <w:r>
        <w:rPr>
          <w:sz w:val="18"/>
          <w:szCs w:val="18"/>
        </w:rPr>
        <w:t>Dos</w:t>
      </w:r>
      <w:r w:rsidRPr="009150E1">
        <w:rPr>
          <w:sz w:val="18"/>
          <w:szCs w:val="18"/>
        </w:rPr>
        <w:t xml:space="preserve"> de los órganos evaluados no han remitido información sobre la actividad generada en</w:t>
      </w:r>
      <w:r>
        <w:t xml:space="preserve"> </w:t>
      </w:r>
      <w:r w:rsidRPr="00500F92">
        <w:rPr>
          <w:sz w:val="18"/>
          <w:szCs w:val="18"/>
        </w:rPr>
        <w:t>2020 por el ejercicio del derecho de acceso. Dos órganos más informan que durante 2020 no recibieron ninguna solicitud de acceso a información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Content>
      <w:p w:rsidR="003F1FE9" w:rsidRDefault="003F1FE9" w:rsidP="006219DA">
        <w:pPr>
          <w:pStyle w:val="Encabezado"/>
          <w:pBdr>
            <w:bottom w:val="single" w:sz="4" w:space="0" w:color="auto"/>
          </w:pBdr>
          <w:jc w:val="right"/>
        </w:pPr>
        <w:r>
          <w:t xml:space="preserve">CTBG. Subdirección General de Transparencia y Buen Gobierno.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E9" w:rsidRPr="008876B2" w:rsidRDefault="003F1FE9">
    <w:pPr>
      <w:pStyle w:val="Encabezado"/>
      <w:pBdr>
        <w:bottom w:val="single" w:sz="4" w:space="0" w:color="auto"/>
      </w:pBdr>
      <w:jc w:val="right"/>
    </w:pPr>
    <w:r w:rsidRPr="008876B2">
      <w:t xml:space="preserve">Plan de evaluación 2021. Evaluación de los </w:t>
    </w:r>
    <w:r>
      <w:t>Ó</w:t>
    </w:r>
    <w:r w:rsidRPr="008876B2">
      <w:t xml:space="preserve">rganos Constitucionales </w:t>
    </w:r>
    <w:r>
      <w:t xml:space="preserve"> </w:t>
    </w:r>
    <w:r w:rsidRPr="008876B2">
      <w:t xml:space="preserve">y de </w:t>
    </w:r>
    <w:r>
      <w:t>r</w:t>
    </w:r>
    <w:r w:rsidRPr="008876B2">
      <w:t>elevancia constitucional</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8.9pt;height:8.9pt" o:bullet="t">
        <v:imagedata r:id="rId1" o:title="BD14533_"/>
      </v:shape>
    </w:pict>
  </w:numPicBullet>
  <w:numPicBullet w:numPicBulletId="1">
    <w:pict>
      <v:shape id="_x0000_i1150" type="#_x0000_t75" style="width:8.9pt;height:8.9pt" o:bullet="t">
        <v:imagedata r:id="rId2" o:title="BD10268_"/>
      </v:shape>
    </w:pict>
  </w:numPicBullet>
  <w:numPicBullet w:numPicBulletId="2">
    <w:pict>
      <v:shape id="_x0000_i1151" type="#_x0000_t75" style="width:11.45pt;height:11.45pt" o:bullet="t">
        <v:imagedata r:id="rId3" o:title="BD14529_"/>
      </v:shape>
    </w:pict>
  </w:numPicBullet>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Listaconvietasurbana"/>
  </w:abstractNum>
  <w:abstractNum w:abstractNumId="11">
    <w:nsid w:val="0482200E"/>
    <w:multiLevelType w:val="hybridMultilevel"/>
    <w:tmpl w:val="E6C6F8CE"/>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52E71E7"/>
    <w:multiLevelType w:val="hybridMultilevel"/>
    <w:tmpl w:val="FDCADDE0"/>
    <w:lvl w:ilvl="0" w:tplc="AA644D84">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0EDC38E4"/>
    <w:multiLevelType w:val="multilevel"/>
    <w:tmpl w:val="33B056D0"/>
    <w:numStyleLink w:val="Listaconvietasurbana"/>
  </w:abstractNum>
  <w:abstractNum w:abstractNumId="14">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5">
    <w:nsid w:val="12796372"/>
    <w:multiLevelType w:val="hybridMultilevel"/>
    <w:tmpl w:val="D1821594"/>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550593"/>
    <w:multiLevelType w:val="hybridMultilevel"/>
    <w:tmpl w:val="1E423E76"/>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8">
    <w:nsid w:val="1A6C5517"/>
    <w:multiLevelType w:val="multilevel"/>
    <w:tmpl w:val="7AC6A14E"/>
    <w:numStyleLink w:val="Listanumeradaurbana"/>
  </w:abstractNum>
  <w:abstractNum w:abstractNumId="19">
    <w:nsid w:val="1DDE73E0"/>
    <w:multiLevelType w:val="multilevel"/>
    <w:tmpl w:val="33B056D0"/>
    <w:numStyleLink w:val="Listaconvietasurbana"/>
  </w:abstractNum>
  <w:abstractNum w:abstractNumId="20">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1">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5">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8">
    <w:nsid w:val="57911FB4"/>
    <w:multiLevelType w:val="hybridMultilevel"/>
    <w:tmpl w:val="D6B69FD2"/>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CA42F2"/>
    <w:multiLevelType w:val="hybridMultilevel"/>
    <w:tmpl w:val="F60CC51C"/>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1751600"/>
    <w:multiLevelType w:val="hybridMultilevel"/>
    <w:tmpl w:val="38F8EBC4"/>
    <w:lvl w:ilvl="0" w:tplc="5C1E6D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E8022B"/>
    <w:multiLevelType w:val="multilevel"/>
    <w:tmpl w:val="33B056D0"/>
    <w:numStyleLink w:val="Listaconvietasurbana"/>
  </w:abstractNum>
  <w:abstractNum w:abstractNumId="32">
    <w:nsid w:val="6F0D0B31"/>
    <w:multiLevelType w:val="multilevel"/>
    <w:tmpl w:val="7AC6A14E"/>
    <w:numStyleLink w:val="Listanumeradaurbana"/>
  </w:abstractNum>
  <w:abstractNum w:abstractNumId="33">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4">
    <w:nsid w:val="733505FE"/>
    <w:multiLevelType w:val="hybridMultilevel"/>
    <w:tmpl w:val="41F4AC88"/>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740294"/>
    <w:multiLevelType w:val="multilevel"/>
    <w:tmpl w:val="33B056D0"/>
    <w:numStyleLink w:val="Listaconvietasurbana"/>
  </w:abstractNum>
  <w:abstractNum w:abstractNumId="36">
    <w:nsid w:val="76921C5B"/>
    <w:multiLevelType w:val="multilevel"/>
    <w:tmpl w:val="33B056D0"/>
    <w:numStyleLink w:val="Listaconvietasurbana"/>
  </w:abstractNum>
  <w:abstractNum w:abstractNumId="37">
    <w:nsid w:val="7E025C09"/>
    <w:multiLevelType w:val="multilevel"/>
    <w:tmpl w:val="33B056D0"/>
    <w:numStyleLink w:val="Listaconvietasurban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6"/>
  </w:num>
  <w:num w:numId="14">
    <w:abstractNumId w:val="22"/>
  </w:num>
  <w:num w:numId="15">
    <w:abstractNumId w:val="33"/>
  </w:num>
  <w:num w:numId="16">
    <w:abstractNumId w:val="21"/>
  </w:num>
  <w:num w:numId="17">
    <w:abstractNumId w:val="24"/>
  </w:num>
  <w:num w:numId="18">
    <w:abstractNumId w:val="13"/>
  </w:num>
  <w:num w:numId="19">
    <w:abstractNumId w:val="35"/>
  </w:num>
  <w:num w:numId="20">
    <w:abstractNumId w:val="3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31"/>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4"/>
  </w:num>
  <w:num w:numId="23">
    <w:abstractNumId w:val="32"/>
  </w:num>
  <w:num w:numId="24">
    <w:abstractNumId w:val="18"/>
  </w:num>
  <w:num w:numId="25">
    <w:abstractNumId w:val="17"/>
  </w:num>
  <w:num w:numId="26">
    <w:abstractNumId w:val="10"/>
  </w:num>
  <w:num w:numId="27">
    <w:abstractNumId w:val="37"/>
  </w:num>
  <w:num w:numId="28">
    <w:abstractNumId w:val="27"/>
  </w:num>
  <w:num w:numId="29">
    <w:abstractNumId w:val="20"/>
  </w:num>
  <w:num w:numId="30">
    <w:abstractNumId w:val="19"/>
  </w:num>
  <w:num w:numId="31">
    <w:abstractNumId w:val="19"/>
  </w:num>
  <w:num w:numId="32">
    <w:abstractNumId w:val="19"/>
  </w:num>
  <w:num w:numId="33">
    <w:abstractNumId w:val="24"/>
  </w:num>
  <w:num w:numId="34">
    <w:abstractNumId w:val="14"/>
  </w:num>
  <w:num w:numId="35">
    <w:abstractNumId w:val="24"/>
  </w:num>
  <w:num w:numId="36">
    <w:abstractNumId w:val="24"/>
  </w:num>
  <w:num w:numId="37">
    <w:abstractNumId w:val="24"/>
  </w:num>
  <w:num w:numId="38">
    <w:abstractNumId w:val="24"/>
  </w:num>
  <w:num w:numId="39">
    <w:abstractNumId w:val="14"/>
  </w:num>
  <w:num w:numId="40">
    <w:abstractNumId w:val="30"/>
  </w:num>
  <w:num w:numId="41">
    <w:abstractNumId w:val="28"/>
  </w:num>
  <w:num w:numId="42">
    <w:abstractNumId w:val="11"/>
  </w:num>
  <w:num w:numId="43">
    <w:abstractNumId w:val="29"/>
  </w:num>
  <w:num w:numId="44">
    <w:abstractNumId w:val="16"/>
  </w:num>
  <w:num w:numId="45">
    <w:abstractNumId w:val="15"/>
  </w:num>
  <w:num w:numId="46">
    <w:abstractNumId w:val="1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B2"/>
    <w:rsid w:val="00004C5D"/>
    <w:rsid w:val="00052CDD"/>
    <w:rsid w:val="00053BF4"/>
    <w:rsid w:val="000572FC"/>
    <w:rsid w:val="00064F49"/>
    <w:rsid w:val="0008061C"/>
    <w:rsid w:val="00090A3E"/>
    <w:rsid w:val="000B25CE"/>
    <w:rsid w:val="000B5590"/>
    <w:rsid w:val="000B5A54"/>
    <w:rsid w:val="000D23D4"/>
    <w:rsid w:val="000D2839"/>
    <w:rsid w:val="000E0645"/>
    <w:rsid w:val="000E1511"/>
    <w:rsid w:val="000E303D"/>
    <w:rsid w:val="000F5663"/>
    <w:rsid w:val="000F6396"/>
    <w:rsid w:val="000F6C27"/>
    <w:rsid w:val="0010212B"/>
    <w:rsid w:val="00103B9F"/>
    <w:rsid w:val="00106BCC"/>
    <w:rsid w:val="00115E70"/>
    <w:rsid w:val="0012501B"/>
    <w:rsid w:val="001257FB"/>
    <w:rsid w:val="00131645"/>
    <w:rsid w:val="00141128"/>
    <w:rsid w:val="00146232"/>
    <w:rsid w:val="00152FBA"/>
    <w:rsid w:val="001572F5"/>
    <w:rsid w:val="00174861"/>
    <w:rsid w:val="001836F5"/>
    <w:rsid w:val="00183A18"/>
    <w:rsid w:val="0019120F"/>
    <w:rsid w:val="00195B99"/>
    <w:rsid w:val="001A7FD3"/>
    <w:rsid w:val="001D364C"/>
    <w:rsid w:val="001D5F91"/>
    <w:rsid w:val="001E6796"/>
    <w:rsid w:val="001F5549"/>
    <w:rsid w:val="00205084"/>
    <w:rsid w:val="002136D7"/>
    <w:rsid w:val="002248F4"/>
    <w:rsid w:val="002313A7"/>
    <w:rsid w:val="00235A5B"/>
    <w:rsid w:val="00243981"/>
    <w:rsid w:val="00276705"/>
    <w:rsid w:val="00285713"/>
    <w:rsid w:val="002A35CD"/>
    <w:rsid w:val="002C07EB"/>
    <w:rsid w:val="002D19D0"/>
    <w:rsid w:val="002D79EE"/>
    <w:rsid w:val="002F2CAA"/>
    <w:rsid w:val="002F46D6"/>
    <w:rsid w:val="00317852"/>
    <w:rsid w:val="003211D0"/>
    <w:rsid w:val="003220BF"/>
    <w:rsid w:val="00334037"/>
    <w:rsid w:val="003713E6"/>
    <w:rsid w:val="003774D5"/>
    <w:rsid w:val="00384774"/>
    <w:rsid w:val="00395F26"/>
    <w:rsid w:val="003A0D0E"/>
    <w:rsid w:val="003B00A2"/>
    <w:rsid w:val="003C4162"/>
    <w:rsid w:val="003C77F3"/>
    <w:rsid w:val="003D5691"/>
    <w:rsid w:val="003F10D6"/>
    <w:rsid w:val="003F1FE9"/>
    <w:rsid w:val="004016D1"/>
    <w:rsid w:val="0040196E"/>
    <w:rsid w:val="00406C3D"/>
    <w:rsid w:val="00406DDA"/>
    <w:rsid w:val="00413611"/>
    <w:rsid w:val="00413C4E"/>
    <w:rsid w:val="00415CDA"/>
    <w:rsid w:val="00417966"/>
    <w:rsid w:val="00430EDA"/>
    <w:rsid w:val="004538B9"/>
    <w:rsid w:val="004612EB"/>
    <w:rsid w:val="00471BEF"/>
    <w:rsid w:val="0047212C"/>
    <w:rsid w:val="00472C0E"/>
    <w:rsid w:val="00497839"/>
    <w:rsid w:val="004A60E2"/>
    <w:rsid w:val="004B5A06"/>
    <w:rsid w:val="004B627A"/>
    <w:rsid w:val="004C21D3"/>
    <w:rsid w:val="004D12E5"/>
    <w:rsid w:val="004D161A"/>
    <w:rsid w:val="004D1D09"/>
    <w:rsid w:val="004E4E8E"/>
    <w:rsid w:val="004F7D22"/>
    <w:rsid w:val="00500E35"/>
    <w:rsid w:val="00500F92"/>
    <w:rsid w:val="0050450D"/>
    <w:rsid w:val="00504935"/>
    <w:rsid w:val="00506ABD"/>
    <w:rsid w:val="00513EC7"/>
    <w:rsid w:val="00520912"/>
    <w:rsid w:val="00521377"/>
    <w:rsid w:val="00521A02"/>
    <w:rsid w:val="00524F99"/>
    <w:rsid w:val="00535CD6"/>
    <w:rsid w:val="005372D2"/>
    <w:rsid w:val="00543A4A"/>
    <w:rsid w:val="00550FCC"/>
    <w:rsid w:val="005624F1"/>
    <w:rsid w:val="00563729"/>
    <w:rsid w:val="00565D36"/>
    <w:rsid w:val="005718D7"/>
    <w:rsid w:val="005915F6"/>
    <w:rsid w:val="00594CB7"/>
    <w:rsid w:val="00596EDD"/>
    <w:rsid w:val="005A1B1B"/>
    <w:rsid w:val="005B5DEF"/>
    <w:rsid w:val="005B7C64"/>
    <w:rsid w:val="005C658E"/>
    <w:rsid w:val="005E1BC9"/>
    <w:rsid w:val="005F0168"/>
    <w:rsid w:val="005F586A"/>
    <w:rsid w:val="005F5D78"/>
    <w:rsid w:val="00612662"/>
    <w:rsid w:val="006219DA"/>
    <w:rsid w:val="00631760"/>
    <w:rsid w:val="006350B7"/>
    <w:rsid w:val="006469F3"/>
    <w:rsid w:val="0065420F"/>
    <w:rsid w:val="00672872"/>
    <w:rsid w:val="00683852"/>
    <w:rsid w:val="006A2316"/>
    <w:rsid w:val="006A529F"/>
    <w:rsid w:val="006A7B1F"/>
    <w:rsid w:val="006B7A84"/>
    <w:rsid w:val="006B7BE2"/>
    <w:rsid w:val="006C0613"/>
    <w:rsid w:val="006C3BE2"/>
    <w:rsid w:val="006D0307"/>
    <w:rsid w:val="006F1D40"/>
    <w:rsid w:val="00705B9D"/>
    <w:rsid w:val="007134CF"/>
    <w:rsid w:val="00715370"/>
    <w:rsid w:val="00734470"/>
    <w:rsid w:val="00741E5A"/>
    <w:rsid w:val="00743995"/>
    <w:rsid w:val="00762A13"/>
    <w:rsid w:val="00770643"/>
    <w:rsid w:val="0078130A"/>
    <w:rsid w:val="00794A50"/>
    <w:rsid w:val="007A2C04"/>
    <w:rsid w:val="007B67FD"/>
    <w:rsid w:val="007D671A"/>
    <w:rsid w:val="007E1A7A"/>
    <w:rsid w:val="00811B08"/>
    <w:rsid w:val="00813F12"/>
    <w:rsid w:val="008176A6"/>
    <w:rsid w:val="008220D7"/>
    <w:rsid w:val="008367DC"/>
    <w:rsid w:val="00841A00"/>
    <w:rsid w:val="008726DA"/>
    <w:rsid w:val="008762AA"/>
    <w:rsid w:val="008847F2"/>
    <w:rsid w:val="008876B2"/>
    <w:rsid w:val="00890225"/>
    <w:rsid w:val="008A2400"/>
    <w:rsid w:val="008A4271"/>
    <w:rsid w:val="008B6F84"/>
    <w:rsid w:val="00902A11"/>
    <w:rsid w:val="009150E1"/>
    <w:rsid w:val="00915F66"/>
    <w:rsid w:val="00925B4F"/>
    <w:rsid w:val="009400C9"/>
    <w:rsid w:val="00954BE4"/>
    <w:rsid w:val="009768D7"/>
    <w:rsid w:val="00990975"/>
    <w:rsid w:val="009A7BE1"/>
    <w:rsid w:val="009C3B02"/>
    <w:rsid w:val="009E3455"/>
    <w:rsid w:val="009E5841"/>
    <w:rsid w:val="009F5AAA"/>
    <w:rsid w:val="00A06568"/>
    <w:rsid w:val="00A32599"/>
    <w:rsid w:val="00A41982"/>
    <w:rsid w:val="00A57F5B"/>
    <w:rsid w:val="00A61B8E"/>
    <w:rsid w:val="00AA2D83"/>
    <w:rsid w:val="00AB121D"/>
    <w:rsid w:val="00AB1458"/>
    <w:rsid w:val="00B057CB"/>
    <w:rsid w:val="00B15A6E"/>
    <w:rsid w:val="00B305DD"/>
    <w:rsid w:val="00B529FF"/>
    <w:rsid w:val="00B77F9F"/>
    <w:rsid w:val="00B80AB2"/>
    <w:rsid w:val="00B86CD2"/>
    <w:rsid w:val="00BA7E64"/>
    <w:rsid w:val="00BB4D6D"/>
    <w:rsid w:val="00BC6A56"/>
    <w:rsid w:val="00BD3DF5"/>
    <w:rsid w:val="00BD5EA0"/>
    <w:rsid w:val="00C05C6E"/>
    <w:rsid w:val="00C0625A"/>
    <w:rsid w:val="00C1081A"/>
    <w:rsid w:val="00C12FE5"/>
    <w:rsid w:val="00C21A1E"/>
    <w:rsid w:val="00C22A89"/>
    <w:rsid w:val="00C258FB"/>
    <w:rsid w:val="00C31F9B"/>
    <w:rsid w:val="00C34DD2"/>
    <w:rsid w:val="00C5466E"/>
    <w:rsid w:val="00C95495"/>
    <w:rsid w:val="00CA081B"/>
    <w:rsid w:val="00CA722F"/>
    <w:rsid w:val="00CB41F1"/>
    <w:rsid w:val="00CB65E7"/>
    <w:rsid w:val="00CB6D6C"/>
    <w:rsid w:val="00CD171E"/>
    <w:rsid w:val="00CD2637"/>
    <w:rsid w:val="00CD6DDF"/>
    <w:rsid w:val="00CE43A8"/>
    <w:rsid w:val="00CE4882"/>
    <w:rsid w:val="00D438E9"/>
    <w:rsid w:val="00D631CC"/>
    <w:rsid w:val="00D7706E"/>
    <w:rsid w:val="00D874DB"/>
    <w:rsid w:val="00D974D1"/>
    <w:rsid w:val="00DB5874"/>
    <w:rsid w:val="00DD3A07"/>
    <w:rsid w:val="00DD555A"/>
    <w:rsid w:val="00DF2B08"/>
    <w:rsid w:val="00DF7C00"/>
    <w:rsid w:val="00E1322B"/>
    <w:rsid w:val="00E165D2"/>
    <w:rsid w:val="00E168E3"/>
    <w:rsid w:val="00E213C5"/>
    <w:rsid w:val="00E26087"/>
    <w:rsid w:val="00E26834"/>
    <w:rsid w:val="00E2701E"/>
    <w:rsid w:val="00E4699B"/>
    <w:rsid w:val="00E62C56"/>
    <w:rsid w:val="00E632A2"/>
    <w:rsid w:val="00E64EFF"/>
    <w:rsid w:val="00E924EF"/>
    <w:rsid w:val="00E93B9C"/>
    <w:rsid w:val="00EA0274"/>
    <w:rsid w:val="00EC674E"/>
    <w:rsid w:val="00EF2D69"/>
    <w:rsid w:val="00F23B80"/>
    <w:rsid w:val="00F23BD7"/>
    <w:rsid w:val="00F245CD"/>
    <w:rsid w:val="00F279CA"/>
    <w:rsid w:val="00F358D1"/>
    <w:rsid w:val="00F52B23"/>
    <w:rsid w:val="00F53FF2"/>
    <w:rsid w:val="00F6070C"/>
    <w:rsid w:val="00F710DF"/>
    <w:rsid w:val="00F7229B"/>
    <w:rsid w:val="00F73DA5"/>
    <w:rsid w:val="00F753C6"/>
    <w:rsid w:val="00F75B78"/>
    <w:rsid w:val="00F931F3"/>
    <w:rsid w:val="00FA5D07"/>
    <w:rsid w:val="00FB32A8"/>
    <w:rsid w:val="00FC3BD8"/>
    <w:rsid w:val="00FF14EC"/>
    <w:rsid w:val="00FF20A2"/>
    <w:rsid w:val="00FF5F43"/>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AA2D83"/>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AA2D83"/>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AA2D83"/>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AA2D83"/>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623">
      <w:bodyDiv w:val="1"/>
      <w:marLeft w:val="0"/>
      <w:marRight w:val="0"/>
      <w:marTop w:val="0"/>
      <w:marBottom w:val="0"/>
      <w:divBdr>
        <w:top w:val="none" w:sz="0" w:space="0" w:color="auto"/>
        <w:left w:val="none" w:sz="0" w:space="0" w:color="auto"/>
        <w:bottom w:val="none" w:sz="0" w:space="0" w:color="auto"/>
        <w:right w:val="none" w:sz="0" w:space="0" w:color="auto"/>
      </w:divBdr>
    </w:div>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'!$L$18:$S$18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'!$L$19:$S$19</c:f>
              <c:numCache>
                <c:formatCode>0.0%</c:formatCode>
                <c:ptCount val="8"/>
                <c:pt idx="0">
                  <c:v>0.87571428571428567</c:v>
                </c:pt>
                <c:pt idx="1">
                  <c:v>0.88571428571428568</c:v>
                </c:pt>
                <c:pt idx="2">
                  <c:v>0.87142857142857144</c:v>
                </c:pt>
                <c:pt idx="3">
                  <c:v>0.87142857142857144</c:v>
                </c:pt>
                <c:pt idx="4">
                  <c:v>0.88571428571428568</c:v>
                </c:pt>
                <c:pt idx="5">
                  <c:v>0.77142857142857146</c:v>
                </c:pt>
                <c:pt idx="6">
                  <c:v>0.4</c:v>
                </c:pt>
                <c:pt idx="7">
                  <c:v>0.79142857142857148</c:v>
                </c:pt>
              </c:numCache>
            </c:numRef>
          </c:val>
        </c:ser>
        <c:dLbls>
          <c:showLegendKey val="0"/>
          <c:showVal val="0"/>
          <c:showCatName val="0"/>
          <c:showSerName val="0"/>
          <c:showPercent val="0"/>
          <c:showBubbleSize val="0"/>
        </c:dLbls>
        <c:gapWidth val="150"/>
        <c:axId val="131611648"/>
        <c:axId val="131613824"/>
      </c:barChart>
      <c:catAx>
        <c:axId val="131611648"/>
        <c:scaling>
          <c:orientation val="minMax"/>
        </c:scaling>
        <c:delete val="0"/>
        <c:axPos val="b"/>
        <c:majorTickMark val="out"/>
        <c:minorTickMark val="none"/>
        <c:tickLblPos val="nextTo"/>
        <c:crossAx val="131613824"/>
        <c:crosses val="autoZero"/>
        <c:auto val="1"/>
        <c:lblAlgn val="ctr"/>
        <c:lblOffset val="100"/>
        <c:noMultiLvlLbl val="0"/>
      </c:catAx>
      <c:valAx>
        <c:axId val="131613824"/>
        <c:scaling>
          <c:orientation val="minMax"/>
          <c:max val="1"/>
        </c:scaling>
        <c:delete val="0"/>
        <c:axPos val="l"/>
        <c:numFmt formatCode="0%" sourceLinked="0"/>
        <c:majorTickMark val="out"/>
        <c:minorTickMark val="none"/>
        <c:tickLblPos val="nextTo"/>
        <c:crossAx val="131611648"/>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'!$L$39:$S$39</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'!$L$40:$S$40</c:f>
              <c:numCache>
                <c:formatCode>0.0%</c:formatCode>
                <c:ptCount val="8"/>
                <c:pt idx="0">
                  <c:v>0.78026666666666666</c:v>
                </c:pt>
                <c:pt idx="1">
                  <c:v>0.69523809523809521</c:v>
                </c:pt>
                <c:pt idx="2">
                  <c:v>0.77619047619047621</c:v>
                </c:pt>
                <c:pt idx="3">
                  <c:v>0.68571428571428572</c:v>
                </c:pt>
                <c:pt idx="4">
                  <c:v>0.7857142857142857</c:v>
                </c:pt>
                <c:pt idx="5">
                  <c:v>0.73333333333333328</c:v>
                </c:pt>
                <c:pt idx="6">
                  <c:v>0.66190476190476188</c:v>
                </c:pt>
                <c:pt idx="7">
                  <c:v>0.73119455782312925</c:v>
                </c:pt>
              </c:numCache>
            </c:numRef>
          </c:val>
        </c:ser>
        <c:dLbls>
          <c:showLegendKey val="0"/>
          <c:showVal val="0"/>
          <c:showCatName val="0"/>
          <c:showSerName val="0"/>
          <c:showPercent val="0"/>
          <c:showBubbleSize val="0"/>
        </c:dLbls>
        <c:gapWidth val="150"/>
        <c:axId val="200018944"/>
        <c:axId val="201041408"/>
      </c:barChart>
      <c:catAx>
        <c:axId val="200018944"/>
        <c:scaling>
          <c:orientation val="minMax"/>
        </c:scaling>
        <c:delete val="0"/>
        <c:axPos val="b"/>
        <c:majorTickMark val="out"/>
        <c:minorTickMark val="none"/>
        <c:tickLblPos val="nextTo"/>
        <c:crossAx val="201041408"/>
        <c:crosses val="autoZero"/>
        <c:auto val="1"/>
        <c:lblAlgn val="ctr"/>
        <c:lblOffset val="100"/>
        <c:noMultiLvlLbl val="0"/>
      </c:catAx>
      <c:valAx>
        <c:axId val="201041408"/>
        <c:scaling>
          <c:orientation val="minMax"/>
          <c:max val="1"/>
        </c:scaling>
        <c:delete val="0"/>
        <c:axPos val="l"/>
        <c:numFmt formatCode="0%" sourceLinked="0"/>
        <c:majorTickMark val="out"/>
        <c:minorTickMark val="none"/>
        <c:tickLblPos val="nextTo"/>
        <c:crossAx val="200018944"/>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'!$B$20:$I$20</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'!$B$21:$I$21</c:f>
              <c:numCache>
                <c:formatCode>0.0%</c:formatCode>
                <c:ptCount val="8"/>
                <c:pt idx="0">
                  <c:v>0.81844571428571422</c:v>
                </c:pt>
                <c:pt idx="1">
                  <c:v>0.77142857142857146</c:v>
                </c:pt>
                <c:pt idx="2">
                  <c:v>0.81428571428571428</c:v>
                </c:pt>
                <c:pt idx="3">
                  <c:v>0.76</c:v>
                </c:pt>
                <c:pt idx="4">
                  <c:v>0.82571428571428573</c:v>
                </c:pt>
                <c:pt idx="5">
                  <c:v>0.74857142857142855</c:v>
                </c:pt>
                <c:pt idx="6">
                  <c:v>0.55714285714285716</c:v>
                </c:pt>
                <c:pt idx="7">
                  <c:v>0.75651265306122439</c:v>
                </c:pt>
              </c:numCache>
            </c:numRef>
          </c:val>
        </c:ser>
        <c:dLbls>
          <c:showLegendKey val="0"/>
          <c:showVal val="0"/>
          <c:showCatName val="0"/>
          <c:showSerName val="0"/>
          <c:showPercent val="0"/>
          <c:showBubbleSize val="0"/>
        </c:dLbls>
        <c:gapWidth val="150"/>
        <c:axId val="11242496"/>
        <c:axId val="198604672"/>
      </c:barChart>
      <c:catAx>
        <c:axId val="11242496"/>
        <c:scaling>
          <c:orientation val="minMax"/>
        </c:scaling>
        <c:delete val="0"/>
        <c:axPos val="b"/>
        <c:majorTickMark val="out"/>
        <c:minorTickMark val="none"/>
        <c:tickLblPos val="nextTo"/>
        <c:crossAx val="198604672"/>
        <c:crosses val="autoZero"/>
        <c:auto val="1"/>
        <c:lblAlgn val="ctr"/>
        <c:lblOffset val="100"/>
        <c:noMultiLvlLbl val="0"/>
      </c:catAx>
      <c:valAx>
        <c:axId val="198604672"/>
        <c:scaling>
          <c:orientation val="minMax"/>
          <c:max val="1"/>
        </c:scaling>
        <c:delete val="0"/>
        <c:axPos val="l"/>
        <c:numFmt formatCode="0%" sourceLinked="0"/>
        <c:majorTickMark val="out"/>
        <c:minorTickMark val="none"/>
        <c:tickLblPos val="nextTo"/>
        <c:crossAx val="11242496"/>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spPr>
            <a:solidFill>
              <a:srgbClr val="438086"/>
            </a:solidFill>
          </c:spPr>
          <c:invertIfNegative val="0"/>
          <c:dLbls>
            <c:showLegendKey val="0"/>
            <c:showVal val="1"/>
            <c:showCatName val="0"/>
            <c:showSerName val="0"/>
            <c:showPercent val="0"/>
            <c:showBubbleSize val="0"/>
            <c:showLeaderLines val="0"/>
          </c:dLbls>
          <c:cat>
            <c:strRef>
              <c:f>Global!$B$2:$I$2</c:f>
              <c:strCache>
                <c:ptCount val="8"/>
                <c:pt idx="0">
                  <c:v> información en curso de elaboración o de publicación general</c:v>
                </c:pt>
                <c:pt idx="1">
                  <c:v> información auxiliar o de apoyo</c:v>
                </c:pt>
                <c:pt idx="2">
                  <c:v> acción previa de reelaboración</c:v>
                </c:pt>
                <c:pt idx="3">
                  <c:v> órgano no competente y desconocimiento del competente</c:v>
                </c:pt>
                <c:pt idx="4">
                  <c:v> solicitud repetitiva o abusiva</c:v>
                </c:pt>
                <c:pt idx="5">
                  <c:v>interesados en un procedimiento administrativo en curso sobre documentos que se integren en el mismo</c:v>
                </c:pt>
                <c:pt idx="6">
                  <c:v>régimen específico de acceso a la información.</c:v>
                </c:pt>
                <c:pt idx="7">
                  <c:v> Otras causas.</c:v>
                </c:pt>
              </c:strCache>
            </c:strRef>
          </c:cat>
          <c:val>
            <c:numRef>
              <c:f>Global!$B$5:$I$5</c:f>
              <c:numCache>
                <c:formatCode>0.0%</c:formatCode>
                <c:ptCount val="8"/>
                <c:pt idx="0">
                  <c:v>1.7543859649122806E-2</c:v>
                </c:pt>
                <c:pt idx="1">
                  <c:v>0</c:v>
                </c:pt>
                <c:pt idx="2">
                  <c:v>0</c:v>
                </c:pt>
                <c:pt idx="3">
                  <c:v>5.2631578947368418E-2</c:v>
                </c:pt>
                <c:pt idx="4">
                  <c:v>0.42105263157894735</c:v>
                </c:pt>
                <c:pt idx="5">
                  <c:v>0</c:v>
                </c:pt>
                <c:pt idx="6">
                  <c:v>0.31578947368421051</c:v>
                </c:pt>
                <c:pt idx="7">
                  <c:v>0.19298245614035087</c:v>
                </c:pt>
              </c:numCache>
            </c:numRef>
          </c:val>
        </c:ser>
        <c:dLbls>
          <c:showLegendKey val="0"/>
          <c:showVal val="0"/>
          <c:showCatName val="0"/>
          <c:showSerName val="0"/>
          <c:showPercent val="0"/>
          <c:showBubbleSize val="0"/>
        </c:dLbls>
        <c:gapWidth val="150"/>
        <c:axId val="11294208"/>
        <c:axId val="11295744"/>
      </c:barChart>
      <c:catAx>
        <c:axId val="11294208"/>
        <c:scaling>
          <c:orientation val="minMax"/>
        </c:scaling>
        <c:delete val="0"/>
        <c:axPos val="b"/>
        <c:majorTickMark val="out"/>
        <c:minorTickMark val="none"/>
        <c:tickLblPos val="nextTo"/>
        <c:crossAx val="11295744"/>
        <c:crosses val="autoZero"/>
        <c:auto val="1"/>
        <c:lblAlgn val="ctr"/>
        <c:lblOffset val="100"/>
        <c:noMultiLvlLbl val="0"/>
      </c:catAx>
      <c:valAx>
        <c:axId val="11295744"/>
        <c:scaling>
          <c:orientation val="minMax"/>
          <c:max val="1"/>
        </c:scaling>
        <c:delete val="0"/>
        <c:axPos val="l"/>
        <c:numFmt formatCode="0%" sourceLinked="0"/>
        <c:majorTickMark val="out"/>
        <c:minorTickMark val="none"/>
        <c:tickLblPos val="nextTo"/>
        <c:crossAx val="11294208"/>
        <c:crosses val="autoZero"/>
        <c:crossBetween val="between"/>
        <c:majorUnit val="0.2"/>
      </c:valAx>
    </c:plotArea>
    <c:plotVisOnly val="1"/>
    <c:dispBlanksAs val="gap"/>
    <c:showDLblsOverMax val="0"/>
  </c:chart>
  <c:txPr>
    <a:bodyPr/>
    <a:lstStyle/>
    <a:p>
      <a:pPr>
        <a:defRPr sz="800">
          <a:latin typeface="Century Gothic" pitchFamily="34"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strRef>
              <c:f>Global!$B$53:$B$62</c:f>
              <c:strCache>
                <c:ptCount val="10"/>
                <c:pt idx="0">
                  <c:v>email</c:v>
                </c:pt>
                <c:pt idx="1">
                  <c:v>web/portal</c:v>
                </c:pt>
                <c:pt idx="2">
                  <c:v>sede electrónica</c:v>
                </c:pt>
                <c:pt idx="3">
                  <c:v>registros</c:v>
                </c:pt>
                <c:pt idx="4">
                  <c:v>presencial</c:v>
                </c:pt>
                <c:pt idx="5">
                  <c:v>teléfono</c:v>
                </c:pt>
                <c:pt idx="6">
                  <c:v>fax</c:v>
                </c:pt>
                <c:pt idx="7">
                  <c:v>correo postal</c:v>
                </c:pt>
                <c:pt idx="8">
                  <c:v>Oficinas de correos</c:v>
                </c:pt>
                <c:pt idx="9">
                  <c:v>consulados</c:v>
                </c:pt>
              </c:strCache>
            </c:strRef>
          </c:cat>
          <c:val>
            <c:numRef>
              <c:f>Global!$D$53:$D$62</c:f>
              <c:numCache>
                <c:formatCode>0.0%</c:formatCode>
                <c:ptCount val="10"/>
                <c:pt idx="0">
                  <c:v>0.21212121212121213</c:v>
                </c:pt>
                <c:pt idx="1">
                  <c:v>0.18181818181818182</c:v>
                </c:pt>
                <c:pt idx="2">
                  <c:v>3.0303030303030304E-2</c:v>
                </c:pt>
                <c:pt idx="3">
                  <c:v>6.0606060606060608E-2</c:v>
                </c:pt>
                <c:pt idx="4">
                  <c:v>0.12121212121212122</c:v>
                </c:pt>
                <c:pt idx="5">
                  <c:v>9.0909090909090912E-2</c:v>
                </c:pt>
                <c:pt idx="6">
                  <c:v>6.0606060606060608E-2</c:v>
                </c:pt>
                <c:pt idx="7">
                  <c:v>0.18181818181818182</c:v>
                </c:pt>
                <c:pt idx="8">
                  <c:v>3.0303030303030304E-2</c:v>
                </c:pt>
                <c:pt idx="9">
                  <c:v>3.0303030303030304E-2</c:v>
                </c:pt>
              </c:numCache>
            </c:numRef>
          </c:val>
        </c:ser>
        <c:dLbls>
          <c:showLegendKey val="0"/>
          <c:showVal val="0"/>
          <c:showCatName val="0"/>
          <c:showSerName val="0"/>
          <c:showPercent val="0"/>
          <c:showBubbleSize val="0"/>
        </c:dLbls>
        <c:gapWidth val="150"/>
        <c:axId val="161228672"/>
        <c:axId val="161230208"/>
      </c:barChart>
      <c:catAx>
        <c:axId val="161228672"/>
        <c:scaling>
          <c:orientation val="minMax"/>
        </c:scaling>
        <c:delete val="0"/>
        <c:axPos val="b"/>
        <c:majorTickMark val="out"/>
        <c:minorTickMark val="none"/>
        <c:tickLblPos val="nextTo"/>
        <c:crossAx val="161230208"/>
        <c:crosses val="autoZero"/>
        <c:auto val="1"/>
        <c:lblAlgn val="ctr"/>
        <c:lblOffset val="100"/>
        <c:noMultiLvlLbl val="0"/>
      </c:catAx>
      <c:valAx>
        <c:axId val="161230208"/>
        <c:scaling>
          <c:orientation val="minMax"/>
          <c:max val="0.5"/>
          <c:min val="0"/>
        </c:scaling>
        <c:delete val="0"/>
        <c:axPos val="l"/>
        <c:numFmt formatCode="0%" sourceLinked="0"/>
        <c:majorTickMark val="out"/>
        <c:minorTickMark val="none"/>
        <c:tickLblPos val="nextTo"/>
        <c:crossAx val="161228672"/>
        <c:crosses val="autoZero"/>
        <c:crossBetween val="between"/>
        <c:majorUnit val="0.1"/>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numRef>
              <c:f>Global!$C$70:$C$76</c:f>
              <c:numCache>
                <c:formatCode>General</c:formatCode>
                <c:ptCount val="7"/>
                <c:pt idx="0">
                  <c:v>0</c:v>
                </c:pt>
                <c:pt idx="1">
                  <c:v>1</c:v>
                </c:pt>
                <c:pt idx="2">
                  <c:v>2</c:v>
                </c:pt>
                <c:pt idx="3">
                  <c:v>3</c:v>
                </c:pt>
                <c:pt idx="4">
                  <c:v>4</c:v>
                </c:pt>
                <c:pt idx="5">
                  <c:v>5</c:v>
                </c:pt>
                <c:pt idx="6">
                  <c:v>7</c:v>
                </c:pt>
              </c:numCache>
            </c:numRef>
          </c:cat>
          <c:val>
            <c:numRef>
              <c:f>Global!$D$70:$D$76</c:f>
              <c:numCache>
                <c:formatCode>###0.0</c:formatCode>
                <c:ptCount val="7"/>
                <c:pt idx="0">
                  <c:v>10</c:v>
                </c:pt>
                <c:pt idx="1">
                  <c:v>20</c:v>
                </c:pt>
                <c:pt idx="2">
                  <c:v>10</c:v>
                </c:pt>
                <c:pt idx="3">
                  <c:v>10</c:v>
                </c:pt>
                <c:pt idx="4">
                  <c:v>30</c:v>
                </c:pt>
                <c:pt idx="5">
                  <c:v>10</c:v>
                </c:pt>
                <c:pt idx="6">
                  <c:v>10</c:v>
                </c:pt>
              </c:numCache>
            </c:numRef>
          </c:val>
        </c:ser>
        <c:dLbls>
          <c:showLegendKey val="0"/>
          <c:showVal val="0"/>
          <c:showCatName val="0"/>
          <c:showSerName val="0"/>
          <c:showPercent val="0"/>
          <c:showBubbleSize val="0"/>
        </c:dLbls>
        <c:gapWidth val="150"/>
        <c:axId val="161287552"/>
        <c:axId val="161293440"/>
      </c:barChart>
      <c:catAx>
        <c:axId val="161287552"/>
        <c:scaling>
          <c:orientation val="minMax"/>
        </c:scaling>
        <c:delete val="0"/>
        <c:axPos val="b"/>
        <c:numFmt formatCode="General" sourceLinked="1"/>
        <c:majorTickMark val="out"/>
        <c:minorTickMark val="none"/>
        <c:tickLblPos val="nextTo"/>
        <c:crossAx val="161293440"/>
        <c:crosses val="autoZero"/>
        <c:auto val="1"/>
        <c:lblAlgn val="ctr"/>
        <c:lblOffset val="100"/>
        <c:noMultiLvlLbl val="0"/>
      </c:catAx>
      <c:valAx>
        <c:axId val="161293440"/>
        <c:scaling>
          <c:orientation val="minMax"/>
          <c:max val="50"/>
        </c:scaling>
        <c:delete val="0"/>
        <c:axPos val="l"/>
        <c:numFmt formatCode="###0.0" sourceLinked="1"/>
        <c:majorTickMark val="out"/>
        <c:minorTickMark val="none"/>
        <c:tickLblPos val="nextTo"/>
        <c:crossAx val="161287552"/>
        <c:crosses val="autoZero"/>
        <c:crossBetween val="between"/>
        <c:majorUnit val="10"/>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A1AEB8DF-6BF9-4404-9434-A2445817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515</TotalTime>
  <Pages>28</Pages>
  <Words>8221</Words>
  <Characters>45220</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los Órganos Constitucionales y de relevancia constitucional</vt:lpstr>
      <vt:lpstr/>
    </vt:vector>
  </TitlesOfParts>
  <Company>SGAD</Company>
  <LinksUpToDate>false</LinksUpToDate>
  <CharactersWithSpaces>53335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los Órganos Constitucionales y de relevancia constitucional</dc:title>
  <dc:subject>Evaluaciones 2021.CTBG</dc:subject>
  <dc:creator>CTBG. Subdirección General de Transparencia y Buen Gobierno. </dc:creator>
  <cp:lastModifiedBy>anam.ruiz</cp:lastModifiedBy>
  <cp:revision>11</cp:revision>
  <dcterms:created xsi:type="dcterms:W3CDTF">2021-04-14T07:09:00Z</dcterms:created>
  <dcterms:modified xsi:type="dcterms:W3CDTF">2021-04-28T09:19:00Z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