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433" w:rsidRDefault="009D11A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B9643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B9643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B9643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Autoridad Independiente de Responsabilidad Fiscal (AIREF) </w:t>
                                </w:r>
                              </w:sdtContent>
                            </w:sdt>
                            <w:r w:rsidR="00B96433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B96433" w:rsidRDefault="00F175C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B9643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B9643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B9643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Autoridad Independiente de Responsabilidad Fiscal (AIREF) </w:t>
                          </w:r>
                        </w:sdtContent>
                      </w:sdt>
                      <w:r w:rsidR="00B96433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96433" w:rsidRDefault="00B9643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B96433" w:rsidRDefault="00B9643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D11A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3D766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3D766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3D766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295A12" w:rsidRPr="007465AA" w:rsidTr="007465AA">
        <w:tc>
          <w:tcPr>
            <w:tcW w:w="1668" w:type="dxa"/>
            <w:vMerge w:val="restart"/>
            <w:vAlign w:val="center"/>
          </w:tcPr>
          <w:p w:rsidR="00295A12" w:rsidRPr="007465AA" w:rsidRDefault="00295A12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proofErr w:type="spellStart"/>
            <w:r w:rsidRPr="00295A12">
              <w:rPr>
                <w:sz w:val="18"/>
                <w:szCs w:val="18"/>
              </w:rPr>
              <w:t>Si</w:t>
            </w:r>
            <w:proofErr w:type="spellEnd"/>
            <w:r w:rsidRPr="00295A12">
              <w:rPr>
                <w:sz w:val="18"/>
                <w:szCs w:val="18"/>
              </w:rPr>
              <w:t xml:space="preserve">. Incluido enlace dentro del portal de transparencia. Dentro de </w:t>
            </w:r>
            <w:proofErr w:type="spellStart"/>
            <w:r w:rsidRPr="00295A12">
              <w:rPr>
                <w:sz w:val="18"/>
                <w:szCs w:val="18"/>
              </w:rPr>
              <w:t>Inform.Institucional</w:t>
            </w:r>
            <w:proofErr w:type="spellEnd"/>
          </w:p>
        </w:tc>
      </w:tr>
      <w:tr w:rsidR="00295A12" w:rsidRPr="007465AA" w:rsidTr="007465AA">
        <w:tc>
          <w:tcPr>
            <w:tcW w:w="1668" w:type="dxa"/>
            <w:vMerge/>
            <w:vAlign w:val="center"/>
          </w:tcPr>
          <w:p w:rsidR="00295A12" w:rsidRPr="007465AA" w:rsidRDefault="00295A12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09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A fecha 25.02.21 no se habían producido desistimientos y renuncias</w:t>
            </w:r>
          </w:p>
        </w:tc>
      </w:tr>
      <w:tr w:rsidR="00295A12" w:rsidRPr="007465AA" w:rsidTr="007465AA">
        <w:tc>
          <w:tcPr>
            <w:tcW w:w="1668" w:type="dxa"/>
            <w:vMerge/>
            <w:vAlign w:val="center"/>
          </w:tcPr>
          <w:p w:rsidR="00295A12" w:rsidRPr="007465AA" w:rsidRDefault="00295A12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proofErr w:type="spellStart"/>
            <w:r w:rsidRPr="00295A12">
              <w:rPr>
                <w:sz w:val="18"/>
                <w:szCs w:val="18"/>
              </w:rPr>
              <w:t>Si</w:t>
            </w:r>
            <w:proofErr w:type="spellEnd"/>
            <w:r w:rsidRPr="00295A12">
              <w:rPr>
                <w:sz w:val="18"/>
                <w:szCs w:val="18"/>
              </w:rPr>
              <w:t>. Actualizado a 2021</w:t>
            </w:r>
          </w:p>
        </w:tc>
      </w:tr>
      <w:tr w:rsidR="00295A12" w:rsidRPr="007465AA" w:rsidTr="007465AA">
        <w:tc>
          <w:tcPr>
            <w:tcW w:w="1668" w:type="dxa"/>
            <w:vMerge/>
            <w:vAlign w:val="center"/>
          </w:tcPr>
          <w:p w:rsidR="00295A12" w:rsidRPr="007465AA" w:rsidRDefault="00295A12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Resoluciones de autorización para el ejercicio de actividades privadas al cese de altos cargos</w:t>
            </w:r>
          </w:p>
        </w:tc>
        <w:tc>
          <w:tcPr>
            <w:tcW w:w="709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r w:rsidRPr="00295A12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95A12" w:rsidRPr="00295A12" w:rsidRDefault="00295A12" w:rsidP="0069375E">
            <w:pPr>
              <w:rPr>
                <w:sz w:val="18"/>
                <w:szCs w:val="18"/>
              </w:rPr>
            </w:pPr>
            <w:proofErr w:type="spellStart"/>
            <w:r w:rsidRPr="00295A12">
              <w:rPr>
                <w:sz w:val="18"/>
                <w:szCs w:val="18"/>
              </w:rPr>
              <w:t>Si</w:t>
            </w:r>
            <w:proofErr w:type="spellEnd"/>
            <w:r w:rsidRPr="00295A12">
              <w:rPr>
                <w:sz w:val="18"/>
                <w:szCs w:val="18"/>
              </w:rPr>
              <w:t>. No hay autorizaciones hasta la fecha/No aplica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3D76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3D7667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6B4FA3" w:rsidP="003D76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A86D6D" w:rsidP="003D7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3D7667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6B4FA3" w:rsidP="003D76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3D7667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837A07" w:rsidP="00DF56A7">
      <w:pPr>
        <w:jc w:val="both"/>
      </w:pPr>
      <w:r>
        <w:t>AIREF</w:t>
      </w:r>
      <w:r w:rsidR="00C52EE5">
        <w:t xml:space="preserve"> ha aplicado </w:t>
      </w:r>
      <w:r w:rsidR="00B96433">
        <w:t xml:space="preserve">la totalidad de las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7D01ED" w:rsidRDefault="007D01ED" w:rsidP="00AC4A6F"/>
    <w:p w:rsidR="007D01ED" w:rsidRDefault="007D01ED" w:rsidP="00AC4A6F"/>
    <w:p w:rsidR="007D01ED" w:rsidRDefault="007D01ED" w:rsidP="00AC4A6F"/>
    <w:p w:rsidR="007D01ED" w:rsidRDefault="007D01ED" w:rsidP="00AC4A6F"/>
    <w:p w:rsidR="007D01ED" w:rsidRDefault="007D01ED" w:rsidP="00AC4A6F"/>
    <w:p w:rsidR="007D01ED" w:rsidRDefault="007D01ED" w:rsidP="00AC4A6F"/>
    <w:p w:rsidR="007D01ED" w:rsidRDefault="007D01E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96433" w:rsidRPr="00F31BC3" w:rsidRDefault="00B9643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B96433" w:rsidRPr="00F31BC3" w:rsidRDefault="00B9643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9D11A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772"/>
        <w:gridCol w:w="739"/>
        <w:gridCol w:w="739"/>
        <w:gridCol w:w="739"/>
        <w:gridCol w:w="739"/>
        <w:gridCol w:w="739"/>
        <w:gridCol w:w="739"/>
        <w:gridCol w:w="739"/>
        <w:gridCol w:w="737"/>
      </w:tblGrid>
      <w:tr w:rsidR="007D01ED" w:rsidRPr="007D01ED" w:rsidTr="00BE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3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D01ED" w:rsidRPr="007D01ED" w:rsidTr="007D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97,5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99,6</w:t>
            </w:r>
          </w:p>
        </w:tc>
      </w:tr>
      <w:tr w:rsidR="007D01ED" w:rsidRPr="007D01ED" w:rsidTr="007D01E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7D01ED" w:rsidRPr="007D01ED" w:rsidRDefault="007D01ED" w:rsidP="007D01E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De relevancia jurídica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</w:tr>
      <w:tr w:rsidR="007D01ED" w:rsidRPr="007D01ED" w:rsidTr="007D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</w:tr>
      <w:tr w:rsidR="007D01ED" w:rsidRPr="007D01ED" w:rsidTr="007D01E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</w:tcPr>
          <w:p w:rsidR="007D01ED" w:rsidRPr="007D01ED" w:rsidRDefault="007D01ED" w:rsidP="007D01E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1ED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01ED">
              <w:rPr>
                <w:sz w:val="18"/>
                <w:szCs w:val="18"/>
              </w:rPr>
              <w:t>100,0</w:t>
            </w:r>
          </w:p>
        </w:tc>
      </w:tr>
      <w:tr w:rsidR="007D01ED" w:rsidRPr="007D01ED" w:rsidTr="007D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D01ED" w:rsidRPr="007D01ED" w:rsidRDefault="007D01ED" w:rsidP="007D01ED">
            <w:pPr>
              <w:spacing w:before="120" w:after="120" w:line="312" w:lineRule="auto"/>
              <w:rPr>
                <w:rFonts w:eastAsia="Calibri" w:cs="Calibri"/>
                <w:i/>
                <w:sz w:val="16"/>
                <w:szCs w:val="16"/>
              </w:rPr>
            </w:pPr>
            <w:r w:rsidRPr="007D01E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99,1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D01ED" w:rsidRPr="007D01ED" w:rsidRDefault="007D01ED" w:rsidP="007D0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D01ED">
              <w:rPr>
                <w:b/>
                <w:i/>
                <w:sz w:val="18"/>
                <w:szCs w:val="18"/>
              </w:rPr>
              <w:t>99,9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D01ED">
        <w:rPr>
          <w:lang w:bidi="es-ES"/>
        </w:rPr>
        <w:t>100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7D01ED">
        <w:rPr>
          <w:lang w:bidi="es-ES"/>
        </w:rPr>
        <w:t>11,2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 la aplicación de una de las recomendaciones efectuadas en 202</w:t>
      </w:r>
      <w:r w:rsidR="007D01ED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F175CA" w:rsidRDefault="00F175CA" w:rsidP="00F175CA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>muy positivamente</w:t>
      </w:r>
      <w:r>
        <w:t xml:space="preserve"> </w:t>
      </w:r>
      <w:r w:rsidRPr="00883977">
        <w:t xml:space="preserve">el gran esfuerzo realizado por </w:t>
      </w:r>
      <w:r>
        <w:t>la AIREF</w:t>
      </w:r>
      <w:r w:rsidRPr="00883977">
        <w:t xml:space="preserve"> para mejorar el cumplimiento de las obligaciones de publicidad activa. Se ha aplicado el 100% de las recomendaciones efectuadas, lo que ha tenido un más que notable reflejo en el ICIO alcanzado. Si en la evaluación de 2021 el ICIO se situaba en un </w:t>
      </w:r>
      <w:r>
        <w:t>88,8</w:t>
      </w:r>
      <w:r w:rsidRPr="00883977">
        <w:t xml:space="preserve">%, en 2022 alcanza el 100%, con un incremento de </w:t>
      </w:r>
      <w:r>
        <w:t>más de 11</w:t>
      </w:r>
      <w:r w:rsidRPr="00883977">
        <w:t xml:space="preserve"> puntos porcentuales.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D01ED">
        <w:rPr>
          <w:rFonts w:ascii="Century Gothic" w:hAnsi="Century Gothic"/>
        </w:rPr>
        <w:t xml:space="preserve">febrero </w:t>
      </w:r>
      <w:r>
        <w:rPr>
          <w:rFonts w:ascii="Century Gothic" w:hAnsi="Century Gothic"/>
        </w:rPr>
        <w:t>de 202</w:t>
      </w:r>
      <w:r w:rsidR="007D01ED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96433" w:rsidRPr="00F31BC3" w:rsidRDefault="00B9643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B96433" w:rsidRPr="00F31BC3" w:rsidRDefault="00B9643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96433" w:rsidRPr="00F31BC3" w:rsidRDefault="00B9643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96433" w:rsidRPr="00F31BC3" w:rsidRDefault="00B9643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33" w:rsidRDefault="00B96433" w:rsidP="00F31BC3">
      <w:r>
        <w:separator/>
      </w:r>
    </w:p>
  </w:endnote>
  <w:endnote w:type="continuationSeparator" w:id="0">
    <w:p w:rsidR="00B96433" w:rsidRDefault="00B9643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33" w:rsidRDefault="00B96433" w:rsidP="00F31BC3">
      <w:r>
        <w:separator/>
      </w:r>
    </w:p>
  </w:footnote>
  <w:footnote w:type="continuationSeparator" w:id="0">
    <w:p w:rsidR="00B96433" w:rsidRDefault="00B96433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25DC3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1B54"/>
    <w:rsid w:val="001E5AAD"/>
    <w:rsid w:val="0021682B"/>
    <w:rsid w:val="0021726A"/>
    <w:rsid w:val="00231D61"/>
    <w:rsid w:val="00243294"/>
    <w:rsid w:val="00244EDA"/>
    <w:rsid w:val="002467FA"/>
    <w:rsid w:val="00250846"/>
    <w:rsid w:val="00263F79"/>
    <w:rsid w:val="00295A12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667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0462"/>
    <w:rsid w:val="006B2C2E"/>
    <w:rsid w:val="006B4FA3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01ED"/>
    <w:rsid w:val="007D1701"/>
    <w:rsid w:val="007D5CBF"/>
    <w:rsid w:val="007D69D9"/>
    <w:rsid w:val="007E30B7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37A07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11A8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86D6D"/>
    <w:rsid w:val="00AA0AE1"/>
    <w:rsid w:val="00AA48F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6397C"/>
    <w:rsid w:val="00B77C12"/>
    <w:rsid w:val="00B85EA1"/>
    <w:rsid w:val="00B87734"/>
    <w:rsid w:val="00B96433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175CA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1E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1E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E00CE"/>
    <w:rsid w:val="002D31E2"/>
    <w:rsid w:val="00443EA4"/>
    <w:rsid w:val="00583D19"/>
    <w:rsid w:val="00722728"/>
    <w:rsid w:val="00787EBD"/>
    <w:rsid w:val="007C3485"/>
    <w:rsid w:val="008E118A"/>
    <w:rsid w:val="00913E4B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2BAEC-1FB6-495D-B190-53294F96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689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2022-01-20T13:07:00Z</cp:lastPrinted>
  <dcterms:created xsi:type="dcterms:W3CDTF">2022-02-24T13:20:00Z</dcterms:created>
  <dcterms:modified xsi:type="dcterms:W3CDTF">2022-02-24T13:20:00Z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