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54A" w:rsidRDefault="000A154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Consejo de Seguridad Nuclear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0A154A" w:rsidRDefault="000A154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Consejo de Seguridad Nuclear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54A" w:rsidRDefault="000A154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0A154A" w:rsidRDefault="000A154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C40D00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2C7FA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2C7FA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2C7FA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342DD1" w:rsidP="002C7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05562" w:rsidP="0010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 manteniéndose la misma estructuración de la información.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342DD1" w:rsidP="002C7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105562" w:rsidP="007D3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No, parte de la información </w:t>
            </w:r>
            <w:r w:rsidR="007D382B">
              <w:rPr>
                <w:sz w:val="18"/>
                <w:szCs w:val="18"/>
              </w:rPr>
              <w:t>sigue publicándose al margen del Portal de Transparencia</w:t>
            </w:r>
          </w:p>
        </w:tc>
      </w:tr>
      <w:tr w:rsidR="00D324CF" w:rsidRPr="007465AA" w:rsidTr="007465AA">
        <w:tc>
          <w:tcPr>
            <w:tcW w:w="1668" w:type="dxa"/>
            <w:vMerge w:val="restart"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No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No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7D382B" w:rsidP="00C40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la información no está datada por lo que no es posible saber a qué año se refiere.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Convenios</w:t>
            </w:r>
            <w:r>
              <w:rPr>
                <w:sz w:val="18"/>
                <w:szCs w:val="18"/>
              </w:rPr>
              <w:t>: publicación de convenios sin obligaciones económicas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105562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Si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Subvenciones y ayudas concedidas</w:t>
            </w:r>
            <w:r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proofErr w:type="spellStart"/>
            <w:r w:rsidRPr="00C40D00">
              <w:rPr>
                <w:sz w:val="18"/>
                <w:szCs w:val="18"/>
              </w:rPr>
              <w:t>Si</w:t>
            </w:r>
            <w:proofErr w:type="spellEnd"/>
            <w:r w:rsidRPr="00C40D00">
              <w:rPr>
                <w:sz w:val="18"/>
                <w:szCs w:val="18"/>
              </w:rPr>
              <w:t>. Actualizado a 2021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Presupuesto</w:t>
            </w:r>
            <w:r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7D382B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No</w:t>
            </w:r>
            <w:r w:rsidR="007D382B">
              <w:rPr>
                <w:sz w:val="18"/>
                <w:szCs w:val="18"/>
              </w:rPr>
              <w:t xml:space="preserve">, el último presupuesto publicado corresponde a 2018. </w:t>
            </w:r>
            <w:r w:rsidRPr="00C40D00">
              <w:rPr>
                <w:sz w:val="18"/>
                <w:szCs w:val="18"/>
              </w:rPr>
              <w:t xml:space="preserve"> 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Informes de auditoría y fiscalización</w:t>
            </w:r>
            <w:r>
              <w:rPr>
                <w:sz w:val="18"/>
                <w:szCs w:val="18"/>
              </w:rPr>
              <w:t>: publicación de informes del TCU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D324CF" w:rsidP="007D382B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 xml:space="preserve">No aparece </w:t>
            </w:r>
            <w:r w:rsidR="007D382B" w:rsidRPr="007D382B">
              <w:rPr>
                <w:sz w:val="18"/>
                <w:szCs w:val="18"/>
              </w:rPr>
              <w:t xml:space="preserve">publicado </w:t>
            </w:r>
            <w:r w:rsidRPr="00C40D00">
              <w:rPr>
                <w:sz w:val="18"/>
                <w:szCs w:val="18"/>
              </w:rPr>
              <w:t xml:space="preserve">el informe 1386 del TCU 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Resoluciones de autorización para el ejercicio de actividades privadas al cese de altos cargos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 w:rsidRPr="00C40D00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297D2B" w:rsidP="00C40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324CF" w:rsidRPr="007465AA" w:rsidTr="007465AA">
        <w:tc>
          <w:tcPr>
            <w:tcW w:w="1668" w:type="dxa"/>
            <w:vMerge/>
            <w:vAlign w:val="center"/>
          </w:tcPr>
          <w:p w:rsidR="00D324CF" w:rsidRPr="007465AA" w:rsidRDefault="00D324CF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324CF" w:rsidRPr="00C40D00" w:rsidRDefault="00D324CF" w:rsidP="00C40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Información Estadística sobre cumplimiento y calidad de los servicios</w:t>
            </w:r>
          </w:p>
        </w:tc>
        <w:tc>
          <w:tcPr>
            <w:tcW w:w="709" w:type="dxa"/>
          </w:tcPr>
          <w:p w:rsidR="00D324CF" w:rsidRPr="00C40D00" w:rsidRDefault="00D324CF" w:rsidP="00C40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D324CF" w:rsidRPr="00C40D00" w:rsidRDefault="00297D2B" w:rsidP="00C40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  <w:r w:rsidR="002A5678">
              <w:rPr>
                <w:sz w:val="18"/>
                <w:szCs w:val="18"/>
              </w:rPr>
              <w:t>: organización de los enlaces del acceso actividad económica</w:t>
            </w:r>
          </w:p>
        </w:tc>
        <w:tc>
          <w:tcPr>
            <w:tcW w:w="709" w:type="dxa"/>
            <w:vAlign w:val="center"/>
          </w:tcPr>
          <w:p w:rsidR="00A249BB" w:rsidRPr="007465AA" w:rsidRDefault="002A5678" w:rsidP="00C40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A5678" w:rsidP="002C7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  <w:r w:rsidR="002A5678">
              <w:rPr>
                <w:sz w:val="18"/>
                <w:szCs w:val="18"/>
              </w:rPr>
              <w:t xml:space="preserve">: </w:t>
            </w:r>
            <w:r w:rsidR="002A5678" w:rsidRPr="002A5678">
              <w:rPr>
                <w:sz w:val="18"/>
                <w:szCs w:val="18"/>
              </w:rPr>
              <w:t>Publicación de cuadros resumen de la información que enlaza a fuentes centralizadas o al Portal de Transparencia de la AGE</w:t>
            </w:r>
          </w:p>
        </w:tc>
        <w:tc>
          <w:tcPr>
            <w:tcW w:w="709" w:type="dxa"/>
            <w:vAlign w:val="center"/>
          </w:tcPr>
          <w:p w:rsidR="00A249BB" w:rsidRPr="007465AA" w:rsidRDefault="002A5678" w:rsidP="002C7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A5678" w:rsidP="002C7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2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2C7FAF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C8682E" w:rsidP="002C7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297D2B" w:rsidP="002C7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2C7FAF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7D382B" w:rsidP="002A56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A567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77" w:type="dxa"/>
          </w:tcPr>
          <w:p w:rsidR="00A249BB" w:rsidRPr="007465AA" w:rsidRDefault="00A249BB" w:rsidP="002C7FAF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BA4354" w:rsidRDefault="00C8682E" w:rsidP="00DF56A7">
      <w:pPr>
        <w:jc w:val="both"/>
      </w:pPr>
      <w:r>
        <w:t>El CSN</w:t>
      </w:r>
      <w:r w:rsidR="00C52EE5">
        <w:t xml:space="preserve"> ha aplicado </w:t>
      </w:r>
      <w:r w:rsidR="00297D2B">
        <w:t>tres</w:t>
      </w:r>
      <w:r w:rsidR="00C52EE5" w:rsidRPr="0076567C">
        <w:t xml:space="preserve"> de las </w:t>
      </w:r>
      <w:r w:rsidR="002A5678">
        <w:t>catorce</w:t>
      </w:r>
      <w:r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54A" w:rsidRPr="00F31BC3" w:rsidRDefault="000A154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0A154A" w:rsidRPr="00F31BC3" w:rsidRDefault="000A154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C40D00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800"/>
        <w:gridCol w:w="739"/>
        <w:gridCol w:w="739"/>
        <w:gridCol w:w="739"/>
        <w:gridCol w:w="739"/>
        <w:gridCol w:w="739"/>
        <w:gridCol w:w="739"/>
        <w:gridCol w:w="724"/>
        <w:gridCol w:w="724"/>
      </w:tblGrid>
      <w:tr w:rsidR="00D324CF" w:rsidRPr="00D324CF" w:rsidTr="00D32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D324CF" w:rsidRPr="00D324CF" w:rsidRDefault="00D324CF" w:rsidP="00D324CF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0F100D" w:rsidRPr="00D324CF" w:rsidTr="000F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F100D" w:rsidRPr="00D324CF" w:rsidRDefault="000F100D" w:rsidP="000F100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90,0</w:t>
            </w:r>
          </w:p>
        </w:tc>
        <w:tc>
          <w:tcPr>
            <w:tcW w:w="339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40,0</w:t>
            </w:r>
          </w:p>
        </w:tc>
        <w:tc>
          <w:tcPr>
            <w:tcW w:w="339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82,9</w:t>
            </w:r>
          </w:p>
        </w:tc>
      </w:tr>
      <w:tr w:rsidR="000F100D" w:rsidRPr="00D324CF" w:rsidTr="000F100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0F100D" w:rsidRPr="00D324CF" w:rsidRDefault="000F100D" w:rsidP="000F100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De relevancia jurídica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50,0</w:t>
            </w:r>
          </w:p>
        </w:tc>
        <w:tc>
          <w:tcPr>
            <w:tcW w:w="339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92,9</w:t>
            </w:r>
          </w:p>
        </w:tc>
      </w:tr>
      <w:tr w:rsidR="000F100D" w:rsidRPr="00D324CF" w:rsidTr="000F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F100D" w:rsidRPr="00D324CF" w:rsidRDefault="000F100D" w:rsidP="000F100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67,6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58,8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70,6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58,8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70,6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70,6</w:t>
            </w:r>
          </w:p>
        </w:tc>
        <w:tc>
          <w:tcPr>
            <w:tcW w:w="339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41,2</w:t>
            </w:r>
          </w:p>
        </w:tc>
        <w:tc>
          <w:tcPr>
            <w:tcW w:w="339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62,6</w:t>
            </w:r>
          </w:p>
        </w:tc>
      </w:tr>
      <w:tr w:rsidR="000F100D" w:rsidRPr="00D324CF" w:rsidTr="000F100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0F100D" w:rsidRPr="00D324CF" w:rsidRDefault="000F100D" w:rsidP="000F100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D324CF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100D">
              <w:rPr>
                <w:sz w:val="18"/>
                <w:szCs w:val="18"/>
              </w:rPr>
              <w:t>85,7</w:t>
            </w:r>
          </w:p>
        </w:tc>
      </w:tr>
      <w:tr w:rsidR="000F100D" w:rsidRPr="00D324CF" w:rsidTr="000F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F100D" w:rsidRPr="00D324CF" w:rsidRDefault="000F100D" w:rsidP="000F100D">
            <w:pPr>
              <w:spacing w:before="120" w:after="120" w:line="312" w:lineRule="auto"/>
              <w:rPr>
                <w:rFonts w:eastAsia="Calibri" w:cs="Calibri"/>
                <w:i/>
                <w:sz w:val="16"/>
                <w:szCs w:val="16"/>
              </w:rPr>
            </w:pPr>
            <w:r w:rsidRPr="00D324CF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F100D">
              <w:rPr>
                <w:b/>
                <w:i/>
                <w:sz w:val="18"/>
                <w:szCs w:val="18"/>
              </w:rPr>
              <w:t>77,6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F100D">
              <w:rPr>
                <w:b/>
                <w:i/>
                <w:sz w:val="18"/>
                <w:szCs w:val="18"/>
              </w:rPr>
              <w:t>72,4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F100D">
              <w:rPr>
                <w:b/>
                <w:i/>
                <w:sz w:val="18"/>
                <w:szCs w:val="18"/>
              </w:rPr>
              <w:t>79,3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F100D">
              <w:rPr>
                <w:b/>
                <w:i/>
                <w:sz w:val="18"/>
                <w:szCs w:val="18"/>
              </w:rPr>
              <w:t>72,4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F100D">
              <w:rPr>
                <w:b/>
                <w:i/>
                <w:sz w:val="18"/>
                <w:szCs w:val="18"/>
              </w:rPr>
              <w:t>79,3</w:t>
            </w:r>
          </w:p>
        </w:tc>
        <w:tc>
          <w:tcPr>
            <w:tcW w:w="346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F100D">
              <w:rPr>
                <w:b/>
                <w:i/>
                <w:sz w:val="18"/>
                <w:szCs w:val="18"/>
              </w:rPr>
              <w:t>79,3</w:t>
            </w:r>
          </w:p>
        </w:tc>
        <w:tc>
          <w:tcPr>
            <w:tcW w:w="339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F100D">
              <w:rPr>
                <w:b/>
                <w:i/>
                <w:sz w:val="18"/>
                <w:szCs w:val="18"/>
              </w:rPr>
              <w:t>39,7</w:t>
            </w:r>
          </w:p>
        </w:tc>
        <w:tc>
          <w:tcPr>
            <w:tcW w:w="339" w:type="pct"/>
            <w:noWrap/>
            <w:vAlign w:val="center"/>
          </w:tcPr>
          <w:p w:rsidR="000F100D" w:rsidRPr="000F100D" w:rsidRDefault="000F100D" w:rsidP="000F1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0F100D">
              <w:rPr>
                <w:b/>
                <w:i/>
                <w:sz w:val="18"/>
                <w:szCs w:val="18"/>
              </w:rPr>
              <w:t>71,4</w:t>
            </w:r>
          </w:p>
        </w:tc>
      </w:tr>
    </w:tbl>
    <w:p w:rsidR="00D324CF" w:rsidRDefault="00D324CF" w:rsidP="00F05E2C">
      <w:pPr>
        <w:pStyle w:val="Cuerpodelboletn"/>
        <w:rPr>
          <w:lang w:bidi="es-ES"/>
        </w:rPr>
      </w:pPr>
    </w:p>
    <w:p w:rsidR="00A670E9" w:rsidRDefault="004061BC" w:rsidP="000F100D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0F100D">
        <w:rPr>
          <w:lang w:bidi="es-ES"/>
        </w:rPr>
        <w:t>71,4</w:t>
      </w:r>
      <w:r>
        <w:rPr>
          <w:lang w:bidi="es-ES"/>
        </w:rPr>
        <w:t>%.</w:t>
      </w:r>
      <w:r w:rsidR="000F100D">
        <w:rPr>
          <w:lang w:bidi="es-ES"/>
        </w:rPr>
        <w:t xml:space="preserve"> Respecto de 2021</w:t>
      </w:r>
      <w:r w:rsidR="00BB3652">
        <w:rPr>
          <w:lang w:bidi="es-ES"/>
        </w:rPr>
        <w:t xml:space="preserve"> se produce un incremento de </w:t>
      </w:r>
      <w:r w:rsidR="000F100D">
        <w:rPr>
          <w:lang w:bidi="es-ES"/>
        </w:rPr>
        <w:t xml:space="preserve">8,1 </w:t>
      </w:r>
      <w:r w:rsidR="00BB3652">
        <w:rPr>
          <w:lang w:bidi="es-ES"/>
        </w:rPr>
        <w:t>puntos porcentuales atribuible</w:t>
      </w:r>
      <w:r w:rsidR="0076567C">
        <w:rPr>
          <w:lang w:bidi="es-ES"/>
        </w:rPr>
        <w:t xml:space="preserve">s a la aplicación de </w:t>
      </w:r>
      <w:r w:rsidR="000F100D">
        <w:rPr>
          <w:lang w:bidi="es-ES"/>
        </w:rPr>
        <w:t>tres</w:t>
      </w:r>
      <w:r w:rsidR="0076567C">
        <w:rPr>
          <w:lang w:bidi="es-ES"/>
        </w:rPr>
        <w:t xml:space="preserve"> de las recomendaciones efectuadas en </w:t>
      </w:r>
      <w:r w:rsidR="000F100D">
        <w:rPr>
          <w:lang w:bidi="es-ES"/>
        </w:rPr>
        <w:t>2021.</w:t>
      </w:r>
      <w:r w:rsidR="0076567C">
        <w:t xml:space="preserve">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0F100D" w:rsidP="00BB3652">
      <w:pPr>
        <w:pStyle w:val="Cuerpodelboletn"/>
      </w:pPr>
      <w:r>
        <w:t>Aunque e</w:t>
      </w:r>
      <w:r w:rsidR="00BB3652">
        <w:t xml:space="preserve">ste CTBG </w:t>
      </w:r>
      <w:r w:rsidR="00BB3652" w:rsidRPr="00BB3652">
        <w:rPr>
          <w:b/>
        </w:rPr>
        <w:t xml:space="preserve">valora </w:t>
      </w:r>
      <w:r>
        <w:rPr>
          <w:b/>
        </w:rPr>
        <w:t>positivamente</w:t>
      </w:r>
      <w:r w:rsidR="00BB3652">
        <w:t xml:space="preserve"> la evolución del cumplimiento de las obligaciones de publicidad activa por parte de</w:t>
      </w:r>
      <w:r w:rsidR="00084C69">
        <w:t>l</w:t>
      </w:r>
      <w:r w:rsidR="00BB3652">
        <w:t xml:space="preserve"> </w:t>
      </w:r>
      <w:r w:rsidR="00084C69">
        <w:t>CSN, s</w:t>
      </w:r>
      <w:r w:rsidR="0076567C">
        <w:t>ólo</w:t>
      </w:r>
      <w:r w:rsidR="00BB3652">
        <w:t xml:space="preserve"> se ha aplicado </w:t>
      </w:r>
      <w:r w:rsidR="0076567C">
        <w:t>una</w:t>
      </w:r>
      <w:r w:rsidR="00BB3652">
        <w:t xml:space="preserve"> </w:t>
      </w:r>
      <w:r w:rsidR="000A154A">
        <w:t xml:space="preserve">quinta parte </w:t>
      </w:r>
      <w:r w:rsidR="00BB3652">
        <w:t>de las recomendaciones efectuadas como consecuencia de la evaluación realizada en 202</w:t>
      </w:r>
      <w:r w:rsidR="000A154A">
        <w:t>1</w:t>
      </w:r>
      <w:r w:rsidR="00BB3652">
        <w:t>.</w:t>
      </w:r>
    </w:p>
    <w:p w:rsidR="004061BC" w:rsidRDefault="00BB3652" w:rsidP="00A670E9">
      <w:pPr>
        <w:pStyle w:val="Cuerpodelboletn"/>
      </w:pPr>
      <w:r>
        <w:t xml:space="preserve">Como consecuencia de esto persisten </w:t>
      </w:r>
      <w:r w:rsidR="000A154A">
        <w:t xml:space="preserve">gran parte de </w:t>
      </w:r>
      <w:r>
        <w:t>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54A" w:rsidRPr="00F31BC3" w:rsidRDefault="000A154A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0A154A" w:rsidRPr="00F31BC3" w:rsidRDefault="000A154A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76567C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organizarse la información conforme al patrón definido por la LTAIBG y continúa publicándose la información del bloque Institucional y Organizativa al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Institucional</w:t>
      </w:r>
      <w:r w:rsidR="000A154A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Organizativa</w:t>
      </w:r>
      <w:r w:rsidR="000A154A">
        <w:rPr>
          <w:rFonts w:ascii="Century Gothic" w:hAnsi="Century Gothic"/>
        </w:rPr>
        <w:t xml:space="preserve"> y de Planificación</w:t>
      </w:r>
      <w:r>
        <w:rPr>
          <w:rFonts w:ascii="Century Gothic" w:hAnsi="Century Gothic"/>
        </w:rPr>
        <w:t xml:space="preserve">: </w:t>
      </w:r>
      <w:r w:rsidR="000A154A">
        <w:rPr>
          <w:rFonts w:ascii="Century Gothic" w:hAnsi="Century Gothic"/>
        </w:rPr>
        <w:t>el registro de actividades de tratamiento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En el bloque de información económica no se publica información sobre </w:t>
      </w:r>
      <w:r w:rsidR="000A154A">
        <w:rPr>
          <w:rFonts w:ascii="Century Gothic" w:hAnsi="Century Gothic"/>
        </w:rPr>
        <w:t>las modificaciones de contratos adjudicados, el presupuesto para 2021</w:t>
      </w:r>
      <w:r>
        <w:rPr>
          <w:rFonts w:ascii="Century Gothic" w:hAnsi="Century Gothic"/>
        </w:rPr>
        <w:t xml:space="preserve">, </w:t>
      </w:r>
      <w:r w:rsidR="000A154A">
        <w:rPr>
          <w:rFonts w:ascii="Century Gothic" w:hAnsi="Century Gothic"/>
        </w:rPr>
        <w:t>el último informe de fiscalización elaborado por el TCU, y las autorizaciones para el ejercicio de actividades privadas al cese de altos cargos</w:t>
      </w:r>
      <w:r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302C0A" w:rsidRDefault="006A1ADD" w:rsidP="00302C0A">
      <w:pPr>
        <w:pStyle w:val="Sinespaciado"/>
        <w:numPr>
          <w:ilvl w:val="0"/>
          <w:numId w:val="21"/>
        </w:numPr>
        <w:spacing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cuanto a</w:t>
      </w:r>
      <w:r w:rsidR="000F0DA5">
        <w:rPr>
          <w:rFonts w:ascii="Century Gothic" w:hAnsi="Century Gothic"/>
        </w:rPr>
        <w:t>l cumplimiento de los</w:t>
      </w:r>
      <w:r w:rsidR="00C52EE5">
        <w:rPr>
          <w:rFonts w:ascii="Century Gothic" w:hAnsi="Century Gothic"/>
        </w:rPr>
        <w:t xml:space="preserve"> </w:t>
      </w:r>
      <w:r w:rsidR="000F0DA5"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 w:rsidR="000F0DA5"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 w:rsidR="000F0DA5"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 o en la web de la entidad.</w:t>
      </w:r>
      <w:r w:rsidR="000A154A">
        <w:rPr>
          <w:rFonts w:ascii="Century Gothic" w:hAnsi="Century Gothic"/>
        </w:rPr>
        <w:t xml:space="preserve"> </w:t>
      </w:r>
    </w:p>
    <w:p w:rsidR="00302C0A" w:rsidRDefault="00302C0A" w:rsidP="00302C0A">
      <w:pPr>
        <w:pStyle w:val="Sinespaciado"/>
        <w:spacing w:line="276" w:lineRule="auto"/>
        <w:ind w:left="851"/>
        <w:jc w:val="both"/>
        <w:rPr>
          <w:rFonts w:ascii="Century Gothic" w:hAnsi="Century Gothic"/>
        </w:rPr>
      </w:pPr>
    </w:p>
    <w:p w:rsidR="000A154A" w:rsidRDefault="000A154A" w:rsidP="00302C0A">
      <w:pPr>
        <w:pStyle w:val="Sinespaciado"/>
        <w:spacing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Tampoco se ha revisado el criterio de publicación de informaciones obligatorias a través de fuentes centralizadas –Plataforma de Contratación del Sector Público – o del Portal de Transparencia de la AGE, lo que supone una barrera a la accesibilidad a la información ya que es necesario efectuar nuevas búsquedas en la fuente centralizada o en el Portal AGE y en el primer caso, además presentan serias dificultades de manejo para las personas que no estén familiarizadas con ellas.</w:t>
      </w:r>
    </w:p>
    <w:p w:rsidR="00302C0A" w:rsidRDefault="00302C0A" w:rsidP="00302C0A">
      <w:pPr>
        <w:pStyle w:val="Sinespaciado"/>
        <w:spacing w:line="276" w:lineRule="auto"/>
        <w:ind w:left="851"/>
        <w:jc w:val="both"/>
        <w:rPr>
          <w:rFonts w:ascii="Century Gothic" w:hAnsi="Century Gothic"/>
        </w:rPr>
      </w:pPr>
      <w:bookmarkStart w:id="0" w:name="_GoBack"/>
      <w:bookmarkEnd w:id="0"/>
    </w:p>
    <w:p w:rsidR="00302C0A" w:rsidRDefault="00302C0A" w:rsidP="00302C0A">
      <w:pPr>
        <w:pStyle w:val="Sinespaciado"/>
        <w:spacing w:line="276" w:lineRule="auto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Finalmente no se ha revisado la organización de la información económica que sigue sin mantener un orden lógico.</w:t>
      </w:r>
    </w:p>
    <w:p w:rsidR="004061BC" w:rsidRDefault="004061BC" w:rsidP="000A154A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02C0A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302C0A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54A" w:rsidRPr="00F31BC3" w:rsidRDefault="000A154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0A154A" w:rsidRPr="00F31BC3" w:rsidRDefault="000A154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A154A" w:rsidRPr="00F31BC3" w:rsidRDefault="000A154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0A154A" w:rsidRPr="00F31BC3" w:rsidRDefault="000A154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4A" w:rsidRDefault="000A154A" w:rsidP="00F31BC3">
      <w:r>
        <w:separator/>
      </w:r>
    </w:p>
  </w:endnote>
  <w:endnote w:type="continuationSeparator" w:id="0">
    <w:p w:rsidR="000A154A" w:rsidRDefault="000A154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4A" w:rsidRDefault="000A154A" w:rsidP="00F31BC3">
      <w:r>
        <w:separator/>
      </w:r>
    </w:p>
  </w:footnote>
  <w:footnote w:type="continuationSeparator" w:id="0">
    <w:p w:rsidR="000A154A" w:rsidRDefault="000A154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BD14533_"/>
      </v:shape>
    </w:pict>
  </w:numPicBullet>
  <w:numPicBullet w:numPicBulletId="1">
    <w:pict>
      <v:shape id="_x0000_i1058" type="#_x0000_t75" style="width:11.25pt;height:11.25pt" o:bullet="t">
        <v:imagedata r:id="rId2" o:title="BD14654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054BA"/>
    <w:multiLevelType w:val="hybridMultilevel"/>
    <w:tmpl w:val="129C30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4C69"/>
    <w:rsid w:val="00085C93"/>
    <w:rsid w:val="000A154A"/>
    <w:rsid w:val="000A77F5"/>
    <w:rsid w:val="000D3907"/>
    <w:rsid w:val="000D5417"/>
    <w:rsid w:val="000E0A9E"/>
    <w:rsid w:val="000F0DA5"/>
    <w:rsid w:val="000F100D"/>
    <w:rsid w:val="00104DE9"/>
    <w:rsid w:val="00104E94"/>
    <w:rsid w:val="00105562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9706C"/>
    <w:rsid w:val="001A0DA8"/>
    <w:rsid w:val="001A5305"/>
    <w:rsid w:val="001C2217"/>
    <w:rsid w:val="001C3E2F"/>
    <w:rsid w:val="001C4509"/>
    <w:rsid w:val="001C7C78"/>
    <w:rsid w:val="001C7D84"/>
    <w:rsid w:val="001E5AAD"/>
    <w:rsid w:val="002129E5"/>
    <w:rsid w:val="0021682B"/>
    <w:rsid w:val="00231D61"/>
    <w:rsid w:val="00243294"/>
    <w:rsid w:val="00244EDA"/>
    <w:rsid w:val="002467FA"/>
    <w:rsid w:val="00250846"/>
    <w:rsid w:val="00263F79"/>
    <w:rsid w:val="00297D2B"/>
    <w:rsid w:val="002A5678"/>
    <w:rsid w:val="002C19B9"/>
    <w:rsid w:val="002C1DD9"/>
    <w:rsid w:val="002C41B4"/>
    <w:rsid w:val="002C7FAF"/>
    <w:rsid w:val="002D0702"/>
    <w:rsid w:val="002D27E4"/>
    <w:rsid w:val="002E409F"/>
    <w:rsid w:val="002E644A"/>
    <w:rsid w:val="002F06DC"/>
    <w:rsid w:val="00302C0A"/>
    <w:rsid w:val="0031769F"/>
    <w:rsid w:val="00337482"/>
    <w:rsid w:val="00337C82"/>
    <w:rsid w:val="00342DD1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92B66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A1ADD"/>
    <w:rsid w:val="006B2C2E"/>
    <w:rsid w:val="006B75D8"/>
    <w:rsid w:val="006C0CDD"/>
    <w:rsid w:val="006D10BA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382B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0D00"/>
    <w:rsid w:val="00C4430D"/>
    <w:rsid w:val="00C451D3"/>
    <w:rsid w:val="00C5055D"/>
    <w:rsid w:val="00C52EE5"/>
    <w:rsid w:val="00C54D21"/>
    <w:rsid w:val="00C555C6"/>
    <w:rsid w:val="00C61E7F"/>
    <w:rsid w:val="00C66E73"/>
    <w:rsid w:val="00C8682E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324CF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D324C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D324C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4BB6"/>
    <w:rsid w:val="00443EA4"/>
    <w:rsid w:val="00583D19"/>
    <w:rsid w:val="00722728"/>
    <w:rsid w:val="00787EBD"/>
    <w:rsid w:val="007C3485"/>
    <w:rsid w:val="008E118A"/>
    <w:rsid w:val="00A104A7"/>
    <w:rsid w:val="00AB148E"/>
    <w:rsid w:val="00AB484A"/>
    <w:rsid w:val="00C32372"/>
    <w:rsid w:val="00DA008C"/>
    <w:rsid w:val="00DE3DE6"/>
    <w:rsid w:val="00EA0738"/>
    <w:rsid w:val="00EA2727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5ED48-BDAD-4876-B6DB-F33CF8B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84</TotalTime>
  <Pages>5</Pages>
  <Words>1014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2022-01-25T11:09:00Z</cp:lastPrinted>
  <dcterms:created xsi:type="dcterms:W3CDTF">2022-01-25T11:25:00Z</dcterms:created>
  <dcterms:modified xsi:type="dcterms:W3CDTF">2022-02-15T10:37:00Z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