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50"/>
            <w:gridCol w:w="2778"/>
            <w:gridCol w:w="1561"/>
            <w:gridCol w:w="3912"/>
          </w:tblGrid>
          <w:tr w:rsidR="008876B2" w:rsidTr="008876B2">
            <w:tc>
              <w:tcPr>
                <w:tcW w:w="1050" w:type="dxa"/>
                <w:vAlign w:val="center"/>
              </w:tcPr>
              <w:p w:rsidR="00743995" w:rsidRDefault="00743995">
                <w:pPr>
                  <w:pStyle w:val="Sinespaciado"/>
                </w:pPr>
              </w:p>
            </w:tc>
            <w:tc>
              <w:tcPr>
                <w:tcW w:w="2778" w:type="dxa"/>
                <w:vAlign w:val="center"/>
              </w:tcPr>
              <w:p w:rsidR="00743995" w:rsidRDefault="00743995">
                <w:pPr>
                  <w:pStyle w:val="Sinespaciado"/>
                </w:pPr>
              </w:p>
            </w:tc>
            <w:tc>
              <w:tcPr>
                <w:tcW w:w="5473" w:type="dxa"/>
                <w:gridSpan w:val="2"/>
                <w:vAlign w:val="center"/>
              </w:tcPr>
              <w:p w:rsidR="00743995" w:rsidRDefault="00743995">
                <w:pPr>
                  <w:pStyle w:val="Sinespaciado"/>
                </w:pPr>
              </w:p>
            </w:tc>
          </w:tr>
          <w:tr w:rsidR="008876B2" w:rsidTr="008876B2">
            <w:tc>
              <w:tcPr>
                <w:tcW w:w="3828" w:type="dxa"/>
                <w:gridSpan w:val="2"/>
                <w:vAlign w:val="center"/>
              </w:tcPr>
              <w:tbl>
                <w:tblPr>
                  <w:tblW w:w="5000" w:type="pct"/>
                  <w:tblCellMar>
                    <w:left w:w="0" w:type="dxa"/>
                    <w:right w:w="0" w:type="dxa"/>
                  </w:tblCellMar>
                  <w:tblLook w:val="04A0" w:firstRow="1" w:lastRow="0" w:firstColumn="1" w:lastColumn="0" w:noHBand="0" w:noVBand="1"/>
                </w:tblPr>
                <w:tblGrid>
                  <w:gridCol w:w="952"/>
                  <w:gridCol w:w="2646"/>
                </w:tblGrid>
                <w:tr w:rsidR="00743995">
                  <w:trPr>
                    <w:trHeight w:hRule="exact" w:val="86"/>
                  </w:trPr>
                  <w:tc>
                    <w:tcPr>
                      <w:tcW w:w="990" w:type="dxa"/>
                    </w:tcPr>
                    <w:p w:rsidR="00743995" w:rsidRDefault="00743995">
                      <w:pPr>
                        <w:pStyle w:val="Sinespaciado"/>
                        <w:framePr w:hSpace="187" w:wrap="around" w:hAnchor="text" w:yAlign="bottom"/>
                        <w:suppressOverlap/>
                      </w:pPr>
                    </w:p>
                  </w:tc>
                  <w:tc>
                    <w:tcPr>
                      <w:tcW w:w="2754" w:type="dxa"/>
                      <w:tcBorders>
                        <w:top w:val="single" w:sz="6" w:space="0" w:color="438086" w:themeColor="accent2"/>
                        <w:bottom w:val="single" w:sz="24" w:space="0" w:color="438086" w:themeColor="accent2"/>
                      </w:tcBorders>
                    </w:tcPr>
                    <w:p w:rsidR="00743995" w:rsidRDefault="00743995">
                      <w:pPr>
                        <w:pStyle w:val="Sinespaciado"/>
                        <w:framePr w:hSpace="187" w:wrap="around" w:hAnchor="text" w:yAlign="bottom"/>
                        <w:suppressOverlap/>
                      </w:pPr>
                    </w:p>
                  </w:tc>
                </w:tr>
                <w:tr w:rsidR="00743995">
                  <w:trPr>
                    <w:trHeight w:hRule="exact" w:val="86"/>
                  </w:trPr>
                  <w:tc>
                    <w:tcPr>
                      <w:tcW w:w="990" w:type="dxa"/>
                      <w:tcBorders>
                        <w:bottom w:val="single" w:sz="2" w:space="0" w:color="438086" w:themeColor="accent2"/>
                      </w:tcBorders>
                    </w:tcPr>
                    <w:p w:rsidR="00743995" w:rsidRDefault="00743995">
                      <w:pPr>
                        <w:pStyle w:val="Sinespaciado"/>
                        <w:framePr w:hSpace="187" w:wrap="around" w:hAnchor="text" w:yAlign="bottom"/>
                        <w:suppressOverlap/>
                      </w:pPr>
                    </w:p>
                  </w:tc>
                  <w:tc>
                    <w:tcPr>
                      <w:tcW w:w="2754" w:type="dxa"/>
                      <w:tcBorders>
                        <w:top w:val="single" w:sz="24" w:space="0" w:color="438086" w:themeColor="accent2"/>
                        <w:bottom w:val="single" w:sz="2" w:space="0" w:color="438086" w:themeColor="accent2"/>
                      </w:tcBorders>
                    </w:tcPr>
                    <w:p w:rsidR="00743995" w:rsidRDefault="00743995">
                      <w:pPr>
                        <w:pStyle w:val="Sinespaciado"/>
                        <w:framePr w:hSpace="187" w:wrap="around" w:hAnchor="text" w:yAlign="bottom"/>
                        <w:suppressOverlap/>
                      </w:pPr>
                    </w:p>
                  </w:tc>
                </w:tr>
                <w:tr w:rsidR="00743995">
                  <w:trPr>
                    <w:trHeight w:hRule="exact" w:val="115"/>
                  </w:trPr>
                  <w:tc>
                    <w:tcPr>
                      <w:tcW w:w="990"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r>
                <w:tr w:rsidR="00743995">
                  <w:trPr>
                    <w:trHeight w:hRule="exact" w:val="58"/>
                  </w:trPr>
                  <w:tc>
                    <w:tcPr>
                      <w:tcW w:w="990" w:type="dxa"/>
                      <w:tcBorders>
                        <w:top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8" w:space="0" w:color="438086" w:themeColor="accent2"/>
                        <w:bottom w:val="single" w:sz="12" w:space="0" w:color="438086" w:themeColor="accent2"/>
                      </w:tcBorders>
                    </w:tcPr>
                    <w:p w:rsidR="00743995" w:rsidRDefault="00743995">
                      <w:pPr>
                        <w:pStyle w:val="Sinespaciado"/>
                        <w:framePr w:hSpace="187" w:wrap="around" w:hAnchor="text" w:yAlign="bottom"/>
                        <w:suppressOverlap/>
                      </w:pPr>
                    </w:p>
                  </w:tc>
                </w:tr>
              </w:tbl>
              <w:p w:rsidR="00743995" w:rsidRDefault="00743995">
                <w:pPr>
                  <w:pStyle w:val="Sinespaciado"/>
                </w:pPr>
              </w:p>
            </w:tc>
            <w:tc>
              <w:tcPr>
                <w:tcW w:w="5473" w:type="dxa"/>
                <w:gridSpan w:val="2"/>
                <w:vAlign w:val="center"/>
              </w:tcPr>
              <w:p w:rsidR="00743995" w:rsidRDefault="00743995">
                <w:pPr>
                  <w:pStyle w:val="Sinespaciado"/>
                </w:pPr>
              </w:p>
            </w:tc>
          </w:tr>
          <w:tr w:rsidR="00743995" w:rsidTr="008876B2">
            <w:trPr>
              <w:trHeight w:val="1800"/>
            </w:trPr>
            <w:tc>
              <w:tcPr>
                <w:tcW w:w="9301" w:type="dxa"/>
                <w:gridSpan w:val="4"/>
                <w:tcMar>
                  <w:top w:w="115" w:type="dxa"/>
                  <w:left w:w="115" w:type="dxa"/>
                  <w:bottom w:w="72" w:type="dxa"/>
                  <w:right w:w="115" w:type="dxa"/>
                </w:tcMar>
                <w:vAlign w:val="center"/>
              </w:tcPr>
              <w:p w:rsidR="00743995" w:rsidRPr="008876B2" w:rsidRDefault="00BF317B">
                <w:pPr>
                  <w:pStyle w:val="Sinespaciado"/>
                  <w:rPr>
                    <w:rFonts w:eastAsiaTheme="majorEastAsia" w:cstheme="majorBidi"/>
                    <w:color w:val="53548A" w:themeColor="accent1"/>
                    <w:sz w:val="40"/>
                    <w:szCs w:val="40"/>
                  </w:rPr>
                </w:pPr>
                <w:sdt>
                  <w:sdtPr>
                    <w:rPr>
                      <w:rFonts w:eastAsiaTheme="majorEastAsia" w:cstheme="majorBidi"/>
                      <w:sz w:val="40"/>
                      <w:szCs w:val="40"/>
                    </w:rPr>
                    <w:alias w:val="Título"/>
                    <w:id w:val="220683848"/>
                    <w:dataBinding w:prefixMappings="xmlns:ns0='http://schemas.openxmlformats.org/package/2006/metadata/core-properties' xmlns:ns1='http://purl.org/dc/elements/1.1/'" w:xpath="/ns0:coreProperties[1]/ns1:title[1]" w:storeItemID="{6C3C8BC8-F283-45AE-878A-BAB7291924A1}"/>
                    <w:text/>
                  </w:sdtPr>
                  <w:sdtEndPr/>
                  <w:sdtContent>
                    <w:r w:rsidR="00E924EF">
                      <w:rPr>
                        <w:rFonts w:eastAsiaTheme="majorEastAsia" w:cstheme="majorBidi"/>
                        <w:sz w:val="40"/>
                        <w:szCs w:val="40"/>
                      </w:rPr>
                      <w:t xml:space="preserve">Informe de evaluación sobre </w:t>
                    </w:r>
                    <w:r w:rsidR="005F586A">
                      <w:rPr>
                        <w:rFonts w:eastAsiaTheme="majorEastAsia" w:cstheme="majorBidi"/>
                        <w:sz w:val="40"/>
                        <w:szCs w:val="40"/>
                      </w:rPr>
                      <w:t>el cumplimie</w:t>
                    </w:r>
                    <w:r w:rsidR="002652DB">
                      <w:rPr>
                        <w:rFonts w:eastAsiaTheme="majorEastAsia" w:cstheme="majorBidi"/>
                        <w:sz w:val="40"/>
                        <w:szCs w:val="40"/>
                      </w:rPr>
                      <w:t>nto de la LTAIBG por parte de l</w:t>
                    </w:r>
                    <w:r w:rsidR="00F07996">
                      <w:rPr>
                        <w:rFonts w:eastAsiaTheme="majorEastAsia" w:cstheme="majorBidi"/>
                        <w:sz w:val="40"/>
                        <w:szCs w:val="40"/>
                      </w:rPr>
                      <w:t>o</w:t>
                    </w:r>
                    <w:r w:rsidR="005F586A">
                      <w:rPr>
                        <w:rFonts w:eastAsiaTheme="majorEastAsia" w:cstheme="majorBidi"/>
                        <w:sz w:val="40"/>
                        <w:szCs w:val="40"/>
                      </w:rPr>
                      <w:t xml:space="preserve">s </w:t>
                    </w:r>
                    <w:r w:rsidR="00F07996">
                      <w:rPr>
                        <w:rFonts w:eastAsiaTheme="majorEastAsia" w:cstheme="majorBidi"/>
                        <w:sz w:val="40"/>
                        <w:szCs w:val="40"/>
                      </w:rPr>
                      <w:t xml:space="preserve">Órganos reguladores y supervisores y de las </w:t>
                    </w:r>
                    <w:r w:rsidR="005F586A">
                      <w:rPr>
                        <w:rFonts w:eastAsiaTheme="majorEastAsia" w:cstheme="majorBidi"/>
                        <w:sz w:val="40"/>
                        <w:szCs w:val="40"/>
                      </w:rPr>
                      <w:t>Autoridades A</w:t>
                    </w:r>
                    <w:r w:rsidR="00F07996">
                      <w:rPr>
                        <w:rFonts w:eastAsiaTheme="majorEastAsia" w:cstheme="majorBidi"/>
                        <w:sz w:val="40"/>
                        <w:szCs w:val="40"/>
                      </w:rPr>
                      <w:t>dministrativas Independientes.</w:t>
                    </w:r>
                  </w:sdtContent>
                </w:sdt>
              </w:p>
              <w:p w:rsidR="00743995" w:rsidRPr="008876B2" w:rsidRDefault="00BF317B" w:rsidP="001725D8">
                <w:pPr>
                  <w:pStyle w:val="Sinespaciado"/>
                </w:pPr>
                <w:sdt>
                  <w:sdtPr>
                    <w:rPr>
                      <w:i/>
                      <w:iCs/>
                      <w:color w:val="424456" w:themeColor="text2"/>
                      <w:sz w:val="28"/>
                      <w:szCs w:val="28"/>
                    </w:rPr>
                    <w:alias w:val="Subtítulo"/>
                    <w:id w:val="220683832"/>
                    <w:dataBinding w:prefixMappings="xmlns:ns0='http://schemas.openxmlformats.org/package/2006/metadata/core-properties' xmlns:ns1='http://purl.org/dc/elements/1.1/'" w:xpath="/ns0:coreProperties[1]/ns1:subject[1]" w:storeItemID="{6C3C8BC8-F283-45AE-878A-BAB7291924A1}"/>
                    <w:text/>
                  </w:sdtPr>
                  <w:sdtEndPr/>
                  <w:sdtContent>
                    <w:r w:rsidR="008876B2" w:rsidRPr="008876B2">
                      <w:rPr>
                        <w:i/>
                        <w:iCs/>
                        <w:color w:val="424456" w:themeColor="text2"/>
                        <w:sz w:val="28"/>
                        <w:szCs w:val="28"/>
                      </w:rPr>
                      <w:t>Evaluaci</w:t>
                    </w:r>
                    <w:r w:rsidR="00E924EF">
                      <w:rPr>
                        <w:i/>
                        <w:iCs/>
                        <w:color w:val="424456" w:themeColor="text2"/>
                        <w:sz w:val="28"/>
                        <w:szCs w:val="28"/>
                      </w:rPr>
                      <w:t>ones 202</w:t>
                    </w:r>
                    <w:r w:rsidR="001725D8">
                      <w:rPr>
                        <w:i/>
                        <w:iCs/>
                        <w:color w:val="424456" w:themeColor="text2"/>
                        <w:sz w:val="28"/>
                        <w:szCs w:val="28"/>
                      </w:rPr>
                      <w:t>2</w:t>
                    </w:r>
                    <w:r w:rsidR="00E924EF">
                      <w:rPr>
                        <w:i/>
                        <w:iCs/>
                        <w:color w:val="424456" w:themeColor="text2"/>
                        <w:sz w:val="28"/>
                        <w:szCs w:val="28"/>
                      </w:rPr>
                      <w:t>.CTBG</w:t>
                    </w:r>
                  </w:sdtContent>
                </w:sdt>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tbl>
                <w:tblPr>
                  <w:tblW w:w="5000" w:type="pct"/>
                  <w:tblLook w:val="04A0" w:firstRow="1" w:lastRow="0" w:firstColumn="1" w:lastColumn="0" w:noHBand="0" w:noVBand="1"/>
                </w:tblPr>
                <w:tblGrid>
                  <w:gridCol w:w="1057"/>
                  <w:gridCol w:w="697"/>
                  <w:gridCol w:w="1928"/>
                </w:tblGrid>
                <w:tr w:rsidR="008876B2">
                  <w:trPr>
                    <w:trHeight w:hRule="exact" w:val="72"/>
                  </w:trPr>
                  <w:tc>
                    <w:tcPr>
                      <w:tcW w:w="1098" w:type="dxa"/>
                      <w:tcBorders>
                        <w:top w:val="single" w:sz="24" w:space="0" w:color="438086" w:themeColor="accent2"/>
                      </w:tcBorders>
                    </w:tcPr>
                    <w:p w:rsidR="00743995" w:rsidRDefault="00743995" w:rsidP="00BF317B">
                      <w:pPr>
                        <w:pStyle w:val="Sinespaciado"/>
                        <w:framePr w:hSpace="187" w:wrap="around" w:hAnchor="text" w:yAlign="bottom"/>
                        <w:suppressOverlap/>
                        <w:rPr>
                          <w:sz w:val="12"/>
                        </w:rPr>
                      </w:pPr>
                    </w:p>
                  </w:tc>
                  <w:tc>
                    <w:tcPr>
                      <w:tcW w:w="720" w:type="dxa"/>
                      <w:tcBorders>
                        <w:top w:val="single" w:sz="24" w:space="0" w:color="438086" w:themeColor="accent2"/>
                        <w:bottom w:val="single" w:sz="6" w:space="0" w:color="438086" w:themeColor="accent2"/>
                      </w:tcBorders>
                    </w:tcPr>
                    <w:p w:rsidR="00743995" w:rsidRDefault="00743995" w:rsidP="00BF317B">
                      <w:pPr>
                        <w:pStyle w:val="Sinespaciado"/>
                        <w:framePr w:hSpace="187" w:wrap="around" w:hAnchor="text" w:yAlign="bottom"/>
                        <w:suppressOverlap/>
                        <w:rPr>
                          <w:sz w:val="12"/>
                        </w:rPr>
                      </w:pPr>
                    </w:p>
                  </w:tc>
                  <w:tc>
                    <w:tcPr>
                      <w:tcW w:w="2012" w:type="dxa"/>
                      <w:tcBorders>
                        <w:top w:val="single" w:sz="24" w:space="0" w:color="438086" w:themeColor="accent2"/>
                        <w:bottom w:val="single" w:sz="6" w:space="0" w:color="438086" w:themeColor="accent2"/>
                      </w:tcBorders>
                    </w:tcPr>
                    <w:p w:rsidR="00743995" w:rsidRDefault="00743995" w:rsidP="00BF317B">
                      <w:pPr>
                        <w:pStyle w:val="Sinespaciado"/>
                        <w:framePr w:hSpace="187" w:wrap="around" w:hAnchor="text" w:yAlign="bottom"/>
                        <w:suppressOverlap/>
                        <w:rPr>
                          <w:sz w:val="12"/>
                        </w:rPr>
                      </w:pPr>
                    </w:p>
                  </w:tc>
                </w:tr>
                <w:tr w:rsidR="008876B2">
                  <w:trPr>
                    <w:trHeight w:hRule="exact" w:val="86"/>
                  </w:trPr>
                  <w:tc>
                    <w:tcPr>
                      <w:tcW w:w="1098" w:type="dxa"/>
                    </w:tcPr>
                    <w:p w:rsidR="00743995" w:rsidRDefault="00743995" w:rsidP="00BF317B">
                      <w:pPr>
                        <w:pStyle w:val="Sinespaciado"/>
                        <w:framePr w:hSpace="187" w:wrap="around" w:hAnchor="text" w:yAlign="bottom"/>
                        <w:suppressOverlap/>
                        <w:rPr>
                          <w:sz w:val="12"/>
                        </w:rPr>
                      </w:pPr>
                    </w:p>
                  </w:tc>
                  <w:tc>
                    <w:tcPr>
                      <w:tcW w:w="720" w:type="dxa"/>
                      <w:tcBorders>
                        <w:top w:val="single" w:sz="6" w:space="0" w:color="438086" w:themeColor="accent2"/>
                        <w:bottom w:val="single" w:sz="24" w:space="0" w:color="438086" w:themeColor="accent2"/>
                      </w:tcBorders>
                    </w:tcPr>
                    <w:p w:rsidR="00743995" w:rsidRDefault="00743995" w:rsidP="00BF317B">
                      <w:pPr>
                        <w:pStyle w:val="Sinespaciado"/>
                        <w:framePr w:hSpace="187" w:wrap="around" w:hAnchor="text" w:yAlign="bottom"/>
                        <w:suppressOverlap/>
                        <w:rPr>
                          <w:sz w:val="12"/>
                        </w:rPr>
                      </w:pPr>
                    </w:p>
                  </w:tc>
                  <w:tc>
                    <w:tcPr>
                      <w:tcW w:w="2012" w:type="dxa"/>
                      <w:tcBorders>
                        <w:top w:val="single" w:sz="6" w:space="0" w:color="438086" w:themeColor="accent2"/>
                        <w:bottom w:val="single" w:sz="24" w:space="0" w:color="438086" w:themeColor="accent2"/>
                      </w:tcBorders>
                    </w:tcPr>
                    <w:p w:rsidR="00743995" w:rsidRDefault="00743995" w:rsidP="00BF317B">
                      <w:pPr>
                        <w:pStyle w:val="Sinespaciado"/>
                        <w:framePr w:hSpace="187" w:wrap="around" w:hAnchor="text" w:yAlign="bottom"/>
                        <w:suppressOverlap/>
                        <w:rPr>
                          <w:sz w:val="12"/>
                        </w:rPr>
                      </w:pPr>
                    </w:p>
                  </w:tc>
                </w:tr>
                <w:tr w:rsidR="008876B2">
                  <w:trPr>
                    <w:trHeight w:hRule="exact" w:val="101"/>
                  </w:trPr>
                  <w:tc>
                    <w:tcPr>
                      <w:tcW w:w="1098" w:type="dxa"/>
                      <w:tcBorders>
                        <w:bottom w:val="single" w:sz="2" w:space="0" w:color="438086" w:themeColor="accent2"/>
                      </w:tcBorders>
                    </w:tcPr>
                    <w:p w:rsidR="00743995" w:rsidRDefault="00743995" w:rsidP="00BF317B">
                      <w:pPr>
                        <w:pStyle w:val="Sinespaciado"/>
                        <w:framePr w:hSpace="187" w:wrap="around" w:hAnchor="text" w:yAlign="bottom"/>
                        <w:suppressOverlap/>
                        <w:rPr>
                          <w:sz w:val="12"/>
                        </w:rPr>
                      </w:pPr>
                    </w:p>
                  </w:tc>
                  <w:tc>
                    <w:tcPr>
                      <w:tcW w:w="720" w:type="dxa"/>
                      <w:tcBorders>
                        <w:top w:val="single" w:sz="24" w:space="0" w:color="438086" w:themeColor="accent2"/>
                        <w:bottom w:val="single" w:sz="2" w:space="0" w:color="438086" w:themeColor="accent2"/>
                      </w:tcBorders>
                    </w:tcPr>
                    <w:p w:rsidR="00743995" w:rsidRDefault="00743995" w:rsidP="00BF317B">
                      <w:pPr>
                        <w:pStyle w:val="Sinespaciado"/>
                        <w:framePr w:hSpace="187" w:wrap="around" w:hAnchor="text" w:yAlign="bottom"/>
                        <w:suppressOverlap/>
                        <w:rPr>
                          <w:sz w:val="12"/>
                        </w:rPr>
                      </w:pPr>
                    </w:p>
                  </w:tc>
                  <w:tc>
                    <w:tcPr>
                      <w:tcW w:w="2012" w:type="dxa"/>
                      <w:tcBorders>
                        <w:top w:val="single" w:sz="24" w:space="0" w:color="438086" w:themeColor="accent2"/>
                        <w:bottom w:val="single" w:sz="2" w:space="0" w:color="438086" w:themeColor="accent2"/>
                      </w:tcBorders>
                    </w:tcPr>
                    <w:p w:rsidR="00743995" w:rsidRDefault="00743995" w:rsidP="00BF317B">
                      <w:pPr>
                        <w:pStyle w:val="Sinespaciado"/>
                        <w:framePr w:hSpace="187" w:wrap="around" w:hAnchor="text" w:yAlign="bottom"/>
                        <w:suppressOverlap/>
                        <w:rPr>
                          <w:sz w:val="12"/>
                        </w:rPr>
                      </w:pPr>
                    </w:p>
                  </w:tc>
                </w:tr>
                <w:tr w:rsidR="008876B2">
                  <w:trPr>
                    <w:trHeight w:hRule="exact" w:val="43"/>
                  </w:trPr>
                  <w:tc>
                    <w:tcPr>
                      <w:tcW w:w="1098" w:type="dxa"/>
                      <w:tcBorders>
                        <w:top w:val="single" w:sz="2" w:space="0" w:color="438086" w:themeColor="accent2"/>
                        <w:bottom w:val="single" w:sz="24" w:space="0" w:color="438086" w:themeColor="accent2"/>
                      </w:tcBorders>
                    </w:tcPr>
                    <w:p w:rsidR="00743995" w:rsidRDefault="00743995" w:rsidP="00BF317B">
                      <w:pPr>
                        <w:pStyle w:val="Sinespaciado"/>
                        <w:framePr w:hSpace="187" w:wrap="around" w:hAnchor="text" w:yAlign="bottom"/>
                        <w:suppressOverlap/>
                        <w:rPr>
                          <w:sz w:val="12"/>
                        </w:rPr>
                      </w:pPr>
                    </w:p>
                  </w:tc>
                  <w:tc>
                    <w:tcPr>
                      <w:tcW w:w="720" w:type="dxa"/>
                      <w:tcBorders>
                        <w:top w:val="single" w:sz="2" w:space="0" w:color="438086" w:themeColor="accent2"/>
                        <w:bottom w:val="single" w:sz="24" w:space="0" w:color="438086" w:themeColor="accent2"/>
                      </w:tcBorders>
                    </w:tcPr>
                    <w:p w:rsidR="00743995" w:rsidRDefault="00743995" w:rsidP="00BF317B">
                      <w:pPr>
                        <w:pStyle w:val="Sinespaciado"/>
                        <w:framePr w:hSpace="187" w:wrap="around" w:hAnchor="text" w:yAlign="bottom"/>
                        <w:suppressOverlap/>
                        <w:rPr>
                          <w:sz w:val="12"/>
                        </w:rPr>
                      </w:pPr>
                    </w:p>
                  </w:tc>
                  <w:tc>
                    <w:tcPr>
                      <w:tcW w:w="2012" w:type="dxa"/>
                      <w:tcBorders>
                        <w:top w:val="single" w:sz="2" w:space="0" w:color="438086" w:themeColor="accent2"/>
                      </w:tcBorders>
                    </w:tcPr>
                    <w:p w:rsidR="00743995" w:rsidRDefault="00743995" w:rsidP="00BF317B">
                      <w:pPr>
                        <w:pStyle w:val="Sinespaciado"/>
                        <w:framePr w:hSpace="187" w:wrap="around" w:hAnchor="text" w:yAlign="bottom"/>
                        <w:suppressOverlap/>
                        <w:rPr>
                          <w:sz w:val="12"/>
                        </w:rPr>
                      </w:pPr>
                    </w:p>
                  </w:tc>
                </w:tr>
                <w:tr w:rsidR="008876B2">
                  <w:trPr>
                    <w:trHeight w:hRule="exact" w:val="86"/>
                  </w:trPr>
                  <w:tc>
                    <w:tcPr>
                      <w:tcW w:w="1098" w:type="dxa"/>
                      <w:tcBorders>
                        <w:top w:val="single" w:sz="24" w:space="0" w:color="438086" w:themeColor="accent2"/>
                        <w:bottom w:val="single" w:sz="8" w:space="0" w:color="438086" w:themeColor="accent2"/>
                      </w:tcBorders>
                    </w:tcPr>
                    <w:p w:rsidR="00743995" w:rsidRDefault="00743995" w:rsidP="00BF317B">
                      <w:pPr>
                        <w:pStyle w:val="Sinespaciado"/>
                        <w:framePr w:hSpace="187" w:wrap="around" w:hAnchor="text" w:yAlign="bottom"/>
                        <w:suppressOverlap/>
                        <w:rPr>
                          <w:sz w:val="12"/>
                        </w:rPr>
                      </w:pPr>
                    </w:p>
                  </w:tc>
                  <w:tc>
                    <w:tcPr>
                      <w:tcW w:w="720" w:type="dxa"/>
                      <w:tcBorders>
                        <w:top w:val="single" w:sz="24" w:space="0" w:color="438086" w:themeColor="accent2"/>
                        <w:bottom w:val="single" w:sz="8" w:space="0" w:color="438086" w:themeColor="accent2"/>
                      </w:tcBorders>
                    </w:tcPr>
                    <w:p w:rsidR="00743995" w:rsidRDefault="00743995" w:rsidP="00BF317B">
                      <w:pPr>
                        <w:pStyle w:val="Sinespaciado"/>
                        <w:framePr w:hSpace="187" w:wrap="around" w:hAnchor="text" w:yAlign="bottom"/>
                        <w:suppressOverlap/>
                        <w:rPr>
                          <w:sz w:val="12"/>
                        </w:rPr>
                      </w:pPr>
                    </w:p>
                  </w:tc>
                  <w:tc>
                    <w:tcPr>
                      <w:tcW w:w="2012" w:type="dxa"/>
                      <w:tcBorders>
                        <w:bottom w:val="single" w:sz="8" w:space="0" w:color="438086" w:themeColor="accent2"/>
                      </w:tcBorders>
                    </w:tcPr>
                    <w:p w:rsidR="00743995" w:rsidRDefault="00743995" w:rsidP="00BF317B">
                      <w:pPr>
                        <w:pStyle w:val="Sinespaciado"/>
                        <w:framePr w:hSpace="187" w:wrap="around" w:hAnchor="text" w:yAlign="bottom"/>
                        <w:suppressOverlap/>
                        <w:rPr>
                          <w:sz w:val="12"/>
                        </w:rPr>
                      </w:pPr>
                    </w:p>
                  </w:tc>
                </w:tr>
                <w:tr w:rsidR="008876B2">
                  <w:trPr>
                    <w:trHeight w:hRule="exact" w:val="58"/>
                  </w:trPr>
                  <w:tc>
                    <w:tcPr>
                      <w:tcW w:w="1098" w:type="dxa"/>
                      <w:tcBorders>
                        <w:top w:val="single" w:sz="8" w:space="0" w:color="438086" w:themeColor="accent2"/>
                      </w:tcBorders>
                    </w:tcPr>
                    <w:p w:rsidR="00743995" w:rsidRDefault="00743995" w:rsidP="00BF317B">
                      <w:pPr>
                        <w:pStyle w:val="Sinespaciado"/>
                        <w:framePr w:hSpace="187" w:wrap="around" w:hAnchor="text" w:yAlign="bottom"/>
                        <w:suppressOverlap/>
                        <w:rPr>
                          <w:sz w:val="12"/>
                        </w:rPr>
                      </w:pPr>
                    </w:p>
                  </w:tc>
                  <w:tc>
                    <w:tcPr>
                      <w:tcW w:w="720" w:type="dxa"/>
                      <w:tcBorders>
                        <w:top w:val="single" w:sz="8" w:space="0" w:color="438086" w:themeColor="accent2"/>
                        <w:bottom w:val="single" w:sz="12" w:space="0" w:color="438086" w:themeColor="accent2"/>
                      </w:tcBorders>
                    </w:tcPr>
                    <w:p w:rsidR="00743995" w:rsidRDefault="00743995" w:rsidP="00BF317B">
                      <w:pPr>
                        <w:pStyle w:val="Sinespaciado"/>
                        <w:framePr w:hSpace="187" w:wrap="around" w:hAnchor="text" w:yAlign="bottom"/>
                        <w:suppressOverlap/>
                        <w:rPr>
                          <w:sz w:val="12"/>
                        </w:rPr>
                      </w:pPr>
                    </w:p>
                  </w:tc>
                  <w:tc>
                    <w:tcPr>
                      <w:tcW w:w="2012" w:type="dxa"/>
                      <w:tcBorders>
                        <w:top w:val="single" w:sz="8" w:space="0" w:color="438086" w:themeColor="accent2"/>
                        <w:bottom w:val="single" w:sz="12" w:space="0" w:color="438086" w:themeColor="accent2"/>
                      </w:tcBorders>
                    </w:tcPr>
                    <w:p w:rsidR="00743995" w:rsidRDefault="00743995" w:rsidP="00BF317B">
                      <w:pPr>
                        <w:pStyle w:val="Sinespaciado"/>
                        <w:framePr w:hSpace="187" w:wrap="around" w:hAnchor="text" w:yAlign="bottom"/>
                        <w:suppressOverlap/>
                        <w:rPr>
                          <w:sz w:val="12"/>
                        </w:rPr>
                      </w:pPr>
                    </w:p>
                  </w:tc>
                </w:tr>
              </w:tbl>
              <w:p w:rsidR="00743995" w:rsidRDefault="00743995">
                <w:pPr>
                  <w:pStyle w:val="Sinespaciado"/>
                </w:pPr>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p w:rsidR="00743995" w:rsidRPr="008876B2" w:rsidRDefault="00BF317B" w:rsidP="00F07996">
                <w:pPr>
                  <w:pStyle w:val="Sinespaciado"/>
                </w:pPr>
                <w:sdt>
                  <w:sdtPr>
                    <w:rPr>
                      <w:color w:val="424456" w:themeColor="text2"/>
                      <w:szCs w:val="22"/>
                    </w:rPr>
                    <w:alias w:val="Autor"/>
                    <w:id w:val="81130488"/>
                    <w:dataBinding w:prefixMappings="xmlns:ns0='http://schemas.openxmlformats.org/package/2006/metadata/core-properties' xmlns:ns1='http://purl.org/dc/elements/1.1/'" w:xpath="/ns0:coreProperties[1]/ns1:creator[1]" w:storeItemID="{6C3C8BC8-F283-45AE-878A-BAB7291924A1}"/>
                    <w:text/>
                  </w:sdtPr>
                  <w:sdtEndPr/>
                  <w:sdtContent>
                    <w:r w:rsidR="00F07996" w:rsidRPr="00F07996">
                      <w:rPr>
                        <w:color w:val="424456" w:themeColor="text2"/>
                        <w:szCs w:val="22"/>
                      </w:rPr>
                      <w:t>CTBG</w:t>
                    </w:r>
                    <w:r w:rsidR="00F07996">
                      <w:rPr>
                        <w:color w:val="424456" w:themeColor="text2"/>
                        <w:szCs w:val="22"/>
                      </w:rPr>
                      <w:t xml:space="preserve">. </w:t>
                    </w:r>
                    <w:r w:rsidR="00F07996" w:rsidRPr="00F07996">
                      <w:rPr>
                        <w:color w:val="424456" w:themeColor="text2"/>
                        <w:szCs w:val="22"/>
                      </w:rPr>
                      <w:t xml:space="preserve">Subdirección General de Transparencia y Buen Gobierno. </w:t>
                    </w:r>
                  </w:sdtContent>
                </w:sdt>
              </w:p>
            </w:tc>
          </w:tr>
        </w:tbl>
        <w:p w:rsidR="00743995" w:rsidRDefault="008876B2">
          <w:pPr>
            <w:pStyle w:val="Ttulo"/>
            <w:rPr>
              <w:rFonts w:eastAsiaTheme="majorEastAsia" w:cstheme="majorBidi"/>
              <w:szCs w:val="20"/>
            </w:rPr>
          </w:pPr>
          <w:r>
            <w:rPr>
              <w:noProof/>
            </w:rPr>
            <w:drawing>
              <wp:inline distT="0" distB="0" distL="0" distR="0" wp14:anchorId="5962BA5D" wp14:editId="3B945914">
                <wp:extent cx="1611561" cy="923925"/>
                <wp:effectExtent l="0" t="0" r="8255" b="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861" cy="925817"/>
                        </a:xfrm>
                        <a:prstGeom prst="rect">
                          <a:avLst/>
                        </a:prstGeom>
                        <a:noFill/>
                        <a:ln>
                          <a:noFill/>
                        </a:ln>
                      </pic:spPr>
                    </pic:pic>
                  </a:graphicData>
                </a:graphic>
              </wp:inline>
            </w:drawing>
          </w:r>
          <w:r w:rsidR="0065420F">
            <w:rPr>
              <w:rFonts w:asciiTheme="minorHAnsi" w:eastAsiaTheme="minorEastAsia" w:hAnsiTheme="minorHAnsi"/>
              <w:color w:val="000000"/>
              <w:sz w:val="20"/>
              <w:szCs w:val="20"/>
              <w14:textFill>
                <w14:solidFill>
                  <w14:srgbClr w14:val="000000">
                    <w14:lumMod w14:val="75000"/>
                  </w14:srgbClr>
                </w14:solidFill>
              </w14:textFill>
            </w:rPr>
            <w:br w:type="page"/>
          </w:r>
        </w:p>
      </w:sdtContent>
    </w:sdt>
    <w:sdt>
      <w:sdtPr>
        <w:rPr>
          <w:rFonts w:ascii="Century Gothic" w:eastAsiaTheme="minorHAnsi" w:hAnsi="Century Gothic" w:cstheme="minorBidi"/>
          <w:b w:val="0"/>
          <w:bCs w:val="0"/>
          <w:color w:val="auto"/>
          <w:sz w:val="20"/>
          <w:szCs w:val="20"/>
        </w:rPr>
        <w:id w:val="322091043"/>
        <w:docPartObj>
          <w:docPartGallery w:val="Table of Contents"/>
          <w:docPartUnique/>
        </w:docPartObj>
      </w:sdtPr>
      <w:sdtEndPr/>
      <w:sdtContent>
        <w:p w:rsidR="00E924EF" w:rsidRDefault="00E924EF">
          <w:pPr>
            <w:pStyle w:val="TtulodeTDC"/>
            <w:rPr>
              <w:sz w:val="20"/>
              <w:szCs w:val="20"/>
            </w:rPr>
          </w:pPr>
          <w:r w:rsidRPr="009F1F97">
            <w:rPr>
              <w:sz w:val="20"/>
              <w:szCs w:val="20"/>
            </w:rPr>
            <w:t>Contenido</w:t>
          </w:r>
        </w:p>
        <w:p w:rsidR="0078315A" w:rsidRPr="0078315A" w:rsidRDefault="0078315A" w:rsidP="0078315A"/>
        <w:p w:rsidR="0078315A" w:rsidRPr="0078315A" w:rsidRDefault="00E924EF">
          <w:pPr>
            <w:pStyle w:val="TDC1"/>
            <w:tabs>
              <w:tab w:val="left" w:pos="400"/>
              <w:tab w:val="right" w:pos="9061"/>
            </w:tabs>
            <w:rPr>
              <w:rFonts w:asciiTheme="minorHAnsi" w:hAnsiTheme="minorHAnsi"/>
              <w:noProof/>
              <w:sz w:val="20"/>
              <w:szCs w:val="20"/>
            </w:rPr>
          </w:pPr>
          <w:r w:rsidRPr="009F1F97">
            <w:rPr>
              <w:sz w:val="20"/>
              <w:szCs w:val="20"/>
            </w:rPr>
            <w:fldChar w:fldCharType="begin"/>
          </w:r>
          <w:r w:rsidRPr="009F1F97">
            <w:rPr>
              <w:sz w:val="20"/>
              <w:szCs w:val="20"/>
            </w:rPr>
            <w:instrText xml:space="preserve"> TOC \o "1-3" \h \z \u </w:instrText>
          </w:r>
          <w:r w:rsidRPr="009F1F97">
            <w:rPr>
              <w:sz w:val="20"/>
              <w:szCs w:val="20"/>
            </w:rPr>
            <w:fldChar w:fldCharType="separate"/>
          </w:r>
          <w:hyperlink w:anchor="_Toc98405834" w:history="1">
            <w:r w:rsidR="0078315A" w:rsidRPr="0078315A">
              <w:rPr>
                <w:rStyle w:val="Hipervnculo"/>
                <w:noProof/>
                <w:sz w:val="20"/>
                <w:szCs w:val="20"/>
              </w:rPr>
              <w:t>I.</w:t>
            </w:r>
            <w:r w:rsidR="0078315A" w:rsidRPr="0078315A">
              <w:rPr>
                <w:rFonts w:asciiTheme="minorHAnsi" w:hAnsiTheme="minorHAnsi"/>
                <w:noProof/>
                <w:sz w:val="20"/>
                <w:szCs w:val="20"/>
              </w:rPr>
              <w:tab/>
            </w:r>
            <w:r w:rsidR="0078315A" w:rsidRPr="0078315A">
              <w:rPr>
                <w:rStyle w:val="Hipervnculo"/>
                <w:noProof/>
                <w:sz w:val="20"/>
                <w:szCs w:val="20"/>
              </w:rPr>
              <w:t>Introducción</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_Toc98405834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2</w:t>
            </w:r>
            <w:r w:rsidR="0078315A" w:rsidRPr="0078315A">
              <w:rPr>
                <w:noProof/>
                <w:webHidden/>
                <w:sz w:val="20"/>
                <w:szCs w:val="20"/>
              </w:rPr>
              <w:fldChar w:fldCharType="end"/>
            </w:r>
          </w:hyperlink>
        </w:p>
        <w:p w:rsidR="0078315A" w:rsidRPr="0078315A" w:rsidRDefault="00BF317B">
          <w:pPr>
            <w:pStyle w:val="TDC1"/>
            <w:tabs>
              <w:tab w:val="right" w:pos="9061"/>
            </w:tabs>
            <w:rPr>
              <w:rFonts w:asciiTheme="minorHAnsi" w:hAnsiTheme="minorHAnsi"/>
              <w:noProof/>
              <w:sz w:val="20"/>
              <w:szCs w:val="20"/>
            </w:rPr>
          </w:pPr>
          <w:hyperlink w:anchor="_Toc98405835" w:history="1">
            <w:r w:rsidR="0078315A" w:rsidRPr="0078315A">
              <w:rPr>
                <w:rStyle w:val="Hipervnculo"/>
                <w:noProof/>
                <w:sz w:val="20"/>
                <w:szCs w:val="20"/>
              </w:rPr>
              <w:t>II. Alcance de la evaluación.</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_Toc98405835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2</w:t>
            </w:r>
            <w:r w:rsidR="0078315A" w:rsidRPr="0078315A">
              <w:rPr>
                <w:noProof/>
                <w:webHidden/>
                <w:sz w:val="20"/>
                <w:szCs w:val="20"/>
              </w:rPr>
              <w:fldChar w:fldCharType="end"/>
            </w:r>
          </w:hyperlink>
        </w:p>
        <w:p w:rsidR="0078315A" w:rsidRPr="0078315A" w:rsidRDefault="00BF317B">
          <w:pPr>
            <w:pStyle w:val="TDC2"/>
            <w:tabs>
              <w:tab w:val="right" w:pos="9061"/>
            </w:tabs>
            <w:rPr>
              <w:rFonts w:asciiTheme="minorHAnsi" w:hAnsiTheme="minorHAnsi"/>
              <w:noProof/>
              <w:sz w:val="20"/>
              <w:szCs w:val="20"/>
            </w:rPr>
          </w:pPr>
          <w:hyperlink w:anchor="_Toc98405836" w:history="1">
            <w:r w:rsidR="0078315A" w:rsidRPr="0078315A">
              <w:rPr>
                <w:rStyle w:val="Hipervnculo"/>
                <w:noProof/>
                <w:sz w:val="20"/>
                <w:szCs w:val="20"/>
              </w:rPr>
              <w:t>II.1 Entidades incluidas en este grupo de sujetos obligados</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_Toc98405836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2</w:t>
            </w:r>
            <w:r w:rsidR="0078315A" w:rsidRPr="0078315A">
              <w:rPr>
                <w:noProof/>
                <w:webHidden/>
                <w:sz w:val="20"/>
                <w:szCs w:val="20"/>
              </w:rPr>
              <w:fldChar w:fldCharType="end"/>
            </w:r>
          </w:hyperlink>
        </w:p>
        <w:p w:rsidR="0078315A" w:rsidRPr="0078315A" w:rsidRDefault="00BF317B">
          <w:pPr>
            <w:pStyle w:val="TDC2"/>
            <w:tabs>
              <w:tab w:val="right" w:pos="9061"/>
            </w:tabs>
            <w:rPr>
              <w:rFonts w:asciiTheme="minorHAnsi" w:hAnsiTheme="minorHAnsi"/>
              <w:noProof/>
              <w:sz w:val="20"/>
              <w:szCs w:val="20"/>
            </w:rPr>
          </w:pPr>
          <w:hyperlink w:anchor="_Toc98405837" w:history="1">
            <w:r w:rsidR="0078315A" w:rsidRPr="0078315A">
              <w:rPr>
                <w:rStyle w:val="Hipervnculo"/>
                <w:noProof/>
                <w:sz w:val="20"/>
                <w:szCs w:val="20"/>
              </w:rPr>
              <w:t>II.2 Delimitación de las obligaciones de publicidad activa aplicables.</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_Toc98405837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2</w:t>
            </w:r>
            <w:r w:rsidR="0078315A" w:rsidRPr="0078315A">
              <w:rPr>
                <w:noProof/>
                <w:webHidden/>
                <w:sz w:val="20"/>
                <w:szCs w:val="20"/>
              </w:rPr>
              <w:fldChar w:fldCharType="end"/>
            </w:r>
          </w:hyperlink>
        </w:p>
        <w:p w:rsidR="0078315A" w:rsidRPr="0078315A" w:rsidRDefault="00BF317B">
          <w:pPr>
            <w:pStyle w:val="TDC1"/>
            <w:tabs>
              <w:tab w:val="right" w:pos="9061"/>
            </w:tabs>
            <w:rPr>
              <w:rFonts w:asciiTheme="minorHAnsi" w:hAnsiTheme="minorHAnsi"/>
              <w:noProof/>
              <w:sz w:val="20"/>
              <w:szCs w:val="20"/>
            </w:rPr>
          </w:pPr>
          <w:hyperlink w:anchor="_Toc98405838" w:history="1">
            <w:r w:rsidR="0078315A" w:rsidRPr="0078315A">
              <w:rPr>
                <w:rStyle w:val="Hipervnculo"/>
                <w:noProof/>
                <w:sz w:val="20"/>
                <w:szCs w:val="20"/>
              </w:rPr>
              <w:t>III. Evaluación del cumplimiento de las obligaciones de publicidad activa por parte de las Autoridades Administrativas Independientes y Órganos supervisores y reguladores.</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_Toc98405838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4</w:t>
            </w:r>
            <w:r w:rsidR="0078315A" w:rsidRPr="0078315A">
              <w:rPr>
                <w:noProof/>
                <w:webHidden/>
                <w:sz w:val="20"/>
                <w:szCs w:val="20"/>
              </w:rPr>
              <w:fldChar w:fldCharType="end"/>
            </w:r>
          </w:hyperlink>
        </w:p>
        <w:p w:rsidR="0078315A" w:rsidRPr="0078315A" w:rsidRDefault="00BF317B">
          <w:pPr>
            <w:pStyle w:val="TDC2"/>
            <w:tabs>
              <w:tab w:val="right" w:pos="9061"/>
            </w:tabs>
            <w:rPr>
              <w:rFonts w:asciiTheme="minorHAnsi" w:hAnsiTheme="minorHAnsi"/>
              <w:noProof/>
              <w:sz w:val="20"/>
              <w:szCs w:val="20"/>
            </w:rPr>
          </w:pPr>
          <w:hyperlink w:anchor="_Toc98405839" w:history="1">
            <w:r w:rsidR="0078315A" w:rsidRPr="0078315A">
              <w:rPr>
                <w:rStyle w:val="Hipervnculo"/>
                <w:noProof/>
                <w:sz w:val="20"/>
                <w:szCs w:val="20"/>
              </w:rPr>
              <w:t>III.1 Grado de aplicación de las recomendaciones derivadas de la evaluación 2021.</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_Toc98405839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4</w:t>
            </w:r>
            <w:r w:rsidR="0078315A" w:rsidRPr="0078315A">
              <w:rPr>
                <w:noProof/>
                <w:webHidden/>
                <w:sz w:val="20"/>
                <w:szCs w:val="20"/>
              </w:rPr>
              <w:fldChar w:fldCharType="end"/>
            </w:r>
          </w:hyperlink>
        </w:p>
        <w:p w:rsidR="0078315A" w:rsidRPr="0078315A" w:rsidRDefault="00BF317B">
          <w:pPr>
            <w:pStyle w:val="TDC2"/>
            <w:tabs>
              <w:tab w:val="right" w:pos="9061"/>
            </w:tabs>
            <w:rPr>
              <w:rFonts w:asciiTheme="minorHAnsi" w:hAnsiTheme="minorHAnsi"/>
              <w:noProof/>
              <w:sz w:val="20"/>
              <w:szCs w:val="20"/>
            </w:rPr>
          </w:pPr>
          <w:hyperlink w:anchor="_Toc98405840" w:history="1">
            <w:r w:rsidR="0078315A" w:rsidRPr="0078315A">
              <w:rPr>
                <w:rStyle w:val="Hipervnculo"/>
                <w:noProof/>
                <w:sz w:val="20"/>
                <w:szCs w:val="20"/>
              </w:rPr>
              <w:t>III.2. Cumplimiento de las obligaciones de publicidad activa</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_Toc98405840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5</w:t>
            </w:r>
            <w:r w:rsidR="0078315A" w:rsidRPr="0078315A">
              <w:rPr>
                <w:noProof/>
                <w:webHidden/>
                <w:sz w:val="20"/>
                <w:szCs w:val="20"/>
              </w:rPr>
              <w:fldChar w:fldCharType="end"/>
            </w:r>
          </w:hyperlink>
        </w:p>
        <w:p w:rsidR="0078315A" w:rsidRPr="0078315A" w:rsidRDefault="00BF317B">
          <w:pPr>
            <w:pStyle w:val="TDC3"/>
            <w:tabs>
              <w:tab w:val="right" w:pos="9061"/>
            </w:tabs>
            <w:rPr>
              <w:rFonts w:asciiTheme="minorHAnsi" w:eastAsiaTheme="minorEastAsia" w:hAnsiTheme="minorHAnsi"/>
              <w:noProof/>
              <w:sz w:val="20"/>
            </w:rPr>
          </w:pPr>
          <w:hyperlink w:anchor="_Toc98405841" w:history="1">
            <w:r w:rsidR="0078315A" w:rsidRPr="0078315A">
              <w:rPr>
                <w:rStyle w:val="Hipervnculo"/>
                <w:noProof/>
                <w:sz w:val="20"/>
              </w:rPr>
              <w:t>III.2.1.  Información Institucional, Organizativa y de Planificación</w:t>
            </w:r>
            <w:r w:rsidR="0078315A" w:rsidRPr="0078315A">
              <w:rPr>
                <w:noProof/>
                <w:webHidden/>
                <w:sz w:val="20"/>
              </w:rPr>
              <w:tab/>
            </w:r>
            <w:r w:rsidR="0078315A" w:rsidRPr="0078315A">
              <w:rPr>
                <w:noProof/>
                <w:webHidden/>
                <w:sz w:val="20"/>
              </w:rPr>
              <w:fldChar w:fldCharType="begin"/>
            </w:r>
            <w:r w:rsidR="0078315A" w:rsidRPr="0078315A">
              <w:rPr>
                <w:noProof/>
                <w:webHidden/>
                <w:sz w:val="20"/>
              </w:rPr>
              <w:instrText xml:space="preserve"> PAGEREF _Toc98405841 \h </w:instrText>
            </w:r>
            <w:r w:rsidR="0078315A" w:rsidRPr="0078315A">
              <w:rPr>
                <w:noProof/>
                <w:webHidden/>
                <w:sz w:val="20"/>
              </w:rPr>
            </w:r>
            <w:r w:rsidR="0078315A" w:rsidRPr="0078315A">
              <w:rPr>
                <w:noProof/>
                <w:webHidden/>
                <w:sz w:val="20"/>
              </w:rPr>
              <w:fldChar w:fldCharType="separate"/>
            </w:r>
            <w:r w:rsidR="000556BB">
              <w:rPr>
                <w:noProof/>
                <w:webHidden/>
                <w:sz w:val="20"/>
              </w:rPr>
              <w:t>5</w:t>
            </w:r>
            <w:r w:rsidR="0078315A" w:rsidRPr="0078315A">
              <w:rPr>
                <w:noProof/>
                <w:webHidden/>
                <w:sz w:val="20"/>
              </w:rPr>
              <w:fldChar w:fldCharType="end"/>
            </w:r>
          </w:hyperlink>
        </w:p>
        <w:p w:rsidR="0078315A" w:rsidRPr="0078315A" w:rsidRDefault="00BF317B">
          <w:pPr>
            <w:pStyle w:val="TDC3"/>
            <w:tabs>
              <w:tab w:val="right" w:pos="9061"/>
            </w:tabs>
            <w:rPr>
              <w:rFonts w:asciiTheme="minorHAnsi" w:eastAsiaTheme="minorEastAsia" w:hAnsiTheme="minorHAnsi"/>
              <w:noProof/>
              <w:sz w:val="20"/>
            </w:rPr>
          </w:pPr>
          <w:hyperlink w:anchor="_Toc98405842" w:history="1">
            <w:r w:rsidR="0078315A" w:rsidRPr="0078315A">
              <w:rPr>
                <w:rStyle w:val="Hipervnculo"/>
                <w:noProof/>
                <w:sz w:val="20"/>
              </w:rPr>
              <w:t>III.2.2. Información de Relevancia Jurídica</w:t>
            </w:r>
            <w:r w:rsidR="0078315A" w:rsidRPr="0078315A">
              <w:rPr>
                <w:noProof/>
                <w:webHidden/>
                <w:sz w:val="20"/>
              </w:rPr>
              <w:tab/>
            </w:r>
            <w:r w:rsidR="0078315A" w:rsidRPr="0078315A">
              <w:rPr>
                <w:noProof/>
                <w:webHidden/>
                <w:sz w:val="20"/>
              </w:rPr>
              <w:fldChar w:fldCharType="begin"/>
            </w:r>
            <w:r w:rsidR="0078315A" w:rsidRPr="0078315A">
              <w:rPr>
                <w:noProof/>
                <w:webHidden/>
                <w:sz w:val="20"/>
              </w:rPr>
              <w:instrText xml:space="preserve"> PAGEREF _Toc98405842 \h </w:instrText>
            </w:r>
            <w:r w:rsidR="0078315A" w:rsidRPr="0078315A">
              <w:rPr>
                <w:noProof/>
                <w:webHidden/>
                <w:sz w:val="20"/>
              </w:rPr>
            </w:r>
            <w:r w:rsidR="0078315A" w:rsidRPr="0078315A">
              <w:rPr>
                <w:noProof/>
                <w:webHidden/>
                <w:sz w:val="20"/>
              </w:rPr>
              <w:fldChar w:fldCharType="separate"/>
            </w:r>
            <w:r w:rsidR="000556BB">
              <w:rPr>
                <w:noProof/>
                <w:webHidden/>
                <w:sz w:val="20"/>
              </w:rPr>
              <w:t>6</w:t>
            </w:r>
            <w:r w:rsidR="0078315A" w:rsidRPr="0078315A">
              <w:rPr>
                <w:noProof/>
                <w:webHidden/>
                <w:sz w:val="20"/>
              </w:rPr>
              <w:fldChar w:fldCharType="end"/>
            </w:r>
          </w:hyperlink>
        </w:p>
        <w:p w:rsidR="0078315A" w:rsidRPr="0078315A" w:rsidRDefault="00BF317B">
          <w:pPr>
            <w:pStyle w:val="TDC3"/>
            <w:tabs>
              <w:tab w:val="right" w:pos="9061"/>
            </w:tabs>
            <w:rPr>
              <w:rFonts w:asciiTheme="minorHAnsi" w:eastAsiaTheme="minorEastAsia" w:hAnsiTheme="minorHAnsi"/>
              <w:noProof/>
              <w:sz w:val="20"/>
            </w:rPr>
          </w:pPr>
          <w:hyperlink w:anchor="_Toc98405843" w:history="1">
            <w:r w:rsidR="0078315A" w:rsidRPr="0078315A">
              <w:rPr>
                <w:rStyle w:val="Hipervnculo"/>
                <w:noProof/>
                <w:sz w:val="20"/>
              </w:rPr>
              <w:t>III.2.3.  Información Económica, Presupuestaria y Estadística</w:t>
            </w:r>
            <w:r w:rsidR="0078315A" w:rsidRPr="0078315A">
              <w:rPr>
                <w:noProof/>
                <w:webHidden/>
                <w:sz w:val="20"/>
              </w:rPr>
              <w:tab/>
            </w:r>
            <w:r w:rsidR="0078315A" w:rsidRPr="0078315A">
              <w:rPr>
                <w:noProof/>
                <w:webHidden/>
                <w:sz w:val="20"/>
              </w:rPr>
              <w:fldChar w:fldCharType="begin"/>
            </w:r>
            <w:r w:rsidR="0078315A" w:rsidRPr="0078315A">
              <w:rPr>
                <w:noProof/>
                <w:webHidden/>
                <w:sz w:val="20"/>
              </w:rPr>
              <w:instrText xml:space="preserve"> PAGEREF _Toc98405843 \h </w:instrText>
            </w:r>
            <w:r w:rsidR="0078315A" w:rsidRPr="0078315A">
              <w:rPr>
                <w:noProof/>
                <w:webHidden/>
                <w:sz w:val="20"/>
              </w:rPr>
            </w:r>
            <w:r w:rsidR="0078315A" w:rsidRPr="0078315A">
              <w:rPr>
                <w:noProof/>
                <w:webHidden/>
                <w:sz w:val="20"/>
              </w:rPr>
              <w:fldChar w:fldCharType="separate"/>
            </w:r>
            <w:r w:rsidR="000556BB">
              <w:rPr>
                <w:noProof/>
                <w:webHidden/>
                <w:sz w:val="20"/>
              </w:rPr>
              <w:t>6</w:t>
            </w:r>
            <w:r w:rsidR="0078315A" w:rsidRPr="0078315A">
              <w:rPr>
                <w:noProof/>
                <w:webHidden/>
                <w:sz w:val="20"/>
              </w:rPr>
              <w:fldChar w:fldCharType="end"/>
            </w:r>
          </w:hyperlink>
        </w:p>
        <w:p w:rsidR="0078315A" w:rsidRPr="0078315A" w:rsidRDefault="00BF317B">
          <w:pPr>
            <w:pStyle w:val="TDC3"/>
            <w:tabs>
              <w:tab w:val="right" w:pos="9061"/>
            </w:tabs>
            <w:rPr>
              <w:rFonts w:asciiTheme="minorHAnsi" w:eastAsiaTheme="minorEastAsia" w:hAnsiTheme="minorHAnsi"/>
              <w:noProof/>
              <w:sz w:val="20"/>
            </w:rPr>
          </w:pPr>
          <w:hyperlink w:anchor="_Toc98405844" w:history="1">
            <w:r w:rsidR="0078315A" w:rsidRPr="0078315A">
              <w:rPr>
                <w:rStyle w:val="Hipervnculo"/>
                <w:noProof/>
                <w:sz w:val="20"/>
              </w:rPr>
              <w:t>III.2.4.  Información Patrimonial</w:t>
            </w:r>
            <w:r w:rsidR="0078315A" w:rsidRPr="0078315A">
              <w:rPr>
                <w:noProof/>
                <w:webHidden/>
                <w:sz w:val="20"/>
              </w:rPr>
              <w:tab/>
            </w:r>
            <w:r w:rsidR="0078315A" w:rsidRPr="0078315A">
              <w:rPr>
                <w:noProof/>
                <w:webHidden/>
                <w:sz w:val="20"/>
              </w:rPr>
              <w:fldChar w:fldCharType="begin"/>
            </w:r>
            <w:r w:rsidR="0078315A" w:rsidRPr="0078315A">
              <w:rPr>
                <w:noProof/>
                <w:webHidden/>
                <w:sz w:val="20"/>
              </w:rPr>
              <w:instrText xml:space="preserve"> PAGEREF _Toc98405844 \h </w:instrText>
            </w:r>
            <w:r w:rsidR="0078315A" w:rsidRPr="0078315A">
              <w:rPr>
                <w:noProof/>
                <w:webHidden/>
                <w:sz w:val="20"/>
              </w:rPr>
            </w:r>
            <w:r w:rsidR="0078315A" w:rsidRPr="0078315A">
              <w:rPr>
                <w:noProof/>
                <w:webHidden/>
                <w:sz w:val="20"/>
              </w:rPr>
              <w:fldChar w:fldCharType="separate"/>
            </w:r>
            <w:r w:rsidR="000556BB">
              <w:rPr>
                <w:noProof/>
                <w:webHidden/>
                <w:sz w:val="20"/>
              </w:rPr>
              <w:t>7</w:t>
            </w:r>
            <w:r w:rsidR="0078315A" w:rsidRPr="0078315A">
              <w:rPr>
                <w:noProof/>
                <w:webHidden/>
                <w:sz w:val="20"/>
              </w:rPr>
              <w:fldChar w:fldCharType="end"/>
            </w:r>
          </w:hyperlink>
        </w:p>
        <w:p w:rsidR="0078315A" w:rsidRPr="0078315A" w:rsidRDefault="00BF317B">
          <w:pPr>
            <w:pStyle w:val="TDC3"/>
            <w:tabs>
              <w:tab w:val="right" w:pos="9061"/>
            </w:tabs>
            <w:rPr>
              <w:rFonts w:asciiTheme="minorHAnsi" w:eastAsiaTheme="minorEastAsia" w:hAnsiTheme="minorHAnsi"/>
              <w:noProof/>
              <w:sz w:val="20"/>
            </w:rPr>
          </w:pPr>
          <w:hyperlink w:anchor="_Toc98405845" w:history="1">
            <w:r w:rsidR="0078315A" w:rsidRPr="0078315A">
              <w:rPr>
                <w:rStyle w:val="Hipervnculo"/>
                <w:noProof/>
                <w:sz w:val="20"/>
              </w:rPr>
              <w:t>III.2.5. Índice de Cumplimiento de la Información Obligatoria (ICIO)</w:t>
            </w:r>
            <w:r w:rsidR="0078315A" w:rsidRPr="0078315A">
              <w:rPr>
                <w:noProof/>
                <w:webHidden/>
                <w:sz w:val="20"/>
              </w:rPr>
              <w:tab/>
            </w:r>
            <w:r w:rsidR="0078315A" w:rsidRPr="0078315A">
              <w:rPr>
                <w:noProof/>
                <w:webHidden/>
                <w:sz w:val="20"/>
              </w:rPr>
              <w:fldChar w:fldCharType="begin"/>
            </w:r>
            <w:r w:rsidR="0078315A" w:rsidRPr="0078315A">
              <w:rPr>
                <w:noProof/>
                <w:webHidden/>
                <w:sz w:val="20"/>
              </w:rPr>
              <w:instrText xml:space="preserve"> PAGEREF _Toc98405845 \h </w:instrText>
            </w:r>
            <w:r w:rsidR="0078315A" w:rsidRPr="0078315A">
              <w:rPr>
                <w:noProof/>
                <w:webHidden/>
                <w:sz w:val="20"/>
              </w:rPr>
            </w:r>
            <w:r w:rsidR="0078315A" w:rsidRPr="0078315A">
              <w:rPr>
                <w:noProof/>
                <w:webHidden/>
                <w:sz w:val="20"/>
              </w:rPr>
              <w:fldChar w:fldCharType="separate"/>
            </w:r>
            <w:r w:rsidR="000556BB">
              <w:rPr>
                <w:noProof/>
                <w:webHidden/>
                <w:sz w:val="20"/>
              </w:rPr>
              <w:t>8</w:t>
            </w:r>
            <w:r w:rsidR="0078315A" w:rsidRPr="0078315A">
              <w:rPr>
                <w:noProof/>
                <w:webHidden/>
                <w:sz w:val="20"/>
              </w:rPr>
              <w:fldChar w:fldCharType="end"/>
            </w:r>
          </w:hyperlink>
        </w:p>
        <w:p w:rsidR="0078315A" w:rsidRDefault="00BF317B">
          <w:pPr>
            <w:pStyle w:val="TDC1"/>
            <w:tabs>
              <w:tab w:val="left" w:pos="660"/>
              <w:tab w:val="right" w:pos="9061"/>
            </w:tabs>
            <w:rPr>
              <w:rFonts w:asciiTheme="minorHAnsi" w:hAnsiTheme="minorHAnsi"/>
              <w:noProof/>
              <w:szCs w:val="22"/>
            </w:rPr>
          </w:pPr>
          <w:hyperlink w:anchor="_Toc98405848" w:history="1">
            <w:r w:rsidR="0078315A" w:rsidRPr="0078315A">
              <w:rPr>
                <w:rStyle w:val="Hipervnculo"/>
                <w:noProof/>
                <w:sz w:val="20"/>
                <w:szCs w:val="20"/>
              </w:rPr>
              <w:t>V.</w:t>
            </w:r>
            <w:r w:rsidR="0078315A" w:rsidRPr="0078315A">
              <w:rPr>
                <w:rFonts w:asciiTheme="minorHAnsi" w:hAnsiTheme="minorHAnsi"/>
                <w:noProof/>
                <w:sz w:val="20"/>
                <w:szCs w:val="20"/>
              </w:rPr>
              <w:tab/>
            </w:r>
            <w:r w:rsidR="0078315A" w:rsidRPr="0078315A">
              <w:rPr>
                <w:rStyle w:val="Hipervnculo"/>
                <w:noProof/>
                <w:sz w:val="20"/>
                <w:szCs w:val="20"/>
              </w:rPr>
              <w:t>Conclusiones y Recomendaciones</w:t>
            </w:r>
            <w:r w:rsidR="0078315A" w:rsidRPr="0078315A">
              <w:rPr>
                <w:noProof/>
                <w:webHidden/>
                <w:sz w:val="20"/>
                <w:szCs w:val="20"/>
              </w:rPr>
              <w:tab/>
            </w:r>
            <w:r w:rsidR="0078315A" w:rsidRPr="0078315A">
              <w:rPr>
                <w:noProof/>
                <w:webHidden/>
                <w:sz w:val="20"/>
                <w:szCs w:val="20"/>
              </w:rPr>
              <w:fldChar w:fldCharType="begin"/>
            </w:r>
            <w:r w:rsidR="0078315A" w:rsidRPr="0078315A">
              <w:rPr>
                <w:noProof/>
                <w:webHidden/>
                <w:sz w:val="20"/>
                <w:szCs w:val="20"/>
              </w:rPr>
              <w:instrText xml:space="preserve"> PAGEREF _Toc98405848 \h </w:instrText>
            </w:r>
            <w:r w:rsidR="0078315A" w:rsidRPr="0078315A">
              <w:rPr>
                <w:noProof/>
                <w:webHidden/>
                <w:sz w:val="20"/>
                <w:szCs w:val="20"/>
              </w:rPr>
            </w:r>
            <w:r w:rsidR="0078315A" w:rsidRPr="0078315A">
              <w:rPr>
                <w:noProof/>
                <w:webHidden/>
                <w:sz w:val="20"/>
                <w:szCs w:val="20"/>
              </w:rPr>
              <w:fldChar w:fldCharType="separate"/>
            </w:r>
            <w:r w:rsidR="000556BB">
              <w:rPr>
                <w:noProof/>
                <w:webHidden/>
                <w:sz w:val="20"/>
                <w:szCs w:val="20"/>
              </w:rPr>
              <w:t>10</w:t>
            </w:r>
            <w:r w:rsidR="0078315A" w:rsidRPr="0078315A">
              <w:rPr>
                <w:noProof/>
                <w:webHidden/>
                <w:sz w:val="20"/>
                <w:szCs w:val="20"/>
              </w:rPr>
              <w:fldChar w:fldCharType="end"/>
            </w:r>
          </w:hyperlink>
        </w:p>
        <w:p w:rsidR="00E924EF" w:rsidRDefault="00E924EF">
          <w:r w:rsidRPr="009F1F97">
            <w:rPr>
              <w:b/>
              <w:bCs/>
              <w:sz w:val="20"/>
            </w:rPr>
            <w:fldChar w:fldCharType="end"/>
          </w:r>
        </w:p>
      </w:sdtContent>
    </w:sdt>
    <w:p w:rsidR="00743995" w:rsidRDefault="00E924EF" w:rsidP="0026153E">
      <w:pPr>
        <w:pStyle w:val="Ttulo1"/>
        <w:numPr>
          <w:ilvl w:val="0"/>
          <w:numId w:val="48"/>
        </w:numPr>
      </w:pPr>
      <w:r>
        <w:br w:type="page"/>
      </w:r>
      <w:bookmarkStart w:id="0" w:name="_Toc98405834"/>
      <w:r w:rsidR="005F586A">
        <w:lastRenderedPageBreak/>
        <w:t>Introducción</w:t>
      </w:r>
      <w:bookmarkEnd w:id="0"/>
    </w:p>
    <w:p w:rsidR="00743995" w:rsidRDefault="00743995"/>
    <w:p w:rsidR="00341355" w:rsidRDefault="00341355" w:rsidP="00341355">
      <w:r>
        <w:t xml:space="preserve">El presente informe recoge los resultados agregados de la evaluación del cumplimiento de las obligaciones de publicidad activa y de la gestión de las solicitudes de acceso a la información pública correspondientes a los órganos </w:t>
      </w:r>
      <w:r w:rsidR="00F07996">
        <w:t>reguladores y supervisores y a las autoridades administrativas independientes</w:t>
      </w:r>
      <w:r>
        <w:t>.</w:t>
      </w:r>
    </w:p>
    <w:p w:rsidR="00341355" w:rsidRDefault="00341355" w:rsidP="00341355">
      <w:r>
        <w:t xml:space="preserve">Para la evaluación del cumplimiento de las obligaciones de publicidad activa se ha aplicado la metodología MESTA desarrollada conjuntamente por el CTBG y la extinguida AEVAL. Se ha analizado el grado de publicación de contenidos obligatorios así como el cumplimiento de los criterios en cuanto a la forma de publicación y de los atributos de calidad aplicables a la información publicada que establece la LTAIBG. </w:t>
      </w:r>
      <w:r w:rsidR="009974F4">
        <w:t>Igualmente se ha revisado el grado de aplicación de las recomendaciones derivadas de la evaluación realizada en 2021.</w:t>
      </w:r>
    </w:p>
    <w:p w:rsidR="005F586A" w:rsidRDefault="009974F4">
      <w:r>
        <w:t>Ambos análisis</w:t>
      </w:r>
      <w:r w:rsidR="00341355">
        <w:t xml:space="preserve"> se ha</w:t>
      </w:r>
      <w:r>
        <w:t>n</w:t>
      </w:r>
      <w:r w:rsidR="00341355">
        <w:t xml:space="preserve"> realizado con recursos propios del CTBG.</w:t>
      </w:r>
    </w:p>
    <w:p w:rsidR="0047212C" w:rsidRDefault="00077CDF" w:rsidP="00077CDF">
      <w:pPr>
        <w:pStyle w:val="Ttulo1"/>
      </w:pPr>
      <w:bookmarkStart w:id="1" w:name="_Toc98405835"/>
      <w:r>
        <w:t>I</w:t>
      </w:r>
      <w:r w:rsidR="0047212C">
        <w:t>I</w:t>
      </w:r>
      <w:r>
        <w:t>.</w:t>
      </w:r>
      <w:r w:rsidR="0047212C">
        <w:t xml:space="preserve"> Alcance de la evaluación.</w:t>
      </w:r>
      <w:bookmarkEnd w:id="1"/>
      <w:r w:rsidR="0047212C">
        <w:t xml:space="preserve"> </w:t>
      </w:r>
    </w:p>
    <w:p w:rsidR="00CE43A8" w:rsidRPr="00CE43A8" w:rsidRDefault="00CE43A8" w:rsidP="00CE43A8"/>
    <w:p w:rsidR="005F586A" w:rsidRDefault="005A1B1B" w:rsidP="00077CDF">
      <w:pPr>
        <w:pStyle w:val="Ttulo2"/>
      </w:pPr>
      <w:bookmarkStart w:id="2" w:name="_Toc98405836"/>
      <w:r w:rsidRPr="005A1B1B">
        <w:t>II.1 Entidades incluidas en este grupo de sujetos obligados</w:t>
      </w:r>
      <w:bookmarkEnd w:id="2"/>
    </w:p>
    <w:p w:rsidR="00A643EA" w:rsidRDefault="00A643EA" w:rsidP="005F586A"/>
    <w:p w:rsidR="0047212C" w:rsidRDefault="00CE43A8" w:rsidP="005F586A">
      <w:r>
        <w:t>Las entidades integrantes de este grupo de sujetos obligados son las siguientes:</w:t>
      </w:r>
    </w:p>
    <w:p w:rsidR="00F07996" w:rsidRDefault="00F07996" w:rsidP="00CE43A8">
      <w:pPr>
        <w:pStyle w:val="Prrafodelista"/>
        <w:numPr>
          <w:ilvl w:val="0"/>
          <w:numId w:val="42"/>
        </w:numPr>
      </w:pPr>
      <w:r>
        <w:t>Banco de España</w:t>
      </w:r>
    </w:p>
    <w:p w:rsidR="00F07996" w:rsidRDefault="00F07996" w:rsidP="00F07996">
      <w:pPr>
        <w:pStyle w:val="Prrafodelista"/>
        <w:numPr>
          <w:ilvl w:val="0"/>
          <w:numId w:val="42"/>
        </w:numPr>
      </w:pPr>
      <w:r w:rsidRPr="00F07996">
        <w:t>Comisión Nacional del Mercado de Valores</w:t>
      </w:r>
    </w:p>
    <w:p w:rsidR="00F07996" w:rsidRPr="00F07996" w:rsidRDefault="00F07996" w:rsidP="00F07996">
      <w:pPr>
        <w:pStyle w:val="Prrafodelista"/>
        <w:numPr>
          <w:ilvl w:val="0"/>
          <w:numId w:val="42"/>
        </w:numPr>
      </w:pPr>
      <w:r w:rsidRPr="00F07996">
        <w:t>Consejo de Seguridad Nuclear</w:t>
      </w:r>
    </w:p>
    <w:p w:rsidR="00F07996" w:rsidRPr="00F07996" w:rsidRDefault="00F07996" w:rsidP="00F07996">
      <w:pPr>
        <w:pStyle w:val="Prrafodelista"/>
        <w:numPr>
          <w:ilvl w:val="0"/>
          <w:numId w:val="42"/>
        </w:numPr>
      </w:pPr>
      <w:r w:rsidRPr="00F07996">
        <w:t>Agencia Española de Protección de Datos</w:t>
      </w:r>
    </w:p>
    <w:p w:rsidR="00CE43A8" w:rsidRDefault="00CE43A8" w:rsidP="00CE43A8">
      <w:pPr>
        <w:pStyle w:val="Prrafodelista"/>
        <w:numPr>
          <w:ilvl w:val="0"/>
          <w:numId w:val="42"/>
        </w:numPr>
      </w:pPr>
      <w:r>
        <w:t>Comisión Nacional de los Mercados y la Competencia.</w:t>
      </w:r>
    </w:p>
    <w:p w:rsidR="00CE43A8" w:rsidRDefault="00CE43A8" w:rsidP="00CE43A8">
      <w:pPr>
        <w:pStyle w:val="Prrafodelista"/>
        <w:numPr>
          <w:ilvl w:val="0"/>
          <w:numId w:val="42"/>
        </w:numPr>
      </w:pPr>
      <w:r>
        <w:t>Autoridad Independiente de Responsabilidad Fiscal</w:t>
      </w:r>
    </w:p>
    <w:p w:rsidR="001D364C" w:rsidRDefault="001D364C" w:rsidP="001D364C">
      <w:pPr>
        <w:pStyle w:val="Prrafodelista"/>
      </w:pPr>
    </w:p>
    <w:p w:rsidR="00CE43A8" w:rsidRPr="00CE43A8" w:rsidRDefault="00CE43A8" w:rsidP="00077CDF">
      <w:pPr>
        <w:pStyle w:val="Ttulo2"/>
      </w:pPr>
      <w:bookmarkStart w:id="3" w:name="_Toc98405837"/>
      <w:r w:rsidRPr="00CE43A8">
        <w:t>II.2 Delimitación de las obligaciones de publicidad activa aplicables.</w:t>
      </w:r>
      <w:bookmarkEnd w:id="3"/>
    </w:p>
    <w:p w:rsidR="00077CDF" w:rsidRDefault="00077CDF" w:rsidP="00CE43A8"/>
    <w:p w:rsidR="00CE43A8" w:rsidRDefault="00077CDF" w:rsidP="00CE43A8">
      <w:r>
        <w:t>E</w:t>
      </w:r>
      <w:r w:rsidR="00CE43A8">
        <w:t xml:space="preserve">l alcance de la evaluación se ha definido en función de las obligaciones de publicidad activa que son aplicables a este grupo de sujetos obligados. </w:t>
      </w:r>
    </w:p>
    <w:p w:rsidR="001D364C" w:rsidRDefault="00CE43A8" w:rsidP="00CE43A8">
      <w:r>
        <w:t xml:space="preserve">Las informaciones que no son aplicables a este grupos de sujetos son salvo la obligación de publicar las directrices, </w:t>
      </w:r>
      <w:r w:rsidRPr="00CE43A8">
        <w:t>instrucciones, acuerdos, circulares o respuestas a consultas planteadas por los particulares u otros órganos</w:t>
      </w:r>
      <w:r>
        <w:t>, todas las demás informaciones del bloque Información de Relevancia Jurídica</w:t>
      </w:r>
      <w:r w:rsidR="001D364C">
        <w:t xml:space="preserve"> y </w:t>
      </w:r>
      <w:r>
        <w:t xml:space="preserve"> dentro de la </w:t>
      </w:r>
      <w:r>
        <w:lastRenderedPageBreak/>
        <w:t>Información Económica, Presupuestaria y Estadística, la información sobre el cumplimiento de los objetivos de estabilidad presupuestaria y sostenibilidad financiera</w:t>
      </w:r>
      <w:r w:rsidR="001D364C">
        <w:t>.</w:t>
      </w:r>
      <w:r>
        <w:t xml:space="preserve">  </w:t>
      </w:r>
    </w:p>
    <w:p w:rsidR="001D364C" w:rsidRDefault="00CE43A8" w:rsidP="00CE43A8">
      <w:r>
        <w:t xml:space="preserve">El siguiente cuadro recoge las obligaciones de publicidad activa que son aplicables a </w:t>
      </w:r>
      <w:r w:rsidR="001D364C">
        <w:t>las entidades que integran este grupo.</w:t>
      </w:r>
    </w:p>
    <w:p w:rsidR="00563729" w:rsidRPr="00563729" w:rsidRDefault="00563729" w:rsidP="00563729">
      <w:pPr>
        <w:pStyle w:val="Epgrafe"/>
        <w:keepNext/>
        <w:rPr>
          <w:color w:val="325F64" w:themeColor="accent2" w:themeShade="BF"/>
          <w:sz w:val="22"/>
          <w:szCs w:val="22"/>
        </w:rPr>
      </w:pPr>
      <w:r w:rsidRPr="00563729">
        <w:rPr>
          <w:color w:val="325F64" w:themeColor="accent2" w:themeShade="BF"/>
          <w:sz w:val="22"/>
          <w:szCs w:val="22"/>
        </w:rPr>
        <w:t xml:space="preserve">Cuadro </w:t>
      </w:r>
      <w:r w:rsidRPr="00563729">
        <w:rPr>
          <w:color w:val="325F64" w:themeColor="accent2" w:themeShade="BF"/>
          <w:sz w:val="22"/>
          <w:szCs w:val="22"/>
        </w:rPr>
        <w:fldChar w:fldCharType="begin"/>
      </w:r>
      <w:r w:rsidRPr="00563729">
        <w:rPr>
          <w:color w:val="325F64" w:themeColor="accent2" w:themeShade="BF"/>
          <w:sz w:val="22"/>
          <w:szCs w:val="22"/>
        </w:rPr>
        <w:instrText xml:space="preserve"> SEQ Cuadro \* ARABIC </w:instrText>
      </w:r>
      <w:r w:rsidRPr="00563729">
        <w:rPr>
          <w:color w:val="325F64" w:themeColor="accent2" w:themeShade="BF"/>
          <w:sz w:val="22"/>
          <w:szCs w:val="22"/>
        </w:rPr>
        <w:fldChar w:fldCharType="separate"/>
      </w:r>
      <w:r w:rsidR="00801472">
        <w:rPr>
          <w:noProof/>
          <w:color w:val="325F64" w:themeColor="accent2" w:themeShade="BF"/>
          <w:sz w:val="22"/>
          <w:szCs w:val="22"/>
        </w:rPr>
        <w:t>1</w:t>
      </w:r>
      <w:r w:rsidRPr="00563729">
        <w:rPr>
          <w:color w:val="325F64" w:themeColor="accent2" w:themeShade="BF"/>
          <w:sz w:val="22"/>
          <w:szCs w:val="22"/>
        </w:rPr>
        <w:fldChar w:fldCharType="end"/>
      </w:r>
      <w:r w:rsidRPr="00563729">
        <w:rPr>
          <w:color w:val="325F64" w:themeColor="accent2" w:themeShade="BF"/>
          <w:sz w:val="22"/>
          <w:szCs w:val="22"/>
        </w:rPr>
        <w:t xml:space="preserve">: Obligaciones aplicables a las Autoridades Administrativas Independientes y órganos supervisores y reguladores. </w:t>
      </w:r>
    </w:p>
    <w:tbl>
      <w:tblPr>
        <w:tblStyle w:val="Tablaconcuadrcula2"/>
        <w:tblW w:w="10031" w:type="dxa"/>
        <w:tblBorders>
          <w:top w:val="single" w:sz="4" w:space="0" w:color="F2F2F2" w:themeColor="background1" w:themeShade="F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8428"/>
      </w:tblGrid>
      <w:tr w:rsidR="001D364C" w:rsidRPr="001D364C" w:rsidTr="00A643EA">
        <w:tc>
          <w:tcPr>
            <w:tcW w:w="1603" w:type="dxa"/>
            <w:tcBorders>
              <w:top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r w:rsidRPr="001D364C">
              <w:rPr>
                <w:rFonts w:cs="Times New Roman"/>
                <w:b/>
                <w:color w:val="FFFFFF"/>
                <w:sz w:val="20"/>
              </w:rPr>
              <w:t>Bloque de obligaciones</w:t>
            </w:r>
          </w:p>
        </w:tc>
        <w:tc>
          <w:tcPr>
            <w:tcW w:w="8428" w:type="dxa"/>
            <w:tcBorders>
              <w:top w:val="single" w:sz="4" w:space="0" w:color="F2F2F2" w:themeColor="background1" w:themeShade="F2"/>
              <w:bottom w:val="nil"/>
            </w:tcBorders>
            <w:shd w:val="clear" w:color="auto" w:fill="438086" w:themeFill="accent2"/>
          </w:tcPr>
          <w:p w:rsidR="001D364C" w:rsidRPr="001D364C" w:rsidRDefault="001D364C" w:rsidP="001D364C">
            <w:pPr>
              <w:jc w:val="center"/>
              <w:rPr>
                <w:rFonts w:cs="Times New Roman"/>
                <w:b/>
                <w:color w:val="FFFFFF"/>
                <w:sz w:val="20"/>
              </w:rPr>
            </w:pPr>
            <w:r w:rsidRPr="001D364C">
              <w:rPr>
                <w:rFonts w:cs="Times New Roman"/>
                <w:b/>
                <w:color w:val="FFFFFF"/>
                <w:sz w:val="20"/>
              </w:rPr>
              <w:t>Obligaciones</w:t>
            </w:r>
          </w:p>
        </w:tc>
      </w:tr>
      <w:tr w:rsidR="001D364C" w:rsidRPr="001D364C" w:rsidTr="00A643EA">
        <w:tc>
          <w:tcPr>
            <w:tcW w:w="1603"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extDirection w:val="btLr"/>
          </w:tcPr>
          <w:p w:rsidR="001D364C" w:rsidRPr="001D364C" w:rsidRDefault="001D364C" w:rsidP="001D364C">
            <w:pPr>
              <w:ind w:left="113" w:right="113"/>
              <w:jc w:val="center"/>
              <w:rPr>
                <w:rFonts w:cs="Times New Roman"/>
                <w:b/>
                <w:color w:val="FFFFFF"/>
                <w:sz w:val="20"/>
              </w:rPr>
            </w:pPr>
            <w:r w:rsidRPr="001D364C">
              <w:rPr>
                <w:rFonts w:cs="Times New Roman"/>
                <w:b/>
                <w:color w:val="FFFFFF"/>
                <w:sz w:val="20"/>
              </w:rPr>
              <w:t>Institucional, Organizativa y de Planificación. Registro de Actividades de Tratamiento</w:t>
            </w: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Normativa aplicable</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Funciones</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Registro de Actividades de Tratamiento</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Descripción estructura organizativa</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Organigrama</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Identificación Responsables</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Perfil y trayectoria profesional responsables</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Planes y Programas </w:t>
            </w:r>
          </w:p>
        </w:tc>
      </w:tr>
      <w:tr w:rsidR="001D364C" w:rsidRPr="001D364C" w:rsidTr="00A643EA">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bottom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Grado de cumplimiento y resultados</w:t>
            </w:r>
          </w:p>
        </w:tc>
      </w:tr>
      <w:tr w:rsidR="001D364C" w:rsidRPr="001D364C" w:rsidTr="00A643EA">
        <w:trPr>
          <w:trHeight w:val="381"/>
        </w:trPr>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bottom w:val="single" w:sz="4" w:space="0" w:color="406E8C" w:themeColor="accent6" w:themeShade="BF"/>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Indicadores de medida y valoración</w:t>
            </w:r>
          </w:p>
        </w:tc>
      </w:tr>
      <w:tr w:rsidR="001D364C" w:rsidRPr="001D364C" w:rsidTr="00A643EA">
        <w:trPr>
          <w:trHeight w:val="1335"/>
        </w:trPr>
        <w:tc>
          <w:tcPr>
            <w:tcW w:w="1603"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extDirection w:val="btLr"/>
          </w:tcPr>
          <w:p w:rsidR="001D364C" w:rsidRPr="001D364C" w:rsidRDefault="001D364C" w:rsidP="001D364C">
            <w:pPr>
              <w:ind w:left="113" w:right="113"/>
              <w:jc w:val="center"/>
              <w:rPr>
                <w:rFonts w:cs="Times New Roman"/>
                <w:b/>
                <w:color w:val="FFFFFF"/>
                <w:sz w:val="20"/>
              </w:rPr>
            </w:pPr>
            <w:r w:rsidRPr="001D364C">
              <w:rPr>
                <w:rFonts w:cs="Times New Roman"/>
                <w:b/>
                <w:color w:val="FFFFFF"/>
                <w:sz w:val="20"/>
              </w:rPr>
              <w:t>Relevancia Jurídica</w:t>
            </w:r>
          </w:p>
        </w:tc>
        <w:tc>
          <w:tcPr>
            <w:tcW w:w="8428" w:type="dxa"/>
            <w:tcBorders>
              <w:top w:val="single" w:sz="4" w:space="0" w:color="406E8C" w:themeColor="accent6" w:themeShade="BF"/>
              <w:bottom w:val="single" w:sz="4" w:space="0" w:color="406E8C" w:themeColor="accent6" w:themeShade="BF"/>
              <w:right w:val="single" w:sz="4" w:space="0" w:color="406E8C" w:themeColor="accent6" w:themeShade="BF"/>
            </w:tcBorders>
            <w:vAlign w:val="center"/>
          </w:tcPr>
          <w:p w:rsidR="001D364C" w:rsidRPr="001D364C" w:rsidRDefault="001D364C" w:rsidP="001D364C">
            <w:pPr>
              <w:jc w:val="left"/>
              <w:rPr>
                <w:rFonts w:cs="Times New Roman"/>
                <w:sz w:val="20"/>
              </w:rPr>
            </w:pPr>
            <w:r w:rsidRPr="001D364C">
              <w:rPr>
                <w:rFonts w:cs="Times New Roman"/>
                <w:sz w:val="20"/>
              </w:rPr>
              <w:t>Directrices, instrucciones, acuerdos, circulares o respuestas a consultas</w:t>
            </w:r>
          </w:p>
        </w:tc>
      </w:tr>
      <w:tr w:rsidR="001D364C" w:rsidRPr="001D364C" w:rsidTr="00A643EA">
        <w:tc>
          <w:tcPr>
            <w:tcW w:w="1603" w:type="dxa"/>
            <w:vMerge w:val="restart"/>
            <w:tcBorders>
              <w:top w:val="nil"/>
              <w:bottom w:val="single" w:sz="4" w:space="0" w:color="F2F2F2" w:themeColor="background1" w:themeShade="F2"/>
            </w:tcBorders>
            <w:shd w:val="clear" w:color="auto" w:fill="438086" w:themeFill="accent2"/>
            <w:textDirection w:val="btLr"/>
          </w:tcPr>
          <w:p w:rsidR="001D364C" w:rsidRPr="001D364C" w:rsidRDefault="001D364C" w:rsidP="001D364C">
            <w:pPr>
              <w:ind w:left="113" w:right="113"/>
              <w:jc w:val="center"/>
              <w:rPr>
                <w:rFonts w:cs="Times New Roman"/>
                <w:b/>
                <w:color w:val="FFFFFF"/>
                <w:sz w:val="20"/>
              </w:rPr>
            </w:pPr>
            <w:r w:rsidRPr="001D364C">
              <w:rPr>
                <w:rFonts w:cs="Times New Roman"/>
                <w:b/>
                <w:color w:val="FFFFFF"/>
                <w:sz w:val="20"/>
              </w:rPr>
              <w:t>Económica, Presupuestaria y Estadística</w:t>
            </w:r>
          </w:p>
        </w:tc>
        <w:tc>
          <w:tcPr>
            <w:tcW w:w="8428" w:type="dxa"/>
            <w:tcBorders>
              <w:top w:val="single" w:sz="4" w:space="0" w:color="406E8C" w:themeColor="accent6" w:themeShade="BF"/>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Contratos </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Modificaciones  de contratos </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Desistimientos y Renuncias </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Datos estadísticos sobre contratos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Contratos Menores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Relación de los convenios suscritos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Encomiendas y Encargos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Subcontrataciones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Subvenciones y ayudas públicas </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Presupuestos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Ejecución presupuestaria</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Cuentas anuales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Informes de auditoría de cuentas y de fiscalización por órganos de control externo</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Retribuciones anuales Altos Cargos y máximos responsables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Indemnizaciones percibidas por Altos Cargos con ocasión del abandono del cargo</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Resoluciones de autorización o reconocimiento de compatibilidad de empleados.</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bottom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Autorización para actividad privada al cese de altos cargos en la AGE, CCAA o EELL</w:t>
            </w:r>
          </w:p>
        </w:tc>
      </w:tr>
      <w:tr w:rsidR="001D364C" w:rsidRPr="001D364C" w:rsidTr="00A643EA">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8428" w:type="dxa"/>
            <w:tcBorders>
              <w:top w:val="nil"/>
              <w:bottom w:val="single" w:sz="4" w:space="0" w:color="406E8C" w:themeColor="accent6" w:themeShade="BF"/>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Información estadística necesaria para valorar el grado de cumplimiento y calidad de los servicios públicos de su competencia</w:t>
            </w:r>
          </w:p>
        </w:tc>
      </w:tr>
      <w:tr w:rsidR="001D364C" w:rsidRPr="001D364C" w:rsidTr="00A643EA">
        <w:tc>
          <w:tcPr>
            <w:tcW w:w="1603" w:type="dxa"/>
            <w:tcBorders>
              <w:top w:val="single" w:sz="4" w:space="0" w:color="F2F2F2" w:themeColor="background1" w:themeShade="F2"/>
              <w:bottom w:val="single" w:sz="4" w:space="0" w:color="325F64" w:themeColor="accent2" w:themeShade="BF"/>
            </w:tcBorders>
            <w:shd w:val="clear" w:color="auto" w:fill="438086" w:themeFill="accent2"/>
          </w:tcPr>
          <w:p w:rsidR="001D364C" w:rsidRPr="001D364C" w:rsidRDefault="001D364C" w:rsidP="001D364C">
            <w:pPr>
              <w:jc w:val="left"/>
              <w:rPr>
                <w:rFonts w:cs="Times New Roman"/>
                <w:b/>
                <w:color w:val="FFFFFF"/>
                <w:sz w:val="20"/>
              </w:rPr>
            </w:pPr>
            <w:r w:rsidRPr="001D364C">
              <w:rPr>
                <w:rFonts w:cs="Times New Roman"/>
                <w:b/>
                <w:color w:val="FFFFFF"/>
                <w:sz w:val="20"/>
              </w:rPr>
              <w:t>Información Patrimonial</w:t>
            </w:r>
          </w:p>
        </w:tc>
        <w:tc>
          <w:tcPr>
            <w:tcW w:w="8428" w:type="dxa"/>
            <w:tcBorders>
              <w:top w:val="single" w:sz="4" w:space="0" w:color="406E8C" w:themeColor="accent6" w:themeShade="BF"/>
              <w:bottom w:val="single" w:sz="4" w:space="0" w:color="325F64" w:themeColor="accent2" w:themeShade="BF"/>
              <w:right w:val="single" w:sz="4" w:space="0" w:color="406E8C" w:themeColor="accent6" w:themeShade="BF"/>
            </w:tcBorders>
          </w:tcPr>
          <w:p w:rsidR="001D364C" w:rsidRPr="001D364C" w:rsidRDefault="001D364C" w:rsidP="001D364C">
            <w:pPr>
              <w:jc w:val="left"/>
              <w:rPr>
                <w:rFonts w:cs="Times New Roman"/>
                <w:szCs w:val="22"/>
              </w:rPr>
            </w:pPr>
            <w:r w:rsidRPr="001D364C">
              <w:rPr>
                <w:rFonts w:cs="Times New Roman"/>
                <w:sz w:val="20"/>
              </w:rPr>
              <w:t>Relación de los bienes inmuebles que sean de su propiedad o sobre los que ostenten algún derecho real.</w:t>
            </w:r>
          </w:p>
        </w:tc>
      </w:tr>
    </w:tbl>
    <w:p w:rsidR="001D364C" w:rsidRDefault="001D364C" w:rsidP="00CE43A8"/>
    <w:p w:rsidR="000F6C27" w:rsidRDefault="00F07996" w:rsidP="000F6C27">
      <w:r w:rsidRPr="00F07996">
        <w:lastRenderedPageBreak/>
        <w:t xml:space="preserve">Además pueden existir ámbitos en los que </w:t>
      </w:r>
      <w:r w:rsidR="009974F4">
        <w:t>una</w:t>
      </w:r>
      <w:r w:rsidRPr="00F07996">
        <w:t xml:space="preserve"> institución carezca de competencias para desarrollar las actividades a las que se refiere una determinada obligación de publicidad activa o porque en un ámbito concreto no haya existido actividad –por ejemplo, que no se haya celebrado ningún convenio de colaboración – o porque la información no sea publicable por existir algún tipo de restricción legal.</w:t>
      </w:r>
    </w:p>
    <w:p w:rsidR="0047212C" w:rsidRDefault="0047212C" w:rsidP="00CE43A8"/>
    <w:p w:rsidR="005F586A" w:rsidRDefault="000B5A54" w:rsidP="0078315A">
      <w:pPr>
        <w:pStyle w:val="Ttulo1"/>
      </w:pPr>
      <w:bookmarkStart w:id="4" w:name="_Toc98405838"/>
      <w:r w:rsidRPr="00801472">
        <w:rPr>
          <w:rStyle w:val="Ttulo1Car"/>
        </w:rPr>
        <w:t xml:space="preserve">III. </w:t>
      </w:r>
      <w:r w:rsidR="005F586A" w:rsidRPr="00801472">
        <w:rPr>
          <w:rStyle w:val="Ttulo1Car"/>
        </w:rPr>
        <w:t>Evaluación del cumplimiento de las obligaciones de publicidad activa</w:t>
      </w:r>
      <w:r w:rsidR="00090A3E" w:rsidRPr="00801472">
        <w:rPr>
          <w:rStyle w:val="Ttulo1Car"/>
        </w:rPr>
        <w:t xml:space="preserve"> por parte de las Autoridades Administrativas Independientes y Órganos supervisores y reguladores</w:t>
      </w:r>
      <w:r w:rsidR="00090A3E" w:rsidRPr="00077CDF">
        <w:t>.</w:t>
      </w:r>
      <w:bookmarkEnd w:id="4"/>
    </w:p>
    <w:p w:rsidR="0078315A" w:rsidRDefault="0078315A" w:rsidP="00077CDF">
      <w:pPr>
        <w:pStyle w:val="Ttulo2"/>
      </w:pPr>
    </w:p>
    <w:p w:rsidR="005F586A" w:rsidRDefault="000B5A54" w:rsidP="00077CDF">
      <w:pPr>
        <w:pStyle w:val="Ttulo2"/>
      </w:pPr>
      <w:bookmarkStart w:id="5" w:name="_Toc98405839"/>
      <w:r>
        <w:t>III.</w:t>
      </w:r>
      <w:r w:rsidR="00077CDF">
        <w:t>1</w:t>
      </w:r>
      <w:r>
        <w:t xml:space="preserve"> </w:t>
      </w:r>
      <w:r w:rsidR="009974F4">
        <w:t>Grado de aplicación de las recomendaciones derivadas de la evaluación 2021.</w:t>
      </w:r>
      <w:bookmarkEnd w:id="5"/>
      <w:r w:rsidR="009974F4">
        <w:t xml:space="preserve"> </w:t>
      </w:r>
    </w:p>
    <w:p w:rsidR="00513EC7" w:rsidRDefault="00513EC7" w:rsidP="00513EC7"/>
    <w:p w:rsidR="009974F4" w:rsidRDefault="009974F4" w:rsidP="009974F4">
      <w:r>
        <w:t xml:space="preserve">En 2021 se efectuaron un total de 46 recomendaciones a partir de las evidencias obtenidas en la evaluación correspondiente a dicho año. De estas 46 recomendaciones se han aplicado </w:t>
      </w:r>
      <w:r w:rsidR="009D3AA0">
        <w:t>30</w:t>
      </w:r>
      <w:r>
        <w:t xml:space="preserve">, lo que representa un </w:t>
      </w:r>
      <w:r w:rsidR="009D3AA0">
        <w:t>65,2</w:t>
      </w:r>
      <w:r>
        <w:t>% del total.</w:t>
      </w:r>
    </w:p>
    <w:p w:rsidR="009974F4" w:rsidRDefault="009974F4" w:rsidP="009974F4">
      <w:r>
        <w:t xml:space="preserve">El 50% de </w:t>
      </w:r>
      <w:r w:rsidR="00041E47">
        <w:t>los órganos supervisores, reguladores y autoridades administrativas independientes</w:t>
      </w:r>
      <w:r>
        <w:t xml:space="preserve"> ha aplicado el </w:t>
      </w:r>
      <w:r w:rsidR="00041E47">
        <w:t>100</w:t>
      </w:r>
      <w:r>
        <w:t xml:space="preserve">% de las recomendaciones efectuadas. En estas instituciones, el incremento medio del Índice de Cumplimiento de la Información Obligatoria asciende a </w:t>
      </w:r>
      <w:r w:rsidR="00041E47">
        <w:t>10,9</w:t>
      </w:r>
      <w:r>
        <w:t xml:space="preserve"> puntos porcentuales con un rango de variación que oscila entre </w:t>
      </w:r>
      <w:r w:rsidR="00041E47">
        <w:t>4,1</w:t>
      </w:r>
      <w:r>
        <w:t xml:space="preserve"> y </w:t>
      </w:r>
      <w:r w:rsidR="00041E47">
        <w:t>17,5</w:t>
      </w:r>
      <w:r>
        <w:t xml:space="preserve"> puntos porcentuales. </w:t>
      </w:r>
    </w:p>
    <w:p w:rsidR="009974F4" w:rsidRPr="004F3D6E" w:rsidRDefault="009974F4" w:rsidP="009974F4">
      <w:pPr>
        <w:pStyle w:val="Epgrafe"/>
        <w:keepNext/>
        <w:rPr>
          <w:color w:val="438086" w:themeColor="accent2"/>
          <w:sz w:val="22"/>
          <w:szCs w:val="22"/>
        </w:rPr>
      </w:pPr>
      <w:r w:rsidRPr="004F3D6E">
        <w:rPr>
          <w:color w:val="438086" w:themeColor="accent2"/>
          <w:sz w:val="22"/>
          <w:szCs w:val="22"/>
        </w:rPr>
        <w:t xml:space="preserve">Gráfico </w:t>
      </w:r>
      <w:r w:rsidRPr="004F3D6E">
        <w:rPr>
          <w:color w:val="438086" w:themeColor="accent2"/>
          <w:sz w:val="22"/>
          <w:szCs w:val="22"/>
        </w:rPr>
        <w:fldChar w:fldCharType="begin"/>
      </w:r>
      <w:r w:rsidRPr="004F3D6E">
        <w:rPr>
          <w:color w:val="438086" w:themeColor="accent2"/>
          <w:sz w:val="22"/>
          <w:szCs w:val="22"/>
        </w:rPr>
        <w:instrText xml:space="preserve"> SEQ Gráfico \* ARABIC </w:instrText>
      </w:r>
      <w:r w:rsidRPr="004F3D6E">
        <w:rPr>
          <w:color w:val="438086" w:themeColor="accent2"/>
          <w:sz w:val="22"/>
          <w:szCs w:val="22"/>
        </w:rPr>
        <w:fldChar w:fldCharType="separate"/>
      </w:r>
      <w:r w:rsidRPr="004F3D6E">
        <w:rPr>
          <w:color w:val="438086" w:themeColor="accent2"/>
          <w:sz w:val="22"/>
          <w:szCs w:val="22"/>
        </w:rPr>
        <w:t>1</w:t>
      </w:r>
      <w:r w:rsidRPr="004F3D6E">
        <w:rPr>
          <w:color w:val="438086" w:themeColor="accent2"/>
          <w:sz w:val="22"/>
          <w:szCs w:val="22"/>
        </w:rPr>
        <w:fldChar w:fldCharType="end"/>
      </w:r>
      <w:r w:rsidRPr="004F3D6E">
        <w:rPr>
          <w:color w:val="438086" w:themeColor="accent2"/>
          <w:sz w:val="22"/>
          <w:szCs w:val="22"/>
        </w:rPr>
        <w:t>:</w:t>
      </w:r>
      <w:r>
        <w:rPr>
          <w:color w:val="438086" w:themeColor="accent2"/>
          <w:sz w:val="22"/>
          <w:szCs w:val="22"/>
        </w:rPr>
        <w:t xml:space="preserve"> Distribución de los Órganos Constitucionales según proporción de recomendaciones aplicadas.</w:t>
      </w:r>
    </w:p>
    <w:p w:rsidR="00152FBA" w:rsidRDefault="009D3AA0" w:rsidP="00235A5B">
      <w:r>
        <w:rPr>
          <w:noProof/>
        </w:rPr>
        <w:drawing>
          <wp:inline distT="0" distB="0" distL="0" distR="0" wp14:anchorId="17874D44" wp14:editId="2AC962EF">
            <wp:extent cx="5743575" cy="2762250"/>
            <wp:effectExtent l="0" t="0" r="9525"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3EC7" w:rsidRDefault="00984881" w:rsidP="00984881">
      <w:pPr>
        <w:pStyle w:val="Ttulo2"/>
      </w:pPr>
      <w:bookmarkStart w:id="6" w:name="_Toc98405840"/>
      <w:r>
        <w:lastRenderedPageBreak/>
        <w:t>III</w:t>
      </w:r>
      <w:r w:rsidR="000B5A54">
        <w:t>.</w:t>
      </w:r>
      <w:r>
        <w:t>2</w:t>
      </w:r>
      <w:r w:rsidR="000B5A54">
        <w:t xml:space="preserve">. </w:t>
      </w:r>
      <w:r w:rsidR="00E924EF">
        <w:t>Cumplimiento de las o</w:t>
      </w:r>
      <w:r w:rsidR="00513EC7">
        <w:t>bligaciones de publicidad activa</w:t>
      </w:r>
      <w:bookmarkEnd w:id="6"/>
    </w:p>
    <w:p w:rsidR="00513EC7" w:rsidRDefault="00513EC7" w:rsidP="00513EC7"/>
    <w:p w:rsidR="00513EC7" w:rsidRDefault="000B5A54" w:rsidP="00984881">
      <w:pPr>
        <w:pStyle w:val="Ttulo3"/>
      </w:pPr>
      <w:bookmarkStart w:id="7" w:name="_Toc98405841"/>
      <w:r>
        <w:t>III.</w:t>
      </w:r>
      <w:r w:rsidR="00984881">
        <w:t>2</w:t>
      </w:r>
      <w:r>
        <w:t>.</w:t>
      </w:r>
      <w:r w:rsidR="00077CDF">
        <w:t>1</w:t>
      </w:r>
      <w:r>
        <w:t xml:space="preserve">.  </w:t>
      </w:r>
      <w:r w:rsidR="00513EC7">
        <w:t>Información Institucional, Organizativa y de Planificación</w:t>
      </w:r>
      <w:bookmarkEnd w:id="7"/>
    </w:p>
    <w:p w:rsidR="00513EC7" w:rsidRDefault="00513EC7" w:rsidP="00513EC7">
      <w:pPr>
        <w:pStyle w:val="Ttulo4"/>
        <w:rPr>
          <w:i w:val="0"/>
        </w:rPr>
      </w:pPr>
    </w:p>
    <w:p w:rsidR="00152FBA" w:rsidRDefault="00F23B80" w:rsidP="00152FBA">
      <w:r>
        <w:t>En promedio se publica</w:t>
      </w:r>
      <w:r w:rsidR="00984881">
        <w:t xml:space="preserve"> </w:t>
      </w:r>
      <w:r w:rsidR="00100FDC">
        <w:t xml:space="preserve">casi el </w:t>
      </w:r>
      <w:r w:rsidR="009D3AA0">
        <w:t>99</w:t>
      </w:r>
      <w:r w:rsidR="00100FDC">
        <w:t>%</w:t>
      </w:r>
      <w:r>
        <w:t xml:space="preserve"> de las informaciones obligatorias</w:t>
      </w:r>
      <w:r w:rsidR="005C658E">
        <w:t xml:space="preserve"> de este bloque</w:t>
      </w:r>
      <w:r>
        <w:t xml:space="preserve">, con un rango de variación de entre el </w:t>
      </w:r>
      <w:r w:rsidR="009D3AA0">
        <w:t>9</w:t>
      </w:r>
      <w:r w:rsidR="00BA0F1A">
        <w:t>7</w:t>
      </w:r>
      <w:r w:rsidR="00984881">
        <w:t>,5</w:t>
      </w:r>
      <w:r>
        <w:t xml:space="preserve"> y el </w:t>
      </w:r>
      <w:r w:rsidR="00841A00">
        <w:t>100</w:t>
      </w:r>
      <w:r>
        <w:t>%.</w:t>
      </w:r>
      <w:r w:rsidR="00BA0F1A">
        <w:t xml:space="preserve"> Respecto de 2021 la proporción de contenidos obligatorios que se publican ha aumentado en </w:t>
      </w:r>
      <w:r w:rsidR="009D3AA0">
        <w:t>7</w:t>
      </w:r>
      <w:r w:rsidR="00BA0F1A">
        <w:t xml:space="preserve"> puntos porcentuales.</w:t>
      </w:r>
    </w:p>
    <w:p w:rsidR="00195B99" w:rsidRDefault="00F23B80" w:rsidP="00152FBA">
      <w:r>
        <w:t>El principal déficit de publicación de contenidos obligatorios se localiza en el grupo de obligaciones relativas a planificación</w:t>
      </w:r>
      <w:r w:rsidR="00984881">
        <w:t xml:space="preserve">: </w:t>
      </w:r>
      <w:r w:rsidR="009D3AA0">
        <w:t xml:space="preserve">en </w:t>
      </w:r>
      <w:r w:rsidR="00A1419A">
        <w:t xml:space="preserve">tres casos los planes publicados carecen de algunos de los datos – actividades previstas, recursos necesarios o cronograma para la consecución de los objetivos - </w:t>
      </w:r>
      <w:r w:rsidR="00F245CD">
        <w:t>.</w:t>
      </w:r>
    </w:p>
    <w:p w:rsidR="00F245CD" w:rsidRDefault="00F245CD" w:rsidP="00152FBA">
      <w:r>
        <w:t xml:space="preserve">Respecto del cumplimiento de los requisitos de calidad de la información que establece la LTAIBG, los principales déficits se localizan en la </w:t>
      </w:r>
      <w:r w:rsidR="00984881">
        <w:t>carencia</w:t>
      </w:r>
      <w:r>
        <w:t xml:space="preserve"> de referencias que permitan conocer si la inform</w:t>
      </w:r>
      <w:r w:rsidR="00841A00">
        <w:t xml:space="preserve">ación publicada está vigente. </w:t>
      </w:r>
      <w:r w:rsidR="00984881">
        <w:t>Poco más</w:t>
      </w:r>
      <w:r>
        <w:t xml:space="preserve"> </w:t>
      </w:r>
      <w:r w:rsidR="00984881">
        <w:t xml:space="preserve">del </w:t>
      </w:r>
      <w:r w:rsidR="00A1419A">
        <w:t>7</w:t>
      </w:r>
      <w:r w:rsidR="009D3AA0">
        <w:t>6</w:t>
      </w:r>
      <w:r>
        <w:t xml:space="preserve">% de las informaciones de este bloque de obligaciones </w:t>
      </w:r>
      <w:r w:rsidR="008220D7">
        <w:t>contiene alguna información sobre la última fecha en que se revisó o actualizó.</w:t>
      </w:r>
    </w:p>
    <w:p w:rsidR="008220D7" w:rsidRDefault="008220D7" w:rsidP="00152FBA">
      <w:r>
        <w:t xml:space="preserve">El grado de cumplimiento medio de este bloque de obligaciones es del </w:t>
      </w:r>
      <w:r w:rsidR="009D3AA0">
        <w:t>95,4</w:t>
      </w:r>
      <w:r>
        <w:t xml:space="preserve">% con un rango de variación que oscila entre el </w:t>
      </w:r>
      <w:r w:rsidR="009D3AA0">
        <w:t>90,7</w:t>
      </w:r>
      <w:r>
        <w:t xml:space="preserve"> y el </w:t>
      </w:r>
      <w:r w:rsidR="00984881">
        <w:t>100</w:t>
      </w:r>
      <w:r>
        <w:t>%.</w:t>
      </w:r>
      <w:r w:rsidR="00A1419A">
        <w:t xml:space="preserve"> Respecto de 2021 se ha incrementado en </w:t>
      </w:r>
      <w:r w:rsidR="009D3AA0">
        <w:t>8,9</w:t>
      </w:r>
      <w:r w:rsidR="00A1419A">
        <w:t xml:space="preserve"> puntos porcentuales.</w:t>
      </w:r>
    </w:p>
    <w:p w:rsidR="00F23B80" w:rsidRPr="003F10D6" w:rsidRDefault="00F23B80" w:rsidP="005915F6">
      <w:pPr>
        <w:rPr>
          <w:b/>
          <w:color w:val="438086" w:themeColor="accent2"/>
          <w:szCs w:val="22"/>
        </w:rPr>
      </w:pPr>
      <w:r w:rsidRPr="003F10D6">
        <w:rPr>
          <w:b/>
          <w:color w:val="438086" w:themeColor="accent2"/>
          <w:szCs w:val="22"/>
        </w:rPr>
        <w:t xml:space="preserve">Gráfico </w:t>
      </w:r>
      <w:r w:rsidR="005915F6" w:rsidRPr="003F10D6">
        <w:rPr>
          <w:b/>
          <w:color w:val="438086" w:themeColor="accent2"/>
          <w:szCs w:val="22"/>
        </w:rPr>
        <w:fldChar w:fldCharType="begin"/>
      </w:r>
      <w:r w:rsidR="005915F6" w:rsidRPr="003F10D6">
        <w:rPr>
          <w:b/>
          <w:color w:val="438086" w:themeColor="accent2"/>
          <w:szCs w:val="22"/>
        </w:rPr>
        <w:instrText xml:space="preserve"> SEQ Gráfico \* ARABIC </w:instrText>
      </w:r>
      <w:r w:rsidR="005915F6" w:rsidRPr="003F10D6">
        <w:rPr>
          <w:b/>
          <w:color w:val="438086" w:themeColor="accent2"/>
          <w:szCs w:val="22"/>
        </w:rPr>
        <w:fldChar w:fldCharType="separate"/>
      </w:r>
      <w:r w:rsidR="004C792C">
        <w:rPr>
          <w:b/>
          <w:noProof/>
          <w:color w:val="438086" w:themeColor="accent2"/>
          <w:szCs w:val="22"/>
        </w:rPr>
        <w:t>1</w:t>
      </w:r>
      <w:r w:rsidR="005915F6" w:rsidRPr="003F10D6">
        <w:rPr>
          <w:b/>
          <w:color w:val="438086" w:themeColor="accent2"/>
          <w:szCs w:val="22"/>
        </w:rPr>
        <w:fldChar w:fldCharType="end"/>
      </w:r>
      <w:r w:rsidRPr="003F10D6">
        <w:rPr>
          <w:b/>
          <w:color w:val="438086" w:themeColor="accent2"/>
          <w:szCs w:val="22"/>
        </w:rPr>
        <w:t>:</w:t>
      </w:r>
      <w:r w:rsidR="00AA2D83" w:rsidRPr="003F10D6">
        <w:rPr>
          <w:b/>
          <w:color w:val="438086" w:themeColor="accent2"/>
          <w:szCs w:val="22"/>
        </w:rPr>
        <w:t xml:space="preserve"> Evaluación de la publicación (contenido) y de los atributos de calidad de información Institucional, </w:t>
      </w:r>
      <w:r w:rsidR="003F10D6">
        <w:rPr>
          <w:b/>
          <w:color w:val="438086" w:themeColor="accent2"/>
          <w:szCs w:val="22"/>
        </w:rPr>
        <w:t>Organizativa y de Planificación y Registro de Actividades de Tratamiento.</w:t>
      </w:r>
      <w:r w:rsidR="00550FCC">
        <w:rPr>
          <w:b/>
          <w:color w:val="438086" w:themeColor="accent2"/>
          <w:szCs w:val="22"/>
        </w:rPr>
        <w:t xml:space="preserve"> </w:t>
      </w:r>
      <w:r w:rsidR="00355F1A" w:rsidRPr="00355F1A">
        <w:rPr>
          <w:b/>
          <w:color w:val="438086" w:themeColor="accent2"/>
          <w:szCs w:val="22"/>
        </w:rPr>
        <w:t>Órganos re</w:t>
      </w:r>
      <w:r w:rsidR="00355F1A">
        <w:rPr>
          <w:b/>
          <w:color w:val="438086" w:themeColor="accent2"/>
          <w:szCs w:val="22"/>
        </w:rPr>
        <w:t xml:space="preserve">guladores y supervisores y </w:t>
      </w:r>
      <w:r w:rsidR="00550FCC">
        <w:rPr>
          <w:b/>
          <w:color w:val="438086" w:themeColor="accent2"/>
          <w:szCs w:val="22"/>
        </w:rPr>
        <w:t xml:space="preserve">Autoridades Administrativas Independientes y </w:t>
      </w:r>
    </w:p>
    <w:p w:rsidR="00F23B80" w:rsidRDefault="00A1419A" w:rsidP="00841A00">
      <w:r>
        <w:rPr>
          <w:noProof/>
        </w:rPr>
        <w:drawing>
          <wp:inline distT="0" distB="0" distL="0" distR="0" wp14:anchorId="1B424918" wp14:editId="288EA478">
            <wp:extent cx="5734050" cy="288607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419A" w:rsidRDefault="00A1419A" w:rsidP="00984881">
      <w:pPr>
        <w:pStyle w:val="Ttulo3"/>
      </w:pPr>
    </w:p>
    <w:p w:rsidR="00513EC7" w:rsidRDefault="00F23BD7" w:rsidP="00984881">
      <w:pPr>
        <w:pStyle w:val="Ttulo3"/>
      </w:pPr>
      <w:bookmarkStart w:id="8" w:name="_Toc98405842"/>
      <w:r>
        <w:t>III.</w:t>
      </w:r>
      <w:r w:rsidR="00984881">
        <w:t>2</w:t>
      </w:r>
      <w:r>
        <w:t xml:space="preserve">.2. </w:t>
      </w:r>
      <w:r w:rsidR="00513EC7">
        <w:t>Información de Relevancia Jurídica</w:t>
      </w:r>
      <w:bookmarkEnd w:id="8"/>
    </w:p>
    <w:p w:rsidR="008220D7" w:rsidRDefault="008220D7" w:rsidP="008220D7"/>
    <w:p w:rsidR="008220D7" w:rsidRDefault="008220D7" w:rsidP="008220D7">
      <w:r>
        <w:t>La totalidad de los organismos evaluados publica las obligaciones que les son aplicables en este grupo de obligaciones. La información se publica en formatos reutilizables y solo uno de los organismos no in</w:t>
      </w:r>
      <w:r w:rsidRPr="00355F1A">
        <w:rPr>
          <w:i/>
        </w:rPr>
        <w:t>c</w:t>
      </w:r>
      <w:r>
        <w:t>luye ninguna referencia que permita conocer si la información está actualizada. En otros dos casos la publicación se efectúa siguiendo un orden cronológico, razón por la que se ha considerado actualizada.  El nivel de cumplimiento global es del 9</w:t>
      </w:r>
      <w:r w:rsidR="00984881">
        <w:t>8,</w:t>
      </w:r>
      <w:r w:rsidR="00355F1A">
        <w:t>6</w:t>
      </w:r>
      <w:r w:rsidR="00A1419A">
        <w:t>%, permaneciendo estable respecto del nivel alcanzado en 2021.</w:t>
      </w:r>
    </w:p>
    <w:p w:rsidR="00D631CC" w:rsidRPr="00355F1A" w:rsidRDefault="00D631CC" w:rsidP="00D631CC">
      <w:pPr>
        <w:pStyle w:val="Epgrafe"/>
        <w:keepNext/>
        <w:rPr>
          <w:color w:val="438086" w:themeColor="accent2"/>
          <w:sz w:val="22"/>
          <w:szCs w:val="22"/>
        </w:rPr>
      </w:pPr>
      <w:r w:rsidRPr="009E5841">
        <w:rPr>
          <w:color w:val="438086" w:themeColor="accent2"/>
          <w:sz w:val="22"/>
          <w:szCs w:val="22"/>
        </w:rPr>
        <w:t xml:space="preserve">Gráfico </w:t>
      </w:r>
      <w:r w:rsidR="005915F6" w:rsidRPr="009E5841">
        <w:rPr>
          <w:color w:val="438086" w:themeColor="accent2"/>
          <w:sz w:val="22"/>
          <w:szCs w:val="22"/>
        </w:rPr>
        <w:fldChar w:fldCharType="begin"/>
      </w:r>
      <w:r w:rsidR="005915F6" w:rsidRPr="009E5841">
        <w:rPr>
          <w:color w:val="438086" w:themeColor="accent2"/>
          <w:sz w:val="22"/>
          <w:szCs w:val="22"/>
        </w:rPr>
        <w:instrText xml:space="preserve"> SEQ Gráfico \* ARABIC </w:instrText>
      </w:r>
      <w:r w:rsidR="005915F6" w:rsidRPr="009E5841">
        <w:rPr>
          <w:color w:val="438086" w:themeColor="accent2"/>
          <w:sz w:val="22"/>
          <w:szCs w:val="22"/>
        </w:rPr>
        <w:fldChar w:fldCharType="separate"/>
      </w:r>
      <w:r w:rsidR="004C792C">
        <w:rPr>
          <w:noProof/>
          <w:color w:val="438086" w:themeColor="accent2"/>
          <w:sz w:val="22"/>
          <w:szCs w:val="22"/>
        </w:rPr>
        <w:t>2</w:t>
      </w:r>
      <w:r w:rsidR="005915F6" w:rsidRPr="009E5841">
        <w:rPr>
          <w:color w:val="438086" w:themeColor="accent2"/>
          <w:sz w:val="22"/>
          <w:szCs w:val="22"/>
        </w:rPr>
        <w:fldChar w:fldCharType="end"/>
      </w:r>
      <w:r w:rsidRPr="009E5841">
        <w:rPr>
          <w:color w:val="438086" w:themeColor="accent2"/>
          <w:sz w:val="22"/>
          <w:szCs w:val="22"/>
        </w:rPr>
        <w:t>: Evaluación de la publicación (contenido) y de los atributos de calidad de información de Relevancia Jurídica.</w:t>
      </w:r>
      <w:r w:rsidR="00550FCC" w:rsidRPr="00355F1A">
        <w:rPr>
          <w:color w:val="438086" w:themeColor="accent2"/>
          <w:sz w:val="22"/>
          <w:szCs w:val="22"/>
        </w:rPr>
        <w:t xml:space="preserve"> </w:t>
      </w:r>
      <w:r w:rsidR="00355F1A" w:rsidRPr="00355F1A">
        <w:rPr>
          <w:color w:val="438086" w:themeColor="accent2"/>
          <w:sz w:val="22"/>
          <w:szCs w:val="22"/>
        </w:rPr>
        <w:t>Órganos</w:t>
      </w:r>
      <w:r w:rsidR="00355F1A" w:rsidRPr="00355F1A">
        <w:rPr>
          <w:sz w:val="22"/>
          <w:szCs w:val="22"/>
        </w:rPr>
        <w:t xml:space="preserve"> </w:t>
      </w:r>
      <w:r w:rsidR="00355F1A" w:rsidRPr="00355F1A">
        <w:rPr>
          <w:color w:val="438086" w:themeColor="accent2"/>
          <w:sz w:val="22"/>
          <w:szCs w:val="22"/>
        </w:rPr>
        <w:t xml:space="preserve">reguladores y supervisores </w:t>
      </w:r>
      <w:r w:rsidR="00550FCC" w:rsidRPr="009E5841">
        <w:rPr>
          <w:color w:val="438086" w:themeColor="accent2"/>
          <w:sz w:val="22"/>
          <w:szCs w:val="22"/>
        </w:rPr>
        <w:t>Autoridades</w:t>
      </w:r>
      <w:r w:rsidR="00355F1A">
        <w:rPr>
          <w:color w:val="438086" w:themeColor="accent2"/>
          <w:sz w:val="22"/>
          <w:szCs w:val="22"/>
        </w:rPr>
        <w:t xml:space="preserve"> y</w:t>
      </w:r>
      <w:r w:rsidR="00550FCC" w:rsidRPr="009E5841">
        <w:rPr>
          <w:color w:val="438086" w:themeColor="accent2"/>
          <w:sz w:val="22"/>
          <w:szCs w:val="22"/>
        </w:rPr>
        <w:t xml:space="preserve"> Administrativas Independientes.</w:t>
      </w:r>
    </w:p>
    <w:p w:rsidR="008220D7" w:rsidRPr="008220D7" w:rsidRDefault="00355F1A" w:rsidP="0026153E">
      <w:r>
        <w:rPr>
          <w:noProof/>
        </w:rPr>
        <w:drawing>
          <wp:inline distT="0" distB="0" distL="0" distR="0" wp14:anchorId="5B6C1428" wp14:editId="3EB11702">
            <wp:extent cx="5934075" cy="2590800"/>
            <wp:effectExtent l="0" t="0" r="9525"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3EC7" w:rsidRDefault="00513EC7" w:rsidP="00513EC7">
      <w:pPr>
        <w:pStyle w:val="Ttulo4"/>
      </w:pPr>
    </w:p>
    <w:p w:rsidR="00513EC7" w:rsidRDefault="00F23BD7" w:rsidP="00AF02EB">
      <w:pPr>
        <w:pStyle w:val="Ttulo3"/>
      </w:pPr>
      <w:bookmarkStart w:id="9" w:name="_Toc98405843"/>
      <w:r>
        <w:t>III.</w:t>
      </w:r>
      <w:r w:rsidR="0047212C">
        <w:t>2</w:t>
      </w:r>
      <w:r>
        <w:t xml:space="preserve">.3.  </w:t>
      </w:r>
      <w:r w:rsidR="00513EC7">
        <w:t>Información Económica, Presupuestaria y Estadística</w:t>
      </w:r>
      <w:bookmarkEnd w:id="9"/>
    </w:p>
    <w:p w:rsidR="00513EC7" w:rsidRDefault="00513EC7" w:rsidP="00513EC7"/>
    <w:p w:rsidR="00DF7C00" w:rsidRPr="00BE4B72" w:rsidRDefault="00DF7C00" w:rsidP="00513EC7">
      <w:r w:rsidRPr="00BE4B72">
        <w:t>La proporción de informaciones obligatorias publicadas en este grupo disminuye notablemente respecto de los dos bloques anteriores</w:t>
      </w:r>
      <w:r w:rsidR="00E1322B" w:rsidRPr="00BE4B72">
        <w:t xml:space="preserve">, un </w:t>
      </w:r>
      <w:r w:rsidR="00BE4B72">
        <w:t>88</w:t>
      </w:r>
      <w:r w:rsidR="00E1322B" w:rsidRPr="00BE4B72">
        <w:t xml:space="preserve">% en promedio con un rango de variación de entre el </w:t>
      </w:r>
      <w:r w:rsidR="00BE4B72">
        <w:t>87,5</w:t>
      </w:r>
      <w:r w:rsidR="00E1322B" w:rsidRPr="00BE4B72">
        <w:t xml:space="preserve"> y el </w:t>
      </w:r>
      <w:r w:rsidR="00D23563" w:rsidRPr="00BE4B72">
        <w:t>100</w:t>
      </w:r>
      <w:r w:rsidR="00E1322B" w:rsidRPr="00BE4B72">
        <w:t>%.</w:t>
      </w:r>
      <w:r w:rsidR="00BE4B72">
        <w:t xml:space="preserve"> Respecto de 2021 la publicación de contenidos obligatorios ha aumentado en 12,4 puntos porcentuales.</w:t>
      </w:r>
    </w:p>
    <w:p w:rsidR="00902A11" w:rsidRDefault="00417966" w:rsidP="00513EC7">
      <w:r w:rsidRPr="00BE4B72">
        <w:t>La mayor parte de los incumplimientos</w:t>
      </w:r>
      <w:r>
        <w:t xml:space="preserve"> </w:t>
      </w:r>
      <w:r w:rsidR="00E1322B">
        <w:t xml:space="preserve"> de </w:t>
      </w:r>
      <w:r>
        <w:t xml:space="preserve">la obligación de publicar </w:t>
      </w:r>
      <w:r w:rsidR="00E1322B">
        <w:t>se localiza</w:t>
      </w:r>
      <w:r>
        <w:t>n</w:t>
      </w:r>
      <w:r w:rsidR="00E1322B">
        <w:t xml:space="preserve"> </w:t>
      </w:r>
      <w:r w:rsidR="00BE4B72">
        <w:t>en</w:t>
      </w:r>
      <w:r w:rsidR="00D23563" w:rsidRPr="00D23563">
        <w:t xml:space="preserve"> la información relativa a las modificaciones de los contratos adjudicados, debido a que la mayoría de ellos para la publicación de la información sobre contratos, redirigen a la Plataforma de Contratación del Sector Público,</w:t>
      </w:r>
      <w:r w:rsidR="00D23563">
        <w:t xml:space="preserve"> que no recoge </w:t>
      </w:r>
      <w:r w:rsidR="00247E8E">
        <w:t xml:space="preserve">las modificaciones entre </w:t>
      </w:r>
      <w:r w:rsidR="00BE4B72">
        <w:t>l</w:t>
      </w:r>
      <w:r w:rsidR="00247E8E">
        <w:t>os criterios de búsqueda de licitaciones</w:t>
      </w:r>
      <w:r w:rsidR="00BE4B72">
        <w:t>.</w:t>
      </w:r>
      <w:r w:rsidR="00247E8E">
        <w:t xml:space="preserve"> </w:t>
      </w:r>
      <w:r w:rsidR="00D23563">
        <w:t xml:space="preserve"> </w:t>
      </w:r>
      <w:r w:rsidR="00902A11">
        <w:t>El segundo grupo de obligaciones en e</w:t>
      </w:r>
      <w:r w:rsidR="00CB65E7">
        <w:t>l</w:t>
      </w:r>
      <w:r w:rsidR="00902A11">
        <w:t xml:space="preserve"> que se publica una menor proporción de contenidos es </w:t>
      </w:r>
      <w:r w:rsidR="00CB65E7">
        <w:t xml:space="preserve">el </w:t>
      </w:r>
      <w:r w:rsidR="00CB65E7">
        <w:lastRenderedPageBreak/>
        <w:t xml:space="preserve">relativo a incompatibilidades, </w:t>
      </w:r>
      <w:r w:rsidR="00BE4B72">
        <w:t xml:space="preserve">dos de los organismos no </w:t>
      </w:r>
      <w:r w:rsidR="00CB65E7">
        <w:t xml:space="preserve"> informa</w:t>
      </w:r>
      <w:r w:rsidR="00BE4B72">
        <w:t>n</w:t>
      </w:r>
      <w:r w:rsidR="00CB65E7">
        <w:t xml:space="preserve"> sobre las autorizaciones para el ejercicio de actividades privadas tras el cese</w:t>
      </w:r>
      <w:r>
        <w:t xml:space="preserve"> de altos cargos</w:t>
      </w:r>
      <w:r w:rsidR="00CB65E7">
        <w:t xml:space="preserve">. </w:t>
      </w:r>
    </w:p>
    <w:p w:rsidR="00CB65E7" w:rsidRDefault="00CB65E7" w:rsidP="00513EC7">
      <w:r>
        <w:t xml:space="preserve">En cuanto al cumplimiento de los requisitos de calidad de la información, además de las dificultades para conocer si la información está actualizada, en este caso el problema es el uso de fuentes centralizadas para publicarla. </w:t>
      </w:r>
      <w:r w:rsidR="009E5841">
        <w:t>Como se ha indicado, e</w:t>
      </w:r>
      <w:r>
        <w:t xml:space="preserve">n muchos casos se deriva a la Plataforma de Contratación del Sector Público o a la Base de Datos Nacional de Subvenciones. </w:t>
      </w:r>
      <w:r w:rsidR="00D631CC">
        <w:t xml:space="preserve">Por otra parte, en ocasiones se redirige al Portal de Transparencia de la Administración General del Estado, lo que obliga a efectuar una nueva búsqueda para localizar la información. </w:t>
      </w:r>
      <w:r>
        <w:t xml:space="preserve">    </w:t>
      </w:r>
    </w:p>
    <w:p w:rsidR="00D631CC" w:rsidRPr="009E5841" w:rsidRDefault="00D631CC" w:rsidP="00D631CC">
      <w:pPr>
        <w:pStyle w:val="Epgrafe"/>
        <w:keepNext/>
        <w:rPr>
          <w:color w:val="438086" w:themeColor="accent2"/>
          <w:sz w:val="22"/>
          <w:szCs w:val="22"/>
        </w:rPr>
      </w:pPr>
      <w:r w:rsidRPr="009E5841">
        <w:rPr>
          <w:color w:val="438086" w:themeColor="accent2"/>
          <w:sz w:val="22"/>
          <w:szCs w:val="22"/>
        </w:rPr>
        <w:t xml:space="preserve">Gráfico </w:t>
      </w:r>
      <w:r w:rsidR="005915F6" w:rsidRPr="009E5841">
        <w:rPr>
          <w:color w:val="438086" w:themeColor="accent2"/>
          <w:sz w:val="22"/>
          <w:szCs w:val="22"/>
        </w:rPr>
        <w:fldChar w:fldCharType="begin"/>
      </w:r>
      <w:r w:rsidR="005915F6" w:rsidRPr="009E5841">
        <w:rPr>
          <w:color w:val="438086" w:themeColor="accent2"/>
          <w:sz w:val="22"/>
          <w:szCs w:val="22"/>
        </w:rPr>
        <w:instrText xml:space="preserve"> SEQ Gráfico \* ARABIC </w:instrText>
      </w:r>
      <w:r w:rsidR="005915F6" w:rsidRPr="009E5841">
        <w:rPr>
          <w:color w:val="438086" w:themeColor="accent2"/>
          <w:sz w:val="22"/>
          <w:szCs w:val="22"/>
        </w:rPr>
        <w:fldChar w:fldCharType="separate"/>
      </w:r>
      <w:r w:rsidR="004C792C">
        <w:rPr>
          <w:noProof/>
          <w:color w:val="438086" w:themeColor="accent2"/>
          <w:sz w:val="22"/>
          <w:szCs w:val="22"/>
        </w:rPr>
        <w:t>3</w:t>
      </w:r>
      <w:r w:rsidR="005915F6" w:rsidRPr="009E5841">
        <w:rPr>
          <w:color w:val="438086" w:themeColor="accent2"/>
          <w:sz w:val="22"/>
          <w:szCs w:val="22"/>
        </w:rPr>
        <w:fldChar w:fldCharType="end"/>
      </w:r>
      <w:r w:rsidRPr="009E5841">
        <w:rPr>
          <w:color w:val="438086" w:themeColor="accent2"/>
          <w:sz w:val="22"/>
          <w:szCs w:val="22"/>
        </w:rPr>
        <w:t>: Evaluación de la publicación (contenido) y de los atributos de calidad de información Económica, Presupuestaria y Estadística.</w:t>
      </w:r>
      <w:r w:rsidR="00550FCC" w:rsidRPr="009E5841">
        <w:rPr>
          <w:sz w:val="22"/>
          <w:szCs w:val="22"/>
        </w:rPr>
        <w:t xml:space="preserve"> </w:t>
      </w:r>
      <w:r w:rsidR="00D23563" w:rsidRPr="00D23563">
        <w:rPr>
          <w:color w:val="438086" w:themeColor="accent2"/>
          <w:sz w:val="22"/>
          <w:szCs w:val="22"/>
        </w:rPr>
        <w:t xml:space="preserve">Órganos reguladores y supervisores y </w:t>
      </w:r>
      <w:r w:rsidR="00550FCC" w:rsidRPr="009E5841">
        <w:rPr>
          <w:color w:val="438086" w:themeColor="accent2"/>
          <w:sz w:val="22"/>
          <w:szCs w:val="22"/>
        </w:rPr>
        <w:t>Autoridades Administrativas Independientes.</w:t>
      </w:r>
    </w:p>
    <w:p w:rsidR="00CB65E7" w:rsidRDefault="000F0116" w:rsidP="00841A00">
      <w:r>
        <w:rPr>
          <w:noProof/>
        </w:rPr>
        <w:drawing>
          <wp:inline distT="0" distB="0" distL="0" distR="0" wp14:anchorId="56E3318A" wp14:editId="730145BD">
            <wp:extent cx="5838825" cy="274320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1CC" w:rsidRDefault="00D631CC" w:rsidP="00D631CC"/>
    <w:p w:rsidR="00D631CC" w:rsidRDefault="00D631CC" w:rsidP="00D631CC">
      <w:r>
        <w:t xml:space="preserve">El índice medio de cumplimiento de este bloque de obligaciones es del </w:t>
      </w:r>
      <w:r w:rsidR="000F0116">
        <w:t>84,8</w:t>
      </w:r>
      <w:r>
        <w:t xml:space="preserve">%, con un rango que oscila entre el </w:t>
      </w:r>
      <w:r w:rsidR="000F0116">
        <w:t>74,8</w:t>
      </w:r>
      <w:r>
        <w:t xml:space="preserve"> y el </w:t>
      </w:r>
      <w:r w:rsidR="000F0116">
        <w:t>100</w:t>
      </w:r>
      <w:r>
        <w:t>%.</w:t>
      </w:r>
      <w:r w:rsidR="000F0116">
        <w:t xml:space="preserve"> Respecto de 2021 ha aumentado en 13,5 puntos porcentuales.</w:t>
      </w:r>
    </w:p>
    <w:p w:rsidR="00D631CC" w:rsidRDefault="00D631CC" w:rsidP="00D631CC">
      <w:pPr>
        <w:pStyle w:val="Ttulo4"/>
      </w:pPr>
    </w:p>
    <w:p w:rsidR="00D631CC" w:rsidRDefault="00F23BD7" w:rsidP="00AF02EB">
      <w:pPr>
        <w:pStyle w:val="Ttulo3"/>
      </w:pPr>
      <w:bookmarkStart w:id="10" w:name="_Toc98405844"/>
      <w:r>
        <w:t>III.</w:t>
      </w:r>
      <w:r w:rsidR="0047212C">
        <w:t>2</w:t>
      </w:r>
      <w:r>
        <w:t xml:space="preserve">.4.  </w:t>
      </w:r>
      <w:r w:rsidR="00D631CC">
        <w:t>Información Patrimonial</w:t>
      </w:r>
      <w:bookmarkEnd w:id="10"/>
    </w:p>
    <w:p w:rsidR="00D631CC" w:rsidRDefault="00D631CC" w:rsidP="00513EC7"/>
    <w:p w:rsidR="00D631CC" w:rsidRDefault="00D631CC" w:rsidP="00513EC7">
      <w:r>
        <w:t xml:space="preserve">La totalidad de las entidades publican información sobre sus bienes patrimoniales. Nuevamente la falta de referencias a  la última fecha en que se revisó o actualizó la información es el principal déficit que presenta este bloque de obligaciones. El índice de cumplimiento global se sitúa </w:t>
      </w:r>
      <w:r w:rsidR="005915F6">
        <w:t xml:space="preserve">en el  </w:t>
      </w:r>
      <w:r w:rsidR="000F0116">
        <w:t>98,6</w:t>
      </w:r>
      <w:r w:rsidR="005915F6">
        <w:t xml:space="preserve">%, con una variabilidad </w:t>
      </w:r>
      <w:r w:rsidR="003F10D6">
        <w:t>de</w:t>
      </w:r>
      <w:r w:rsidR="005915F6">
        <w:t xml:space="preserve"> entre el </w:t>
      </w:r>
      <w:r w:rsidR="00AF02EB">
        <w:t>85,</w:t>
      </w:r>
      <w:r w:rsidR="00D23563">
        <w:t>7</w:t>
      </w:r>
      <w:r w:rsidR="005915F6">
        <w:t xml:space="preserve"> y </w:t>
      </w:r>
      <w:r w:rsidR="000F0116">
        <w:t>el 100</w:t>
      </w:r>
      <w:r w:rsidR="005915F6">
        <w:t>%.</w:t>
      </w:r>
      <w:r w:rsidR="000F0116">
        <w:t xml:space="preserve"> Respecto de 2021 se ha incrementado en 1,8 puntos porcentuales.</w:t>
      </w:r>
    </w:p>
    <w:p w:rsidR="005915F6" w:rsidRDefault="005915F6" w:rsidP="005915F6">
      <w:pPr>
        <w:pStyle w:val="Epgrafe"/>
        <w:keepNext/>
      </w:pPr>
      <w:r w:rsidRPr="005915F6">
        <w:rPr>
          <w:color w:val="438086" w:themeColor="accent2"/>
          <w:sz w:val="22"/>
          <w:szCs w:val="22"/>
        </w:rPr>
        <w:lastRenderedPageBreak/>
        <w:t xml:space="preserve">Gráfico </w:t>
      </w:r>
      <w:r w:rsidRPr="005915F6">
        <w:rPr>
          <w:color w:val="438086" w:themeColor="accent2"/>
          <w:sz w:val="22"/>
          <w:szCs w:val="22"/>
        </w:rPr>
        <w:fldChar w:fldCharType="begin"/>
      </w:r>
      <w:r w:rsidRPr="005915F6">
        <w:rPr>
          <w:color w:val="438086" w:themeColor="accent2"/>
          <w:sz w:val="22"/>
          <w:szCs w:val="22"/>
        </w:rPr>
        <w:instrText xml:space="preserve"> SEQ Gráfico \* ARABIC </w:instrText>
      </w:r>
      <w:r w:rsidRPr="005915F6">
        <w:rPr>
          <w:color w:val="438086" w:themeColor="accent2"/>
          <w:sz w:val="22"/>
          <w:szCs w:val="22"/>
        </w:rPr>
        <w:fldChar w:fldCharType="separate"/>
      </w:r>
      <w:r w:rsidR="004C792C">
        <w:rPr>
          <w:noProof/>
          <w:color w:val="438086" w:themeColor="accent2"/>
          <w:sz w:val="22"/>
          <w:szCs w:val="22"/>
        </w:rPr>
        <w:t>4</w:t>
      </w:r>
      <w:r w:rsidRPr="005915F6">
        <w:rPr>
          <w:color w:val="438086" w:themeColor="accent2"/>
          <w:sz w:val="22"/>
          <w:szCs w:val="22"/>
        </w:rPr>
        <w:fldChar w:fldCharType="end"/>
      </w:r>
      <w:r w:rsidRPr="005915F6">
        <w:rPr>
          <w:color w:val="438086" w:themeColor="accent2"/>
          <w:sz w:val="22"/>
          <w:szCs w:val="22"/>
        </w:rPr>
        <w:t xml:space="preserve">: </w:t>
      </w:r>
      <w:r w:rsidRPr="00D631CC">
        <w:rPr>
          <w:color w:val="438086" w:themeColor="accent2"/>
          <w:sz w:val="22"/>
          <w:szCs w:val="22"/>
        </w:rPr>
        <w:t xml:space="preserve">Evaluación de la publicación (contenido) y de los atributos de calidad de información </w:t>
      </w:r>
      <w:r>
        <w:rPr>
          <w:color w:val="438086" w:themeColor="accent2"/>
          <w:sz w:val="22"/>
          <w:szCs w:val="22"/>
        </w:rPr>
        <w:t>Patrimonial</w:t>
      </w:r>
      <w:r w:rsidRPr="00D631CC">
        <w:rPr>
          <w:color w:val="438086" w:themeColor="accent2"/>
          <w:sz w:val="22"/>
          <w:szCs w:val="22"/>
        </w:rPr>
        <w:t>.</w:t>
      </w:r>
      <w:r w:rsidR="00550FCC" w:rsidRPr="00550FCC">
        <w:t xml:space="preserve"> </w:t>
      </w:r>
      <w:r w:rsidR="00D23563" w:rsidRPr="00D23563">
        <w:rPr>
          <w:color w:val="438086" w:themeColor="accent2"/>
          <w:sz w:val="22"/>
          <w:szCs w:val="22"/>
        </w:rPr>
        <w:t xml:space="preserve">Órganos reguladores y supervisores y </w:t>
      </w:r>
      <w:r w:rsidR="00D23563" w:rsidRPr="009E5841">
        <w:rPr>
          <w:color w:val="438086" w:themeColor="accent2"/>
          <w:sz w:val="22"/>
          <w:szCs w:val="22"/>
        </w:rPr>
        <w:t>Autoridades Administrativas Independientes</w:t>
      </w:r>
      <w:r w:rsidR="00550FCC" w:rsidRPr="00550FCC">
        <w:rPr>
          <w:color w:val="438086" w:themeColor="accent2"/>
          <w:sz w:val="22"/>
          <w:szCs w:val="22"/>
        </w:rPr>
        <w:t>.</w:t>
      </w:r>
    </w:p>
    <w:p w:rsidR="00D631CC" w:rsidRPr="00513EC7" w:rsidRDefault="000F0116" w:rsidP="00D23563">
      <w:r>
        <w:rPr>
          <w:noProof/>
        </w:rPr>
        <w:drawing>
          <wp:inline distT="0" distB="0" distL="0" distR="0" wp14:anchorId="5C380176" wp14:editId="7FE562BD">
            <wp:extent cx="573405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5AAA" w:rsidRDefault="009F5AAA" w:rsidP="00513EC7">
      <w:pPr>
        <w:pStyle w:val="Ttulo3"/>
      </w:pPr>
    </w:p>
    <w:p w:rsidR="00513EC7" w:rsidRDefault="00F23BD7" w:rsidP="00513EC7">
      <w:pPr>
        <w:pStyle w:val="Ttulo3"/>
      </w:pPr>
      <w:bookmarkStart w:id="11" w:name="_Toc98405845"/>
      <w:r>
        <w:t>III.</w:t>
      </w:r>
      <w:r w:rsidR="0047212C">
        <w:t>2</w:t>
      </w:r>
      <w:r>
        <w:t>.</w:t>
      </w:r>
      <w:r w:rsidR="0078315A">
        <w:t>5</w:t>
      </w:r>
      <w:r>
        <w:t xml:space="preserve">. </w:t>
      </w:r>
      <w:r w:rsidR="00513EC7">
        <w:t>Índice de Cumplimiento de la Información Obligatoria</w:t>
      </w:r>
      <w:r w:rsidR="00520912">
        <w:t xml:space="preserve"> (ICIO)</w:t>
      </w:r>
      <w:bookmarkEnd w:id="11"/>
    </w:p>
    <w:p w:rsidR="00513EC7" w:rsidRDefault="00513EC7" w:rsidP="00513EC7"/>
    <w:p w:rsidR="00520912" w:rsidRPr="009D3AA0" w:rsidRDefault="00520912" w:rsidP="00513EC7">
      <w:r w:rsidRPr="009D3AA0">
        <w:t xml:space="preserve">El ICIO </w:t>
      </w:r>
      <w:r w:rsidR="0052794A" w:rsidRPr="009D3AA0">
        <w:t>de</w:t>
      </w:r>
      <w:r w:rsidRPr="009D3AA0">
        <w:t xml:space="preserve"> este grupo de sujetos obligados </w:t>
      </w:r>
      <w:r w:rsidR="0052794A" w:rsidRPr="009D3AA0">
        <w:t xml:space="preserve">alcanza </w:t>
      </w:r>
      <w:r w:rsidR="00FF5F43" w:rsidRPr="009D3AA0">
        <w:t xml:space="preserve">un </w:t>
      </w:r>
      <w:r w:rsidR="009D3AA0">
        <w:t>89,3</w:t>
      </w:r>
      <w:r w:rsidR="009E5841" w:rsidRPr="009D3AA0">
        <w:t>%</w:t>
      </w:r>
      <w:r w:rsidR="00FF5F43" w:rsidRPr="009D3AA0">
        <w:t xml:space="preserve"> de cumplimiento</w:t>
      </w:r>
      <w:r w:rsidR="009D3AA0">
        <w:t xml:space="preserve"> en promedio con un rango de variación de entre el 74,1 y el 100%</w:t>
      </w:r>
      <w:r w:rsidR="00FF5F43" w:rsidRPr="009D3AA0">
        <w:t>.</w:t>
      </w:r>
      <w:r w:rsidR="009D3AA0">
        <w:t xml:space="preserve"> Respecto de 2021 ha aumentado en 11,1 puntos porcentuales.</w:t>
      </w:r>
    </w:p>
    <w:p w:rsidR="00FF5F43" w:rsidRDefault="00FF5F43" w:rsidP="00513EC7">
      <w:r w:rsidRPr="009D3AA0">
        <w:t xml:space="preserve">La falta de publicación de informaciones obligatorias – no se publica un </w:t>
      </w:r>
      <w:r w:rsidR="004B515C">
        <w:t>7,4</w:t>
      </w:r>
      <w:r w:rsidRPr="009D3AA0">
        <w:t>%</w:t>
      </w:r>
      <w:r w:rsidR="003F10D6" w:rsidRPr="009D3AA0">
        <w:t xml:space="preserve"> de ellas</w:t>
      </w:r>
      <w:r w:rsidRPr="009D3AA0">
        <w:t xml:space="preserve"> - el recurso a fuentes centralizadas o la derivación al Portal de Transparencia de la AGE, y sobre todo, la carencia</w:t>
      </w:r>
      <w:r>
        <w:t xml:space="preserve"> de referencias que permitan conocer a los </w:t>
      </w:r>
      <w:r w:rsidR="004B515C">
        <w:t>ciudadanos</w:t>
      </w:r>
      <w:r>
        <w:t xml:space="preserve"> el grado de actualización de la información publicada, son los factores que explican el</w:t>
      </w:r>
      <w:r w:rsidR="005F0168">
        <w:t xml:space="preserve"> </w:t>
      </w:r>
      <w:r>
        <w:t>nivel de cumplimiento global alcanzado.</w:t>
      </w:r>
    </w:p>
    <w:p w:rsidR="00513EC7" w:rsidRDefault="005915F6" w:rsidP="0052794A">
      <w:pPr>
        <w:pStyle w:val="Epgrafe"/>
        <w:keepNext/>
      </w:pPr>
      <w:r w:rsidRPr="002136D7">
        <w:rPr>
          <w:color w:val="438086" w:themeColor="accent2"/>
          <w:sz w:val="22"/>
          <w:szCs w:val="22"/>
        </w:rPr>
        <w:lastRenderedPageBreak/>
        <w:t xml:space="preserve">Gráfico </w:t>
      </w:r>
      <w:r w:rsidRPr="002136D7">
        <w:rPr>
          <w:color w:val="438086" w:themeColor="accent2"/>
          <w:sz w:val="22"/>
          <w:szCs w:val="22"/>
        </w:rPr>
        <w:fldChar w:fldCharType="begin"/>
      </w:r>
      <w:r w:rsidRPr="002136D7">
        <w:rPr>
          <w:color w:val="438086" w:themeColor="accent2"/>
          <w:sz w:val="22"/>
          <w:szCs w:val="22"/>
        </w:rPr>
        <w:instrText xml:space="preserve"> SEQ Gráfico \* ARABIC </w:instrText>
      </w:r>
      <w:r w:rsidRPr="002136D7">
        <w:rPr>
          <w:color w:val="438086" w:themeColor="accent2"/>
          <w:sz w:val="22"/>
          <w:szCs w:val="22"/>
        </w:rPr>
        <w:fldChar w:fldCharType="separate"/>
      </w:r>
      <w:r w:rsidR="004C792C">
        <w:rPr>
          <w:noProof/>
          <w:color w:val="438086" w:themeColor="accent2"/>
          <w:sz w:val="22"/>
          <w:szCs w:val="22"/>
        </w:rPr>
        <w:t>5</w:t>
      </w:r>
      <w:r w:rsidRPr="002136D7">
        <w:rPr>
          <w:color w:val="438086" w:themeColor="accent2"/>
          <w:sz w:val="22"/>
          <w:szCs w:val="22"/>
        </w:rPr>
        <w:fldChar w:fldCharType="end"/>
      </w:r>
      <w:r w:rsidRPr="002136D7">
        <w:rPr>
          <w:color w:val="438086" w:themeColor="accent2"/>
          <w:sz w:val="22"/>
          <w:szCs w:val="22"/>
        </w:rPr>
        <w:t>: Índice de Cumplimiento de la</w:t>
      </w:r>
      <w:r w:rsidR="0052794A">
        <w:rPr>
          <w:color w:val="438086" w:themeColor="accent2"/>
          <w:sz w:val="22"/>
          <w:szCs w:val="22"/>
        </w:rPr>
        <w:t xml:space="preserve"> Información Obligatoria (ICIO). </w:t>
      </w:r>
      <w:r w:rsidR="0052794A" w:rsidRPr="00D23563">
        <w:rPr>
          <w:color w:val="438086" w:themeColor="accent2"/>
          <w:sz w:val="22"/>
          <w:szCs w:val="22"/>
        </w:rPr>
        <w:t xml:space="preserve">Órganos reguladores y supervisores y </w:t>
      </w:r>
      <w:r w:rsidR="0052794A" w:rsidRPr="009E5841">
        <w:rPr>
          <w:color w:val="438086" w:themeColor="accent2"/>
          <w:sz w:val="22"/>
          <w:szCs w:val="22"/>
        </w:rPr>
        <w:t>Autoridades Administrativas Independientes</w:t>
      </w:r>
      <w:r w:rsidR="0052794A" w:rsidRPr="00550FCC">
        <w:rPr>
          <w:color w:val="438086" w:themeColor="accent2"/>
          <w:sz w:val="22"/>
          <w:szCs w:val="22"/>
        </w:rPr>
        <w:t>.</w:t>
      </w:r>
    </w:p>
    <w:p w:rsidR="002136D7" w:rsidRDefault="009D3AA0" w:rsidP="00513EC7">
      <w:pPr>
        <w:pStyle w:val="Ttulo3"/>
      </w:pPr>
      <w:bookmarkStart w:id="12" w:name="_Toc98405801"/>
      <w:bookmarkStart w:id="13" w:name="_Toc98405846"/>
      <w:r>
        <w:rPr>
          <w:noProof/>
        </w:rPr>
        <w:drawing>
          <wp:inline distT="0" distB="0" distL="0" distR="0" wp14:anchorId="7C3DCD44" wp14:editId="04DCEC8C">
            <wp:extent cx="5705475" cy="282892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2"/>
      <w:bookmarkEnd w:id="13"/>
    </w:p>
    <w:p w:rsidR="006219DA" w:rsidRDefault="006219DA" w:rsidP="006219DA"/>
    <w:p w:rsidR="0078315A" w:rsidRPr="004D777E" w:rsidRDefault="0078315A" w:rsidP="0078315A">
      <w:pPr>
        <w:pStyle w:val="Ttulo3"/>
        <w:rPr>
          <w:rFonts w:ascii="Century Gothic" w:hAnsi="Century Gothic"/>
          <w:b w:val="0"/>
          <w:color w:val="auto"/>
          <w:szCs w:val="20"/>
        </w:rPr>
      </w:pPr>
      <w:bookmarkStart w:id="14" w:name="_Toc98321561"/>
      <w:bookmarkStart w:id="15" w:name="_Toc98405715"/>
      <w:bookmarkStart w:id="16" w:name="_Toc98405802"/>
      <w:bookmarkStart w:id="17" w:name="_Toc98405847"/>
      <w:r w:rsidRPr="004D777E">
        <w:rPr>
          <w:rFonts w:ascii="Century Gothic" w:hAnsi="Century Gothic"/>
          <w:b w:val="0"/>
          <w:color w:val="auto"/>
          <w:szCs w:val="20"/>
        </w:rPr>
        <w:t xml:space="preserve">El siguiente </w:t>
      </w:r>
      <w:r>
        <w:rPr>
          <w:rFonts w:ascii="Century Gothic" w:hAnsi="Century Gothic"/>
          <w:b w:val="0"/>
          <w:color w:val="auto"/>
          <w:szCs w:val="20"/>
        </w:rPr>
        <w:t>cuadro, muestra los Índices de Cumplimiento individuales alcanzados por las instituciones integrantes de este grupo de sujetos obligados, junto a la evolución de estos índices respecto de 2021, así como las recomendaciones implantadas entre las evaluaciones 2021 y 2022 así como las recomendaciones y mejoras que se han aplicado durante el periodo de observaciones.</w:t>
      </w:r>
      <w:bookmarkEnd w:id="14"/>
      <w:bookmarkEnd w:id="15"/>
      <w:bookmarkEnd w:id="16"/>
      <w:bookmarkEnd w:id="17"/>
    </w:p>
    <w:p w:rsidR="0078315A" w:rsidRDefault="0078315A" w:rsidP="0078315A">
      <w:pPr>
        <w:pStyle w:val="Ttulo3"/>
      </w:pPr>
    </w:p>
    <w:tbl>
      <w:tblPr>
        <w:tblStyle w:val="Cuadrculamedia3-nfasis2"/>
        <w:tblW w:w="11766" w:type="dxa"/>
        <w:tblInd w:w="-1168" w:type="dxa"/>
        <w:tblLayout w:type="fixed"/>
        <w:tblLook w:val="04A0" w:firstRow="1" w:lastRow="0" w:firstColumn="1" w:lastColumn="0" w:noHBand="0" w:noVBand="1"/>
      </w:tblPr>
      <w:tblGrid>
        <w:gridCol w:w="1418"/>
        <w:gridCol w:w="1985"/>
        <w:gridCol w:w="1842"/>
        <w:gridCol w:w="2127"/>
        <w:gridCol w:w="2268"/>
        <w:gridCol w:w="2126"/>
      </w:tblGrid>
      <w:tr w:rsidR="0078315A" w:rsidRPr="008E5FF1" w:rsidTr="00BF317B">
        <w:trPr>
          <w:cnfStyle w:val="100000000000" w:firstRow="1" w:lastRow="0" w:firstColumn="0" w:lastColumn="0" w:oddVBand="0" w:evenVBand="0" w:oddHBand="0"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1418" w:type="dxa"/>
            <w:noWrap/>
            <w:hideMark/>
          </w:tcPr>
          <w:p w:rsidR="0078315A" w:rsidRPr="008E5FF1" w:rsidRDefault="0078315A" w:rsidP="0078315A">
            <w:pPr>
              <w:jc w:val="left"/>
              <w:rPr>
                <w:rFonts w:eastAsia="Times New Roman" w:cs="Calibri"/>
                <w:sz w:val="20"/>
              </w:rPr>
            </w:pPr>
            <w:r w:rsidRPr="008E5FF1">
              <w:rPr>
                <w:rFonts w:eastAsia="Times New Roman" w:cs="Calibri"/>
                <w:sz w:val="20"/>
              </w:rPr>
              <w:t>Institución</w:t>
            </w:r>
          </w:p>
        </w:tc>
        <w:tc>
          <w:tcPr>
            <w:tcW w:w="1985" w:type="dxa"/>
            <w:noWrap/>
            <w:hideMark/>
          </w:tcPr>
          <w:p w:rsidR="0078315A" w:rsidRPr="008E5FF1" w:rsidRDefault="0078315A" w:rsidP="0078315A">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Cumplimiento</w:t>
            </w:r>
          </w:p>
        </w:tc>
        <w:tc>
          <w:tcPr>
            <w:tcW w:w="1842" w:type="dxa"/>
            <w:noWrap/>
            <w:hideMark/>
          </w:tcPr>
          <w:p w:rsidR="0078315A" w:rsidRPr="008E5FF1" w:rsidRDefault="0078315A" w:rsidP="0078315A">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Diferencia respecto de 2021 (puntos porcentuales)</w:t>
            </w:r>
          </w:p>
        </w:tc>
        <w:tc>
          <w:tcPr>
            <w:tcW w:w="2127" w:type="dxa"/>
            <w:noWrap/>
            <w:hideMark/>
          </w:tcPr>
          <w:p w:rsidR="0078315A" w:rsidRPr="008E5FF1" w:rsidRDefault="0078315A" w:rsidP="003601CC">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 xml:space="preserve">Recomendaciones </w:t>
            </w:r>
            <w:r w:rsidR="003601CC">
              <w:rPr>
                <w:rFonts w:eastAsia="Times New Roman" w:cs="Calibri"/>
                <w:sz w:val="20"/>
              </w:rPr>
              <w:t>efectuadas</w:t>
            </w:r>
          </w:p>
        </w:tc>
        <w:tc>
          <w:tcPr>
            <w:tcW w:w="2268" w:type="dxa"/>
            <w:noWrap/>
            <w:hideMark/>
          </w:tcPr>
          <w:p w:rsidR="0078315A" w:rsidRPr="008E5FF1" w:rsidRDefault="0078315A" w:rsidP="0078315A">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Recomendaciones aplicadas</w:t>
            </w:r>
          </w:p>
        </w:tc>
        <w:tc>
          <w:tcPr>
            <w:tcW w:w="2126" w:type="dxa"/>
            <w:hideMark/>
          </w:tcPr>
          <w:p w:rsidR="0078315A" w:rsidRPr="008E5FF1" w:rsidRDefault="0078315A" w:rsidP="0078315A">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Recomendaciones o Mejoras implantadas durante el periodo de observaciones</w:t>
            </w:r>
          </w:p>
        </w:tc>
      </w:tr>
      <w:tr w:rsidR="0078315A" w:rsidRPr="008E5FF1" w:rsidTr="00BF3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tcPr>
          <w:p w:rsidR="0078315A" w:rsidRPr="00A643EA" w:rsidRDefault="0078315A" w:rsidP="0078315A">
            <w:pPr>
              <w:rPr>
                <w:sz w:val="20"/>
              </w:rPr>
            </w:pPr>
            <w:r w:rsidRPr="00A643EA">
              <w:rPr>
                <w:sz w:val="20"/>
              </w:rPr>
              <w:t>AIREF</w:t>
            </w:r>
          </w:p>
        </w:tc>
        <w:tc>
          <w:tcPr>
            <w:tcW w:w="1985" w:type="dxa"/>
            <w:noWrap/>
          </w:tcPr>
          <w:p w:rsidR="0078315A" w:rsidRPr="00E440E4" w:rsidRDefault="0078315A" w:rsidP="0078315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100</w:t>
            </w:r>
          </w:p>
        </w:tc>
        <w:tc>
          <w:tcPr>
            <w:tcW w:w="1842" w:type="dxa"/>
            <w:noWrap/>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11,2</w:t>
            </w:r>
          </w:p>
        </w:tc>
        <w:tc>
          <w:tcPr>
            <w:tcW w:w="2127" w:type="dxa"/>
            <w:noWrap/>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5</w:t>
            </w:r>
          </w:p>
        </w:tc>
        <w:tc>
          <w:tcPr>
            <w:tcW w:w="2268" w:type="dxa"/>
            <w:noWrap/>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5</w:t>
            </w:r>
          </w:p>
        </w:tc>
        <w:tc>
          <w:tcPr>
            <w:tcW w:w="2126" w:type="dxa"/>
            <w:noWrap/>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p>
        </w:tc>
      </w:tr>
      <w:tr w:rsidR="0078315A" w:rsidRPr="008E5FF1" w:rsidTr="00BF317B">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rsidR="0078315A" w:rsidRPr="00A643EA" w:rsidRDefault="0078315A" w:rsidP="0078315A">
            <w:pPr>
              <w:rPr>
                <w:sz w:val="20"/>
              </w:rPr>
            </w:pPr>
            <w:proofErr w:type="spellStart"/>
            <w:r w:rsidRPr="00A643EA">
              <w:rPr>
                <w:sz w:val="20"/>
              </w:rPr>
              <w:t>BdE</w:t>
            </w:r>
            <w:proofErr w:type="spellEnd"/>
          </w:p>
        </w:tc>
        <w:tc>
          <w:tcPr>
            <w:tcW w:w="1985"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99,2</w:t>
            </w:r>
          </w:p>
        </w:tc>
        <w:tc>
          <w:tcPr>
            <w:tcW w:w="1842"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4,1</w:t>
            </w:r>
          </w:p>
        </w:tc>
        <w:tc>
          <w:tcPr>
            <w:tcW w:w="2127"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w:t>
            </w:r>
          </w:p>
        </w:tc>
        <w:tc>
          <w:tcPr>
            <w:tcW w:w="2268"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w:t>
            </w:r>
          </w:p>
        </w:tc>
        <w:tc>
          <w:tcPr>
            <w:tcW w:w="2126"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w:t>
            </w:r>
          </w:p>
        </w:tc>
      </w:tr>
      <w:tr w:rsidR="0078315A" w:rsidRPr="008E5FF1" w:rsidTr="00BF3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rsidR="0078315A" w:rsidRPr="00A643EA" w:rsidRDefault="0078315A" w:rsidP="0078315A">
            <w:pPr>
              <w:rPr>
                <w:sz w:val="20"/>
              </w:rPr>
            </w:pPr>
            <w:r w:rsidRPr="00A643EA">
              <w:rPr>
                <w:sz w:val="20"/>
              </w:rPr>
              <w:t>AEPD</w:t>
            </w:r>
          </w:p>
        </w:tc>
        <w:tc>
          <w:tcPr>
            <w:tcW w:w="1985"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95,2</w:t>
            </w:r>
          </w:p>
        </w:tc>
        <w:tc>
          <w:tcPr>
            <w:tcW w:w="1842"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17,5</w:t>
            </w:r>
          </w:p>
        </w:tc>
        <w:tc>
          <w:tcPr>
            <w:tcW w:w="2127"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8</w:t>
            </w:r>
          </w:p>
        </w:tc>
        <w:tc>
          <w:tcPr>
            <w:tcW w:w="2268"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8</w:t>
            </w:r>
          </w:p>
        </w:tc>
        <w:tc>
          <w:tcPr>
            <w:tcW w:w="2126"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3</w:t>
            </w:r>
          </w:p>
        </w:tc>
      </w:tr>
      <w:tr w:rsidR="0078315A" w:rsidRPr="008E5FF1" w:rsidTr="00BF317B">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rsidR="0078315A" w:rsidRPr="00A643EA" w:rsidRDefault="0078315A" w:rsidP="0078315A">
            <w:pPr>
              <w:rPr>
                <w:sz w:val="20"/>
              </w:rPr>
            </w:pPr>
            <w:r w:rsidRPr="00A643EA">
              <w:rPr>
                <w:sz w:val="20"/>
              </w:rPr>
              <w:t>CNMC</w:t>
            </w:r>
          </w:p>
        </w:tc>
        <w:tc>
          <w:tcPr>
            <w:tcW w:w="1985"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90,0</w:t>
            </w:r>
          </w:p>
        </w:tc>
        <w:tc>
          <w:tcPr>
            <w:tcW w:w="1842"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12,2</w:t>
            </w:r>
          </w:p>
        </w:tc>
        <w:tc>
          <w:tcPr>
            <w:tcW w:w="2127"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7</w:t>
            </w:r>
          </w:p>
        </w:tc>
        <w:tc>
          <w:tcPr>
            <w:tcW w:w="2268"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5</w:t>
            </w:r>
          </w:p>
        </w:tc>
        <w:tc>
          <w:tcPr>
            <w:tcW w:w="2126"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w:t>
            </w:r>
          </w:p>
        </w:tc>
      </w:tr>
      <w:tr w:rsidR="0078315A" w:rsidRPr="008E5FF1" w:rsidTr="00BF31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rsidR="0078315A" w:rsidRPr="00A643EA" w:rsidRDefault="0078315A" w:rsidP="0078315A">
            <w:pPr>
              <w:rPr>
                <w:sz w:val="20"/>
              </w:rPr>
            </w:pPr>
            <w:r w:rsidRPr="00A643EA">
              <w:rPr>
                <w:sz w:val="20"/>
              </w:rPr>
              <w:t>CNMV</w:t>
            </w:r>
          </w:p>
        </w:tc>
        <w:tc>
          <w:tcPr>
            <w:tcW w:w="1985"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82,1</w:t>
            </w:r>
          </w:p>
        </w:tc>
        <w:tc>
          <w:tcPr>
            <w:tcW w:w="1842"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9,7</w:t>
            </w:r>
          </w:p>
        </w:tc>
        <w:tc>
          <w:tcPr>
            <w:tcW w:w="2127"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8</w:t>
            </w:r>
          </w:p>
        </w:tc>
        <w:tc>
          <w:tcPr>
            <w:tcW w:w="2268" w:type="dxa"/>
            <w:noWrap/>
            <w:hideMark/>
          </w:tcPr>
          <w:p w:rsidR="0078315A" w:rsidRPr="0078315A" w:rsidRDefault="0078315A" w:rsidP="0078315A">
            <w:pPr>
              <w:jc w:val="center"/>
              <w:cnfStyle w:val="000000100000" w:firstRow="0" w:lastRow="0" w:firstColumn="0" w:lastColumn="0" w:oddVBand="0" w:evenVBand="0" w:oddHBand="1" w:evenHBand="0" w:firstRowFirstColumn="0" w:firstRowLastColumn="0" w:lastRowFirstColumn="0" w:lastRowLastColumn="0"/>
              <w:rPr>
                <w:sz w:val="20"/>
              </w:rPr>
            </w:pPr>
            <w:r w:rsidRPr="0078315A">
              <w:rPr>
                <w:sz w:val="20"/>
              </w:rPr>
              <w:t>4</w:t>
            </w:r>
          </w:p>
        </w:tc>
        <w:tc>
          <w:tcPr>
            <w:tcW w:w="2126" w:type="dxa"/>
            <w:noWrap/>
            <w:hideMark/>
          </w:tcPr>
          <w:p w:rsidR="0078315A" w:rsidRPr="0078315A" w:rsidRDefault="00BD3E3D" w:rsidP="0078315A">
            <w:pPr>
              <w:jc w:val="center"/>
              <w:cnfStyle w:val="000000100000" w:firstRow="0" w:lastRow="0" w:firstColumn="0" w:lastColumn="0" w:oddVBand="0" w:evenVBand="0" w:oddHBand="1" w:evenHBand="0" w:firstRowFirstColumn="0" w:firstRowLastColumn="0" w:lastRowFirstColumn="0" w:lastRowLastColumn="0"/>
              <w:rPr>
                <w:sz w:val="20"/>
              </w:rPr>
            </w:pPr>
            <w:r>
              <w:rPr>
                <w:sz w:val="20"/>
              </w:rPr>
              <w:t>8</w:t>
            </w:r>
          </w:p>
        </w:tc>
      </w:tr>
      <w:tr w:rsidR="0078315A" w:rsidRPr="008E5FF1" w:rsidTr="00BF317B">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rsidR="0078315A" w:rsidRPr="00A643EA" w:rsidRDefault="0078315A" w:rsidP="0078315A">
            <w:pPr>
              <w:rPr>
                <w:sz w:val="20"/>
              </w:rPr>
            </w:pPr>
            <w:r w:rsidRPr="00A643EA">
              <w:rPr>
                <w:sz w:val="20"/>
              </w:rPr>
              <w:t>CSN</w:t>
            </w:r>
          </w:p>
        </w:tc>
        <w:tc>
          <w:tcPr>
            <w:tcW w:w="1985"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74,1</w:t>
            </w:r>
          </w:p>
        </w:tc>
        <w:tc>
          <w:tcPr>
            <w:tcW w:w="1842"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10,8</w:t>
            </w:r>
          </w:p>
        </w:tc>
        <w:tc>
          <w:tcPr>
            <w:tcW w:w="2127"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14</w:t>
            </w:r>
          </w:p>
        </w:tc>
        <w:tc>
          <w:tcPr>
            <w:tcW w:w="2268"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w:t>
            </w:r>
          </w:p>
        </w:tc>
        <w:tc>
          <w:tcPr>
            <w:tcW w:w="2126" w:type="dxa"/>
            <w:noWrap/>
            <w:hideMark/>
          </w:tcPr>
          <w:p w:rsidR="0078315A" w:rsidRPr="0078315A" w:rsidRDefault="0078315A" w:rsidP="0078315A">
            <w:pPr>
              <w:jc w:val="center"/>
              <w:cnfStyle w:val="000000000000" w:firstRow="0" w:lastRow="0" w:firstColumn="0" w:lastColumn="0" w:oddVBand="0" w:evenVBand="0" w:oddHBand="0" w:evenHBand="0" w:firstRowFirstColumn="0" w:firstRowLastColumn="0" w:lastRowFirstColumn="0" w:lastRowLastColumn="0"/>
              <w:rPr>
                <w:sz w:val="20"/>
              </w:rPr>
            </w:pPr>
            <w:r w:rsidRPr="0078315A">
              <w:rPr>
                <w:sz w:val="20"/>
              </w:rPr>
              <w:t>4</w:t>
            </w:r>
          </w:p>
        </w:tc>
      </w:tr>
    </w:tbl>
    <w:p w:rsidR="0078315A" w:rsidRDefault="0078315A" w:rsidP="0078315A"/>
    <w:p w:rsidR="0078315A" w:rsidRDefault="0078315A" w:rsidP="0078315A">
      <w:r>
        <w:t>Como puede apreciarse, el 75% de las instituciones alcanza índices de cumplimiento  iguales o superiores al 90%. El rango de los Índices de cumplimiento alcanza casi 30 puntos porc</w:t>
      </w:r>
      <w:bookmarkStart w:id="18" w:name="_GoBack"/>
      <w:bookmarkEnd w:id="18"/>
      <w:r>
        <w:t xml:space="preserve">entuales. Es preciso señalar que el índice de cumplimiento de algunas de las instituciones que presentan valores más bajos actualmente sería más elevado tras la aplicación de las recomendaciones </w:t>
      </w:r>
      <w:r>
        <w:lastRenderedPageBreak/>
        <w:t xml:space="preserve">derivadas de la evaluación realizada en 2022 durante el periodo de observaciones a los informes provisionales de evaluación. </w:t>
      </w:r>
    </w:p>
    <w:p w:rsidR="00513EC7" w:rsidRDefault="0065420F" w:rsidP="009F1F97">
      <w:pPr>
        <w:pStyle w:val="Ttulo1"/>
        <w:numPr>
          <w:ilvl w:val="0"/>
          <w:numId w:val="47"/>
        </w:numPr>
      </w:pPr>
      <w:bookmarkStart w:id="19" w:name="_Toc98405848"/>
      <w:r>
        <w:t>Conclusiones y Recomendaciones</w:t>
      </w:r>
      <w:bookmarkEnd w:id="19"/>
    </w:p>
    <w:p w:rsidR="00E77AED" w:rsidRDefault="00E77AED" w:rsidP="00D67951">
      <w:pPr>
        <w:rPr>
          <w:b/>
          <w:color w:val="325F64" w:themeColor="accent2" w:themeShade="BF"/>
        </w:rPr>
      </w:pPr>
    </w:p>
    <w:p w:rsidR="004254B3" w:rsidRDefault="004254B3" w:rsidP="004254B3">
      <w:pPr>
        <w:spacing w:after="0"/>
        <w:outlineLvl w:val="1"/>
        <w:rPr>
          <w:b/>
          <w:color w:val="325F64" w:themeColor="accent2" w:themeShade="BF"/>
        </w:rPr>
      </w:pPr>
      <w:bookmarkStart w:id="20" w:name="_Toc98405717"/>
      <w:bookmarkStart w:id="21" w:name="_Toc98405804"/>
      <w:bookmarkStart w:id="22" w:name="_Toc98405849"/>
      <w:bookmarkStart w:id="23" w:name="_Toc86323287"/>
      <w:bookmarkStart w:id="24" w:name="_Toc92897765"/>
      <w:bookmarkStart w:id="25" w:name="_Toc93308924"/>
      <w:bookmarkStart w:id="26" w:name="_Toc69312067"/>
      <w:r w:rsidRPr="00E440E4">
        <w:rPr>
          <w:b/>
          <w:color w:val="325F64" w:themeColor="accent2" w:themeShade="BF"/>
        </w:rPr>
        <w:t>Tras la evaluación realizada en 202</w:t>
      </w:r>
      <w:r>
        <w:rPr>
          <w:b/>
          <w:color w:val="325F64" w:themeColor="accent2" w:themeShade="BF"/>
        </w:rPr>
        <w:t>1</w:t>
      </w:r>
      <w:r w:rsidRPr="00E440E4">
        <w:rPr>
          <w:b/>
          <w:color w:val="325F64" w:themeColor="accent2" w:themeShade="BF"/>
        </w:rPr>
        <w:t xml:space="preserve"> se ha aplicado </w:t>
      </w:r>
      <w:r>
        <w:rPr>
          <w:b/>
          <w:color w:val="325F64" w:themeColor="accent2" w:themeShade="BF"/>
        </w:rPr>
        <w:t>el 62,5</w:t>
      </w:r>
      <w:r w:rsidRPr="00E440E4">
        <w:rPr>
          <w:b/>
          <w:color w:val="325F64" w:themeColor="accent2" w:themeShade="BF"/>
        </w:rPr>
        <w:t>% de las recomendaciones efectuadas.</w:t>
      </w:r>
      <w:bookmarkEnd w:id="20"/>
      <w:bookmarkEnd w:id="21"/>
      <w:bookmarkEnd w:id="22"/>
      <w:r w:rsidRPr="00E440E4">
        <w:rPr>
          <w:b/>
          <w:color w:val="325F64" w:themeColor="accent2" w:themeShade="BF"/>
        </w:rPr>
        <w:t xml:space="preserve"> </w:t>
      </w:r>
      <w:bookmarkEnd w:id="23"/>
      <w:bookmarkEnd w:id="24"/>
      <w:bookmarkEnd w:id="25"/>
    </w:p>
    <w:p w:rsidR="004254B3" w:rsidRPr="00E440E4" w:rsidRDefault="004254B3" w:rsidP="004254B3">
      <w:pPr>
        <w:spacing w:after="0"/>
        <w:outlineLvl w:val="1"/>
      </w:pPr>
    </w:p>
    <w:p w:rsidR="004254B3" w:rsidRPr="00E440E4" w:rsidRDefault="004254B3" w:rsidP="004254B3">
      <w:r>
        <w:t xml:space="preserve">No obstante es preciso señalar que la mitad de las instituciones contempladas en este grupo de sujetos obligados ha aplicado </w:t>
      </w:r>
      <w:r w:rsidR="000556BB">
        <w:t>la totalidad</w:t>
      </w:r>
      <w:r>
        <w:t xml:space="preserve"> de dichas recomendaciones. </w:t>
      </w:r>
      <w:r w:rsidRPr="00E440E4">
        <w:t xml:space="preserve">El </w:t>
      </w:r>
      <w:r>
        <w:t xml:space="preserve">restante </w:t>
      </w:r>
      <w:r w:rsidRPr="00E440E4">
        <w:t>5</w:t>
      </w:r>
      <w:r>
        <w:t>0</w:t>
      </w:r>
      <w:r w:rsidRPr="00E440E4">
        <w:t xml:space="preserve">% de </w:t>
      </w:r>
      <w:r>
        <w:t>esto</w:t>
      </w:r>
      <w:r w:rsidR="00A643EA">
        <w:t>s</w:t>
      </w:r>
      <w:r>
        <w:t xml:space="preserve"> organismos</w:t>
      </w:r>
      <w:r w:rsidRPr="00E440E4">
        <w:t xml:space="preserve"> aplicó entre el 20 y el </w:t>
      </w:r>
      <w:r>
        <w:t>6</w:t>
      </w:r>
      <w:r w:rsidRPr="00E440E4">
        <w:t xml:space="preserve">0% de las recomendaciones efectuadas por este Consejo. </w:t>
      </w:r>
    </w:p>
    <w:p w:rsidR="004254B3" w:rsidRPr="00E440E4" w:rsidRDefault="004254B3" w:rsidP="004254B3">
      <w:pPr>
        <w:pBdr>
          <w:top w:val="single" w:sz="4" w:space="1" w:color="438086" w:themeColor="accent2"/>
          <w:left w:val="single" w:sz="4" w:space="4" w:color="438086" w:themeColor="accent2"/>
          <w:bottom w:val="single" w:sz="4" w:space="1" w:color="438086" w:themeColor="accent2"/>
          <w:right w:val="single" w:sz="4" w:space="4" w:color="438086" w:themeColor="accent2"/>
        </w:pBdr>
        <w:spacing w:after="0"/>
        <w:outlineLvl w:val="1"/>
      </w:pPr>
      <w:bookmarkStart w:id="27" w:name="_Toc93308925"/>
      <w:bookmarkStart w:id="28" w:name="_Toc98405718"/>
      <w:bookmarkStart w:id="29" w:name="_Toc98405805"/>
      <w:bookmarkStart w:id="30" w:name="_Toc98405850"/>
      <w:r w:rsidRPr="00E440E4">
        <w:t xml:space="preserve">La finalidad de las recomendaciones es conseguir mejorar los niveles de cumplimiento de la LTAIBG por parte de los sujetos obligados. Por esta razón es importante que las entidades evaluadas las apliquen. Solo de esta manera es posible avanzar. De hecho entre las </w:t>
      </w:r>
      <w:r>
        <w:t>5</w:t>
      </w:r>
      <w:r w:rsidRPr="00E440E4">
        <w:t xml:space="preserve"> entidades que han aplicado </w:t>
      </w:r>
      <w:r>
        <w:t>el 100</w:t>
      </w:r>
      <w:r w:rsidRPr="00E440E4">
        <w:t xml:space="preserve">% de las recomendaciones efectuadas, el incremento del Índice de Cumplimiento de la Información Obligatorias </w:t>
      </w:r>
      <w:r>
        <w:t>casi alcanza los 11 puntos porcentuales en promedio</w:t>
      </w:r>
      <w:r w:rsidRPr="00E440E4">
        <w:t>.</w:t>
      </w:r>
      <w:bookmarkEnd w:id="27"/>
      <w:bookmarkEnd w:id="28"/>
      <w:bookmarkEnd w:id="29"/>
      <w:bookmarkEnd w:id="30"/>
    </w:p>
    <w:p w:rsidR="004254B3" w:rsidRPr="00E440E4" w:rsidRDefault="004254B3" w:rsidP="004254B3"/>
    <w:bookmarkEnd w:id="26"/>
    <w:p w:rsidR="004254B3" w:rsidRPr="001836F5" w:rsidRDefault="004254B3" w:rsidP="004254B3">
      <w:pPr>
        <w:rPr>
          <w:b/>
          <w:color w:val="325F64" w:themeColor="accent2" w:themeShade="BF"/>
        </w:rPr>
      </w:pPr>
      <w:r w:rsidRPr="001836F5">
        <w:rPr>
          <w:b/>
          <w:color w:val="325F64" w:themeColor="accent2" w:themeShade="BF"/>
        </w:rPr>
        <w:t>La información sujeta a obligaciones de publicidad activa está organizada y es fácilmente localizable en las webs institucionales de las instituciones evaluadas</w:t>
      </w:r>
      <w:r>
        <w:rPr>
          <w:b/>
          <w:color w:val="325F64" w:themeColor="accent2" w:themeShade="BF"/>
        </w:rPr>
        <w:t>.</w:t>
      </w:r>
    </w:p>
    <w:p w:rsidR="004254B3" w:rsidRDefault="004254B3" w:rsidP="004254B3">
      <w:r>
        <w:t>Aunque respecto de 2021 ha mejorado la presentación de la información y su estructuración, todavía algunas de las instituciones siguen publicando información obligatoria al margen del Portal de Transparencia, lo que dificulta su localización.</w:t>
      </w:r>
    </w:p>
    <w:p w:rsidR="004254B3" w:rsidRDefault="004254B3" w:rsidP="004254B3">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 xml:space="preserve">Todas las informaciones obligatorias deberían publicarse en el Portal de Transparencia. En el supuesto de que una información se encuentre publicada en otro lugar de la web institucional, debería enlazarse a ella desde el Portal de Transparencia, ubicando dicho enlace en el bloque de información al que pertenezca.   </w:t>
      </w:r>
    </w:p>
    <w:p w:rsidR="00D67951" w:rsidRPr="002A35CD" w:rsidRDefault="00D67951" w:rsidP="00D67951">
      <w:pPr>
        <w:rPr>
          <w:b/>
          <w:color w:val="325F64" w:themeColor="accent2" w:themeShade="BF"/>
        </w:rPr>
      </w:pPr>
      <w:r w:rsidRPr="002A35CD">
        <w:rPr>
          <w:b/>
          <w:color w:val="325F64" w:themeColor="accent2" w:themeShade="BF"/>
        </w:rPr>
        <w:t xml:space="preserve">En promedio se publica casi el </w:t>
      </w:r>
      <w:r w:rsidR="004254B3">
        <w:rPr>
          <w:b/>
          <w:color w:val="325F64" w:themeColor="accent2" w:themeShade="BF"/>
        </w:rPr>
        <w:t>93</w:t>
      </w:r>
      <w:r w:rsidRPr="002A35CD">
        <w:rPr>
          <w:b/>
          <w:color w:val="325F64" w:themeColor="accent2" w:themeShade="BF"/>
        </w:rPr>
        <w:t xml:space="preserve">% de las informaciones obligatorias aunque existen diferencias entre bloques de información y variabilidad entre las instituciones evaluadas. </w:t>
      </w:r>
    </w:p>
    <w:p w:rsidR="00A643EA" w:rsidRDefault="00D67951" w:rsidP="00D67951">
      <w:r w:rsidRPr="002A35CD">
        <w:t>Mientras en el bloque de</w:t>
      </w:r>
      <w:r w:rsidR="006C3C82">
        <w:t xml:space="preserve"> Información de relevancia jurídica y en el bloque de información patrimonial se publica el 100% de los contenidos obligatorios, en el bloque de </w:t>
      </w:r>
      <w:r w:rsidR="001D5FAD">
        <w:t xml:space="preserve"> Información Institucional,</w:t>
      </w:r>
      <w:r>
        <w:t xml:space="preserve"> Organizativa</w:t>
      </w:r>
      <w:r w:rsidR="001D5FAD">
        <w:t xml:space="preserve"> y de Planificación</w:t>
      </w:r>
      <w:r>
        <w:t xml:space="preserve"> </w:t>
      </w:r>
      <w:r w:rsidR="004254B3">
        <w:t xml:space="preserve">esta proporción </w:t>
      </w:r>
      <w:r w:rsidR="006C3C82">
        <w:t xml:space="preserve">disminuye </w:t>
      </w:r>
      <w:r w:rsidR="004254B3">
        <w:t xml:space="preserve">ligeramente situándose en el </w:t>
      </w:r>
      <w:r w:rsidR="006C3C82">
        <w:t>hasta el</w:t>
      </w:r>
      <w:r>
        <w:t xml:space="preserve"> </w:t>
      </w:r>
      <w:r w:rsidR="009F1F97">
        <w:t>9</w:t>
      </w:r>
      <w:r w:rsidR="00FB0796">
        <w:t>8,7</w:t>
      </w:r>
      <w:r>
        <w:t xml:space="preserve">% </w:t>
      </w:r>
      <w:r w:rsidR="001D5FAD">
        <w:t xml:space="preserve">y </w:t>
      </w:r>
      <w:r>
        <w:t xml:space="preserve">en el bloque de Información Económica y Presupuestaria la proporción de contenidos obligatorios publicados </w:t>
      </w:r>
      <w:r w:rsidR="001D5FAD">
        <w:t>disminuye hasta</w:t>
      </w:r>
      <w:r>
        <w:t xml:space="preserve"> el </w:t>
      </w:r>
      <w:r w:rsidR="00FB0796">
        <w:t>88</w:t>
      </w:r>
      <w:r>
        <w:t xml:space="preserve">%. </w:t>
      </w:r>
    </w:p>
    <w:p w:rsidR="00D67951" w:rsidRDefault="00D67951" w:rsidP="00D67951">
      <w:r>
        <w:lastRenderedPageBreak/>
        <w:t xml:space="preserve">Los contenidos que en menor medida se publican son </w:t>
      </w:r>
      <w:r w:rsidR="00FB0796">
        <w:t>las modificaciones de</w:t>
      </w:r>
      <w:r>
        <w:t xml:space="preserve"> los contratos adjudicados </w:t>
      </w:r>
      <w:r w:rsidR="006C3C82">
        <w:t xml:space="preserve">y </w:t>
      </w:r>
      <w:r w:rsidR="000556BB">
        <w:t>la información sobre</w:t>
      </w:r>
      <w:r w:rsidR="006C3C82">
        <w:t xml:space="preserve"> compatibilidades, básicamente </w:t>
      </w:r>
      <w:r w:rsidR="00FB0796">
        <w:t xml:space="preserve">por la falta de información </w:t>
      </w:r>
      <w:r w:rsidR="006C3C82">
        <w:t>sobre las autorizaciones para el ejercicio de actividades privadas tras el cese de altos cargos.</w:t>
      </w:r>
      <w:r w:rsidR="00FB0796">
        <w:t xml:space="preserve"> </w:t>
      </w:r>
    </w:p>
    <w:p w:rsidR="00FB0796" w:rsidRDefault="00FB0796" w:rsidP="00D67951">
      <w:r>
        <w:t>Respecto de 2021 se observa una evolución positiva en cuanto a la publicación de contenidos. El mayor incremento se produce en el bloque de información Económica, Presupuestaria y Estadística – 12,4 puntos porcentuales – mientras que en el bloque de Información Institucional, Organizativa y de Planificación  alcanza 7 puntos porcentuales. Los dos restantes bloques de obligaciones permanecen estables porque en 2021 ya se publicaba la totalidad de las informaciones obligatoria</w:t>
      </w:r>
      <w:r w:rsidR="00A643EA">
        <w:t>s</w:t>
      </w:r>
      <w:r>
        <w:t xml:space="preserve">. </w:t>
      </w:r>
    </w:p>
    <w:p w:rsidR="00D67951" w:rsidRDefault="00D67951" w:rsidP="00D67951">
      <w:r>
        <w:t>Algunas de las instituciones en sus informes de observaciones, han indicado como causa de la falta de publicación de algunas informaciones que no existía información que publicar por no haber habido actividad en ese ámbito concreto.</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 xml:space="preserve">La primera recomendación obviamente, es la publicación de todas las informaciones obligatorias. </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En cuanto a la falta de publicación de algunas informaciones por no haber existido actividad en ese ámbito concreto, d</w:t>
      </w:r>
      <w:r w:rsidRPr="00F6070C">
        <w:t>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w:t>
      </w:r>
      <w:r>
        <w:t xml:space="preserve"> o porque algún tipo de regulación no permite su publicación</w:t>
      </w:r>
      <w:r w:rsidRPr="00F6070C">
        <w:t>, es que se indique expresamente tal circunstancia. Por esta razón, este Consejo, recomienda que en el apartado correspondiente a la obligación de publicidad activa para la que no ha existido actividad</w:t>
      </w:r>
      <w:r>
        <w:t xml:space="preserve"> o cuando no sea posible su publicación porque existan restricciones legales, </w:t>
      </w:r>
      <w:r w:rsidRPr="00F6070C">
        <w:t>se haga constar expresamente esta circunstancia.</w:t>
      </w:r>
    </w:p>
    <w:p w:rsidR="00D67951" w:rsidRPr="00F6070C" w:rsidRDefault="00D67951" w:rsidP="00D67951">
      <w:pPr>
        <w:rPr>
          <w:b/>
          <w:color w:val="325F64" w:themeColor="accent2" w:themeShade="BF"/>
        </w:rPr>
      </w:pPr>
      <w:r w:rsidRPr="00F6070C">
        <w:rPr>
          <w:b/>
          <w:color w:val="325F64" w:themeColor="accent2" w:themeShade="BF"/>
        </w:rPr>
        <w:t xml:space="preserve">Aunque </w:t>
      </w:r>
      <w:r>
        <w:rPr>
          <w:b/>
          <w:color w:val="325F64" w:themeColor="accent2" w:themeShade="BF"/>
        </w:rPr>
        <w:t xml:space="preserve">en general los criterios de calidad de la información publicada obtienen una valoración elevada </w:t>
      </w:r>
      <w:r w:rsidR="00FB0796">
        <w:rPr>
          <w:b/>
          <w:color w:val="325F64" w:themeColor="accent2" w:themeShade="BF"/>
        </w:rPr>
        <w:t>– más del 75% -sigue</w:t>
      </w:r>
      <w:r>
        <w:rPr>
          <w:b/>
          <w:color w:val="325F64" w:themeColor="accent2" w:themeShade="BF"/>
        </w:rPr>
        <w:t xml:space="preserve">n </w:t>
      </w:r>
      <w:r w:rsidR="00FB0796">
        <w:rPr>
          <w:b/>
          <w:color w:val="325F64" w:themeColor="accent2" w:themeShade="BF"/>
        </w:rPr>
        <w:t xml:space="preserve">manteniéndose </w:t>
      </w:r>
      <w:r>
        <w:rPr>
          <w:b/>
          <w:color w:val="325F64" w:themeColor="accent2" w:themeShade="BF"/>
        </w:rPr>
        <w:t>algunos déficits que afectan a la accesibilidad a la información como consecuencia de la forma de publicar las informaciones y, sobre todo, se observa la falta de referencias que permitan saber si la información publicada  está vigente.</w:t>
      </w:r>
    </w:p>
    <w:p w:rsidR="00D67951" w:rsidRDefault="00D67951" w:rsidP="00D67951">
      <w:pPr>
        <w:tabs>
          <w:tab w:val="left" w:pos="284"/>
        </w:tabs>
        <w:spacing w:before="120" w:after="120" w:line="312" w:lineRule="auto"/>
        <w:rPr>
          <w:rFonts w:cstheme="minorHAnsi"/>
          <w:szCs w:val="24"/>
        </w:rPr>
      </w:pPr>
      <w:r w:rsidRPr="004B627A">
        <w:rPr>
          <w:rFonts w:cstheme="minorHAnsi"/>
          <w:szCs w:val="24"/>
        </w:rPr>
        <w:t xml:space="preserve">Un ejemplo claro del primer supuesto </w:t>
      </w:r>
      <w:r>
        <w:rPr>
          <w:rFonts w:cstheme="minorHAnsi"/>
          <w:szCs w:val="24"/>
        </w:rPr>
        <w:t xml:space="preserve">es la publicación de la información del grupo de contratación a través de los Perfiles del Contratante en la Plataforma de Contratación del Sector Público. </w:t>
      </w:r>
      <w:r w:rsidR="00FB0796">
        <w:rPr>
          <w:rFonts w:cstheme="minorHAnsi"/>
          <w:szCs w:val="24"/>
        </w:rPr>
        <w:t>Como se indicó en 2021 en los informes individuales de evaluación y en el informe agregado correspondiente a este grupo de sujetos obligados, e</w:t>
      </w:r>
      <w:r>
        <w:rPr>
          <w:rFonts w:cstheme="minorHAnsi"/>
          <w:szCs w:val="24"/>
        </w:rPr>
        <w:t>l recurso a fuentes centralizadas para la publicación de informaciones obligatorias presenta diferentes problemas:</w:t>
      </w:r>
    </w:p>
    <w:p w:rsidR="00D67951" w:rsidRDefault="00D67951" w:rsidP="00D67951">
      <w:pPr>
        <w:pStyle w:val="Prrafodelista"/>
        <w:numPr>
          <w:ilvl w:val="0"/>
          <w:numId w:val="46"/>
        </w:numPr>
        <w:tabs>
          <w:tab w:val="left" w:pos="284"/>
        </w:tabs>
        <w:spacing w:before="120" w:after="120" w:line="312" w:lineRule="auto"/>
        <w:rPr>
          <w:rFonts w:cstheme="minorHAnsi"/>
          <w:szCs w:val="24"/>
        </w:rPr>
      </w:pPr>
      <w:r>
        <w:rPr>
          <w:rFonts w:cstheme="minorHAnsi"/>
          <w:szCs w:val="24"/>
        </w:rPr>
        <w:lastRenderedPageBreak/>
        <w:t>En primer lugar, se trata de fuentes de información de difícil acceso para la ciudadanía por las dificultades de manejo que presentan.</w:t>
      </w:r>
    </w:p>
    <w:p w:rsidR="00D67951" w:rsidRDefault="00D67951" w:rsidP="00D67951">
      <w:pPr>
        <w:pStyle w:val="Prrafodelista"/>
        <w:numPr>
          <w:ilvl w:val="0"/>
          <w:numId w:val="46"/>
        </w:numPr>
        <w:tabs>
          <w:tab w:val="left" w:pos="284"/>
        </w:tabs>
        <w:spacing w:before="120" w:after="120" w:line="312" w:lineRule="auto"/>
        <w:rPr>
          <w:rFonts w:cstheme="minorHAnsi"/>
          <w:szCs w:val="24"/>
        </w:rPr>
      </w:pPr>
      <w:r>
        <w:rPr>
          <w:rFonts w:cstheme="minorHAnsi"/>
          <w:szCs w:val="24"/>
        </w:rPr>
        <w:t>En segundo lugar, a</w:t>
      </w:r>
      <w:r w:rsidRPr="009768D7">
        <w:rPr>
          <w:rFonts w:cstheme="minorHAnsi"/>
          <w:szCs w:val="24"/>
        </w:rPr>
        <w:t>l estar diseñadas para otros usos</w:t>
      </w:r>
      <w:r>
        <w:rPr>
          <w:rFonts w:cstheme="minorHAnsi"/>
          <w:szCs w:val="24"/>
        </w:rPr>
        <w:t>,</w:t>
      </w:r>
      <w:r w:rsidRPr="009768D7">
        <w:rPr>
          <w:rFonts w:cstheme="minorHAnsi"/>
          <w:szCs w:val="24"/>
        </w:rPr>
        <w:t xml:space="preserve"> </w:t>
      </w:r>
      <w:r>
        <w:rPr>
          <w:rFonts w:cstheme="minorHAnsi"/>
          <w:szCs w:val="24"/>
        </w:rPr>
        <w:t>i</w:t>
      </w:r>
      <w:r w:rsidRPr="009768D7">
        <w:rPr>
          <w:rFonts w:cstheme="minorHAnsi"/>
          <w:szCs w:val="24"/>
        </w:rPr>
        <w:t xml:space="preserve">ncluyen mucha información no relacionada con las obligaciones de publicidad activa y por el contrario no incluyen otros contenidos que son obligatorios en aplicación de la LTAIBG. </w:t>
      </w:r>
      <w:r>
        <w:rPr>
          <w:rFonts w:cstheme="minorHAnsi"/>
          <w:szCs w:val="24"/>
        </w:rPr>
        <w:t xml:space="preserve"> Siguiendo con el ejemplo de la Plataforma de Contratación del Sector Público, ésta no incluye entre los criterios de búsqueda de licitaciones las modificaciones de los contratos, que constituye una obligación diferenciada dentro del grupo contratación. Localizar la información relativa a modificaciones en la </w:t>
      </w:r>
      <w:r w:rsidRPr="006C3BE2">
        <w:rPr>
          <w:rFonts w:cstheme="minorHAnsi"/>
          <w:szCs w:val="24"/>
        </w:rPr>
        <w:t>Plataforma de Contratación del Sector Público</w:t>
      </w:r>
      <w:r>
        <w:rPr>
          <w:rFonts w:cstheme="minorHAnsi"/>
          <w:szCs w:val="24"/>
        </w:rPr>
        <w:t>, implicaría</w:t>
      </w:r>
      <w:r w:rsidRPr="009768D7">
        <w:rPr>
          <w:rFonts w:cstheme="minorHAnsi"/>
          <w:szCs w:val="24"/>
        </w:rPr>
        <w:t xml:space="preserve"> abrir los enlaces a cada una de las licitaciones </w:t>
      </w:r>
      <w:r>
        <w:rPr>
          <w:rFonts w:cstheme="minorHAnsi"/>
          <w:szCs w:val="24"/>
        </w:rPr>
        <w:t>correspondientes a la entidad</w:t>
      </w:r>
      <w:r w:rsidRPr="009768D7">
        <w:rPr>
          <w:rFonts w:cstheme="minorHAnsi"/>
          <w:szCs w:val="24"/>
        </w:rPr>
        <w:t xml:space="preserve"> para conocer si </w:t>
      </w:r>
      <w:r>
        <w:rPr>
          <w:rFonts w:cstheme="minorHAnsi"/>
          <w:szCs w:val="24"/>
        </w:rPr>
        <w:t xml:space="preserve">en alguna de ellas se ha dado esta circunstancia. Un problema adicional es que una entidad puede tener más de un órgano de contratación, lo que supone una dificultad adicional. </w:t>
      </w:r>
    </w:p>
    <w:p w:rsidR="00D67951" w:rsidRDefault="00D67951" w:rsidP="00D67951">
      <w:pPr>
        <w:pStyle w:val="Prrafodelista"/>
        <w:numPr>
          <w:ilvl w:val="0"/>
          <w:numId w:val="46"/>
        </w:numPr>
        <w:tabs>
          <w:tab w:val="left" w:pos="284"/>
        </w:tabs>
        <w:spacing w:before="120" w:after="120" w:line="312" w:lineRule="auto"/>
        <w:rPr>
          <w:rFonts w:cstheme="minorHAnsi"/>
          <w:szCs w:val="24"/>
        </w:rPr>
      </w:pPr>
      <w:r>
        <w:rPr>
          <w:rFonts w:cstheme="minorHAnsi"/>
          <w:szCs w:val="24"/>
        </w:rPr>
        <w:t xml:space="preserve">En tercer lugar, </w:t>
      </w:r>
      <w:r w:rsidRPr="006C3BE2">
        <w:rPr>
          <w:rFonts w:cstheme="minorHAnsi"/>
          <w:szCs w:val="24"/>
        </w:rPr>
        <w:t>un problema añadido a los ya señalados</w:t>
      </w:r>
      <w:r>
        <w:rPr>
          <w:rFonts w:cstheme="minorHAnsi"/>
          <w:szCs w:val="24"/>
        </w:rPr>
        <w:t>, es</w:t>
      </w:r>
      <w:r w:rsidRPr="006C3BE2">
        <w:rPr>
          <w:rFonts w:cstheme="minorHAnsi"/>
          <w:szCs w:val="24"/>
        </w:rPr>
        <w:t xml:space="preserve"> la imposibilidad de que la entidad que adopta </w:t>
      </w:r>
      <w:r>
        <w:rPr>
          <w:rFonts w:cstheme="minorHAnsi"/>
          <w:szCs w:val="24"/>
        </w:rPr>
        <w:t>la</w:t>
      </w:r>
      <w:r w:rsidRPr="006C3BE2">
        <w:rPr>
          <w:rFonts w:cstheme="minorHAnsi"/>
          <w:szCs w:val="24"/>
        </w:rPr>
        <w:t xml:space="preserve"> decisión</w:t>
      </w:r>
      <w:r>
        <w:rPr>
          <w:rFonts w:cstheme="minorHAnsi"/>
          <w:szCs w:val="24"/>
        </w:rPr>
        <w:t xml:space="preserve"> de publicar información enlazando a fuentes centralizadas,</w:t>
      </w:r>
      <w:r w:rsidRPr="006C3BE2">
        <w:rPr>
          <w:rFonts w:cstheme="minorHAnsi"/>
          <w:szCs w:val="24"/>
        </w:rPr>
        <w:t xml:space="preserve"> pueda controlar tanto los contenidos como el mantenimiento de los enlaces a su inform</w:t>
      </w:r>
      <w:r>
        <w:rPr>
          <w:rFonts w:cstheme="minorHAnsi"/>
          <w:szCs w:val="24"/>
        </w:rPr>
        <w:t xml:space="preserve">ación en la fuente centralizada. De hecho se ha observado en el transcurso de esta evaluación que en ocasiones el enlace a la información de la institución en la fuente centralizada daba error.  </w:t>
      </w:r>
    </w:p>
    <w:p w:rsidR="00D67951" w:rsidRPr="006C3BE2" w:rsidRDefault="00D67951" w:rsidP="00D67951">
      <w:pPr>
        <w:pBdr>
          <w:top w:val="single" w:sz="8" w:space="1" w:color="226860"/>
          <w:left w:val="single" w:sz="8" w:space="4" w:color="226860"/>
          <w:bottom w:val="single" w:sz="8" w:space="1" w:color="226860"/>
          <w:right w:val="single" w:sz="8" w:space="4" w:color="226860"/>
        </w:pBdr>
        <w:tabs>
          <w:tab w:val="left" w:pos="284"/>
        </w:tabs>
        <w:spacing w:before="120" w:after="120"/>
        <w:rPr>
          <w:rFonts w:cstheme="minorHAnsi"/>
          <w:szCs w:val="24"/>
        </w:rPr>
      </w:pPr>
      <w:r w:rsidRPr="006C3BE2">
        <w:rPr>
          <w:rFonts w:cstheme="minorHAnsi"/>
          <w:szCs w:val="24"/>
        </w:rPr>
        <w:t>Por esta</w:t>
      </w:r>
      <w:r>
        <w:rPr>
          <w:rFonts w:cstheme="minorHAnsi"/>
          <w:szCs w:val="24"/>
        </w:rPr>
        <w:t>s razones</w:t>
      </w:r>
      <w:r w:rsidRPr="006C3BE2">
        <w:rPr>
          <w:rFonts w:cstheme="minorHAnsi"/>
          <w:szCs w:val="24"/>
        </w:rPr>
        <w:t xml:space="preserve"> desde este Consejo se </w:t>
      </w:r>
      <w:r w:rsidR="00FB0796">
        <w:rPr>
          <w:rFonts w:cstheme="minorHAnsi"/>
          <w:szCs w:val="24"/>
        </w:rPr>
        <w:t>sigue insistiendo</w:t>
      </w:r>
      <w:r>
        <w:rPr>
          <w:rFonts w:cstheme="minorHAnsi"/>
          <w:szCs w:val="24"/>
        </w:rPr>
        <w:t xml:space="preserve"> en recomendar</w:t>
      </w:r>
      <w:r w:rsidRPr="006C3BE2">
        <w:rPr>
          <w:rFonts w:cstheme="minorHAnsi"/>
          <w:szCs w:val="24"/>
        </w:rPr>
        <w:t xml:space="preserve"> que para facilitar la accesibilidad y la comprensión de esta información además de enlazar a la fuente centralizada se publiquen cuadros-resumen con todos los contenidos que para cada obligación establece la LTAIBG. </w:t>
      </w:r>
    </w:p>
    <w:p w:rsidR="000C4A0A" w:rsidRDefault="000C4A0A" w:rsidP="00D67951">
      <w:pPr>
        <w:tabs>
          <w:tab w:val="left" w:pos="284"/>
        </w:tabs>
        <w:spacing w:before="120" w:after="120" w:line="312" w:lineRule="auto"/>
        <w:rPr>
          <w:rFonts w:cstheme="minorHAnsi"/>
          <w:szCs w:val="24"/>
        </w:rPr>
      </w:pPr>
      <w:r>
        <w:rPr>
          <w:rFonts w:cstheme="minorHAnsi"/>
          <w:szCs w:val="24"/>
        </w:rPr>
        <w:t xml:space="preserve">Otra situación que también se ha observado en el transcurso de la evaluación, </w:t>
      </w:r>
      <w:r w:rsidR="0026153E">
        <w:rPr>
          <w:rFonts w:cstheme="minorHAnsi"/>
          <w:szCs w:val="24"/>
        </w:rPr>
        <w:t xml:space="preserve">es </w:t>
      </w:r>
      <w:r>
        <w:rPr>
          <w:rFonts w:cstheme="minorHAnsi"/>
          <w:szCs w:val="24"/>
        </w:rPr>
        <w:t>que para la publicación de algunas informaciones se redirige al Portal de Transparencia de la Administración General del Estado, en el que es preciso efectuar una nueva búsqueda para localizar la información.</w:t>
      </w:r>
    </w:p>
    <w:p w:rsidR="005C4D90" w:rsidRPr="005C4D90" w:rsidRDefault="00FB0796" w:rsidP="005C4D90">
      <w:pPr>
        <w:pBdr>
          <w:top w:val="single" w:sz="4" w:space="1" w:color="5C92B5" w:themeColor="accent6"/>
          <w:left w:val="single" w:sz="4" w:space="4" w:color="5C92B5" w:themeColor="accent6"/>
          <w:bottom w:val="single" w:sz="4" w:space="1" w:color="5C92B5" w:themeColor="accent6"/>
          <w:right w:val="single" w:sz="4" w:space="4" w:color="5C92B5" w:themeColor="accent6"/>
        </w:pBdr>
        <w:tabs>
          <w:tab w:val="left" w:pos="284"/>
        </w:tabs>
        <w:spacing w:before="120" w:after="120" w:line="312" w:lineRule="auto"/>
        <w:rPr>
          <w:rFonts w:cstheme="minorHAnsi"/>
          <w:szCs w:val="24"/>
        </w:rPr>
      </w:pPr>
      <w:r>
        <w:rPr>
          <w:rFonts w:cstheme="minorHAnsi"/>
          <w:szCs w:val="24"/>
        </w:rPr>
        <w:t xml:space="preserve">Como se indicó en los informes de evaluación </w:t>
      </w:r>
      <w:r w:rsidR="00586E2F">
        <w:rPr>
          <w:rFonts w:cstheme="minorHAnsi"/>
          <w:szCs w:val="24"/>
        </w:rPr>
        <w:t>de 2021, e</w:t>
      </w:r>
      <w:r w:rsidR="005C4D90" w:rsidRPr="005C4D90">
        <w:rPr>
          <w:rFonts w:cstheme="minorHAnsi"/>
          <w:szCs w:val="24"/>
        </w:rPr>
        <w:t xml:space="preserve">l artículo 55.2 de la Ley de Régimen Jurídico del Sector Público, establece que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w:t>
      </w:r>
      <w:r w:rsidR="005C4D90">
        <w:rPr>
          <w:rFonts w:cstheme="minorHAnsi"/>
          <w:szCs w:val="24"/>
        </w:rPr>
        <w:t>o</w:t>
      </w:r>
      <w:r w:rsidR="005C4D90" w:rsidRPr="005C4D90">
        <w:rPr>
          <w:rFonts w:cstheme="minorHAnsi"/>
          <w:szCs w:val="24"/>
        </w:rPr>
        <w:t xml:space="preserve"> dependientes no forman legalmente parte de la AGE y no deberían publicar en el Portal propio de ésta los datos o informaciones relativos a su actividad. Es decir al conjunto de entidades que forman parte del Sector Público Institucional Estatal, les aplica directamente la obligación </w:t>
      </w:r>
      <w:r w:rsidR="005C4D90" w:rsidRPr="005C4D90">
        <w:rPr>
          <w:rFonts w:cstheme="minorHAnsi"/>
          <w:szCs w:val="24"/>
        </w:rPr>
        <w:lastRenderedPageBreak/>
        <w:t>establecida en artículo 5.4 de la LTAIBG de publicar la información sujeta a obligaciones de publicidad activa en sus webs institucionales o en su sede electrónica.</w:t>
      </w:r>
    </w:p>
    <w:p w:rsidR="000C4A0A" w:rsidRDefault="005C4D90" w:rsidP="005C4D90">
      <w:pPr>
        <w:pBdr>
          <w:top w:val="single" w:sz="4" w:space="1" w:color="5C92B5" w:themeColor="accent6"/>
          <w:left w:val="single" w:sz="4" w:space="4" w:color="5C92B5" w:themeColor="accent6"/>
          <w:bottom w:val="single" w:sz="4" w:space="1" w:color="5C92B5" w:themeColor="accent6"/>
          <w:right w:val="single" w:sz="4" w:space="4" w:color="5C92B5" w:themeColor="accent6"/>
        </w:pBdr>
        <w:tabs>
          <w:tab w:val="left" w:pos="284"/>
        </w:tabs>
        <w:spacing w:before="120" w:after="120" w:line="312" w:lineRule="auto"/>
        <w:rPr>
          <w:rFonts w:cstheme="minorHAnsi"/>
          <w:szCs w:val="24"/>
        </w:rPr>
      </w:pPr>
      <w:r>
        <w:rPr>
          <w:rFonts w:cstheme="minorHAnsi"/>
          <w:szCs w:val="24"/>
        </w:rPr>
        <w:t>Por otra parte,</w:t>
      </w:r>
      <w:r w:rsidRPr="005C4D90">
        <w:rPr>
          <w:rFonts w:cstheme="minorHAnsi"/>
          <w:szCs w:val="24"/>
        </w:rPr>
        <w:t xml:space="preserve"> esta forma de publicación obliga a revisar de manera continua los enlaces a las páginas que contienen la información para que no se produzcan errores. Además</w:t>
      </w:r>
      <w:r w:rsidR="001D5FAD">
        <w:rPr>
          <w:rFonts w:cstheme="minorHAnsi"/>
          <w:szCs w:val="24"/>
        </w:rPr>
        <w:t>,</w:t>
      </w:r>
      <w:r w:rsidRPr="005C4D90">
        <w:rPr>
          <w:rFonts w:cstheme="minorHAnsi"/>
          <w:szCs w:val="24"/>
        </w:rPr>
        <w:t xml:space="preserve"> localizar </w:t>
      </w:r>
      <w:r w:rsidR="000556BB" w:rsidRPr="000556BB">
        <w:rPr>
          <w:rFonts w:cstheme="minorHAnsi"/>
          <w:szCs w:val="24"/>
        </w:rPr>
        <w:t xml:space="preserve">información </w:t>
      </w:r>
      <w:r w:rsidRPr="005C4D90">
        <w:rPr>
          <w:rFonts w:cstheme="minorHAnsi"/>
          <w:szCs w:val="24"/>
        </w:rPr>
        <w:t xml:space="preserve">en el Portal de Transparencia de la AGE implica la realización de nuevas búsquedas, siempre que ello sea posible, y en no pocas ocasiones </w:t>
      </w:r>
      <w:r>
        <w:rPr>
          <w:rFonts w:cstheme="minorHAnsi"/>
          <w:szCs w:val="24"/>
        </w:rPr>
        <w:t xml:space="preserve">obliga </w:t>
      </w:r>
      <w:r w:rsidRPr="005C4D90">
        <w:rPr>
          <w:rFonts w:cstheme="minorHAnsi"/>
          <w:szCs w:val="24"/>
        </w:rPr>
        <w:t>a revisar un número muy elevado de páginas hasta localizar la información concreta correspondiente a un organismo.</w:t>
      </w:r>
    </w:p>
    <w:p w:rsidR="0026153E" w:rsidRDefault="0026153E" w:rsidP="00D67951">
      <w:pPr>
        <w:tabs>
          <w:tab w:val="left" w:pos="284"/>
        </w:tabs>
        <w:spacing w:before="120" w:after="120" w:line="312" w:lineRule="auto"/>
        <w:rPr>
          <w:rFonts w:cstheme="minorHAnsi"/>
          <w:szCs w:val="24"/>
        </w:rPr>
      </w:pPr>
    </w:p>
    <w:p w:rsidR="00D67951" w:rsidRPr="00631760" w:rsidRDefault="00D67951" w:rsidP="00D67951">
      <w:pPr>
        <w:tabs>
          <w:tab w:val="left" w:pos="284"/>
        </w:tabs>
        <w:spacing w:before="120" w:after="120" w:line="312" w:lineRule="auto"/>
        <w:rPr>
          <w:rFonts w:cstheme="minorHAnsi"/>
          <w:szCs w:val="24"/>
        </w:rPr>
      </w:pPr>
      <w:r w:rsidRPr="00631760">
        <w:rPr>
          <w:rFonts w:cstheme="minorHAnsi"/>
          <w:szCs w:val="24"/>
        </w:rPr>
        <w:t>Respecto de la actualización de la información</w:t>
      </w:r>
      <w:r>
        <w:rPr>
          <w:rFonts w:cstheme="minorHAnsi"/>
          <w:szCs w:val="24"/>
        </w:rPr>
        <w:t xml:space="preserve">, </w:t>
      </w:r>
      <w:r w:rsidR="00586E2F">
        <w:rPr>
          <w:rFonts w:cstheme="minorHAnsi"/>
          <w:szCs w:val="24"/>
        </w:rPr>
        <w:t xml:space="preserve">aunque ha mejorado </w:t>
      </w:r>
      <w:r>
        <w:rPr>
          <w:rFonts w:cstheme="minorHAnsi"/>
          <w:szCs w:val="24"/>
        </w:rPr>
        <w:t xml:space="preserve">la situación </w:t>
      </w:r>
      <w:r w:rsidR="00586E2F">
        <w:rPr>
          <w:rFonts w:cstheme="minorHAnsi"/>
          <w:szCs w:val="24"/>
        </w:rPr>
        <w:t xml:space="preserve">respecto de 2021, todavía un 23,5% de las informaciones publicadas carece de referencias sobre </w:t>
      </w:r>
      <w:r>
        <w:rPr>
          <w:rFonts w:cstheme="minorHAnsi"/>
          <w:szCs w:val="24"/>
        </w:rPr>
        <w:t xml:space="preserve"> la fecha en que se revis</w:t>
      </w:r>
      <w:r w:rsidR="00586E2F">
        <w:rPr>
          <w:rFonts w:cstheme="minorHAnsi"/>
          <w:szCs w:val="24"/>
        </w:rPr>
        <w:t>aron</w:t>
      </w:r>
      <w:r>
        <w:rPr>
          <w:rFonts w:cstheme="minorHAnsi"/>
          <w:szCs w:val="24"/>
        </w:rPr>
        <w:t xml:space="preserve"> o actualiz</w:t>
      </w:r>
      <w:r w:rsidR="00586E2F">
        <w:rPr>
          <w:rFonts w:cstheme="minorHAnsi"/>
          <w:szCs w:val="24"/>
        </w:rPr>
        <w:t>aron</w:t>
      </w:r>
      <w:r>
        <w:rPr>
          <w:rFonts w:cstheme="minorHAnsi"/>
          <w:szCs w:val="24"/>
        </w:rPr>
        <w:t xml:space="preserve"> por última vez. También en ocasiones, los documentos que contienen la información no están datados.  </w:t>
      </w:r>
      <w:r w:rsidRPr="00631760">
        <w:rPr>
          <w:rFonts w:cstheme="minorHAnsi"/>
          <w:szCs w:val="24"/>
        </w:rPr>
        <w:t xml:space="preserve"> </w:t>
      </w:r>
    </w:p>
    <w:p w:rsidR="00D67951" w:rsidRDefault="00586E2F" w:rsidP="00D67951">
      <w:pPr>
        <w:tabs>
          <w:tab w:val="left" w:pos="284"/>
        </w:tabs>
        <w:spacing w:before="120" w:after="120" w:line="312" w:lineRule="auto"/>
        <w:rPr>
          <w:rFonts w:cstheme="minorHAnsi"/>
          <w:szCs w:val="24"/>
        </w:rPr>
      </w:pPr>
      <w:r>
        <w:rPr>
          <w:rFonts w:cstheme="minorHAnsi"/>
          <w:szCs w:val="24"/>
        </w:rPr>
        <w:t>Al igual que en 2021, a</w:t>
      </w:r>
      <w:r w:rsidR="00D67951" w:rsidRPr="00631760">
        <w:rPr>
          <w:rFonts w:cstheme="minorHAnsi"/>
          <w:szCs w:val="24"/>
        </w:rPr>
        <w:t>lgun</w:t>
      </w:r>
      <w:r>
        <w:rPr>
          <w:rFonts w:cstheme="minorHAnsi"/>
          <w:szCs w:val="24"/>
        </w:rPr>
        <w:t>o</w:t>
      </w:r>
      <w:r w:rsidR="00D67951" w:rsidRPr="00631760">
        <w:rPr>
          <w:rFonts w:cstheme="minorHAnsi"/>
          <w:szCs w:val="24"/>
        </w:rPr>
        <w:t xml:space="preserve">s </w:t>
      </w:r>
      <w:r>
        <w:rPr>
          <w:rFonts w:cstheme="minorHAnsi"/>
          <w:szCs w:val="24"/>
        </w:rPr>
        <w:t>organismos</w:t>
      </w:r>
      <w:r w:rsidR="00D67951" w:rsidRPr="00631760">
        <w:rPr>
          <w:rFonts w:cstheme="minorHAnsi"/>
          <w:szCs w:val="24"/>
        </w:rPr>
        <w:t xml:space="preserve"> </w:t>
      </w:r>
      <w:r w:rsidR="00D67951">
        <w:rPr>
          <w:rFonts w:cstheme="minorHAnsi"/>
          <w:szCs w:val="24"/>
        </w:rPr>
        <w:t>han señalado en sus observaciones, mantienen el criterio respecto de varias obligaciones del bloque Información Económica</w:t>
      </w:r>
      <w:r>
        <w:rPr>
          <w:rFonts w:cstheme="minorHAnsi"/>
          <w:szCs w:val="24"/>
        </w:rPr>
        <w:t>,</w:t>
      </w:r>
      <w:r w:rsidR="00D67951">
        <w:rPr>
          <w:rFonts w:cstheme="minorHAnsi"/>
          <w:szCs w:val="24"/>
        </w:rPr>
        <w:t xml:space="preserve"> Presupuestaria</w:t>
      </w:r>
      <w:r>
        <w:rPr>
          <w:rFonts w:cstheme="minorHAnsi"/>
          <w:szCs w:val="24"/>
        </w:rPr>
        <w:t xml:space="preserve"> y Estadística</w:t>
      </w:r>
      <w:r w:rsidR="00D67951">
        <w:rPr>
          <w:rFonts w:cstheme="minorHAnsi"/>
          <w:szCs w:val="24"/>
        </w:rPr>
        <w:t>, de no actualizar la información hasta que se produce la liquidación del presupuesto o se presentan las cuentas anuales.</w:t>
      </w:r>
    </w:p>
    <w:p w:rsidR="00D67951" w:rsidRPr="00A57F5B" w:rsidRDefault="005C4D90" w:rsidP="00D67951">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Pr>
          <w:rFonts w:cstheme="minorHAnsi"/>
          <w:szCs w:val="24"/>
        </w:rPr>
        <w:t>R</w:t>
      </w:r>
      <w:r w:rsidR="00D67951">
        <w:rPr>
          <w:rFonts w:cstheme="minorHAnsi"/>
          <w:szCs w:val="24"/>
        </w:rPr>
        <w:t>especto de la publicación de información económica a ejercicio vencido, e</w:t>
      </w:r>
      <w:r w:rsidR="00D67951" w:rsidRPr="00A57F5B">
        <w:rPr>
          <w:rFonts w:cstheme="minorHAnsi"/>
          <w:szCs w:val="24"/>
        </w:rPr>
        <w:t xml:space="preserve">l problema es que este criterio de publicación implica que la información se encuentre desactualizada. Por esta razón este Consejo recomienda </w:t>
      </w:r>
      <w:r w:rsidR="00D67951">
        <w:rPr>
          <w:rFonts w:cstheme="minorHAnsi"/>
          <w:szCs w:val="24"/>
        </w:rPr>
        <w:t xml:space="preserve">que aquellas informaciones que son conocidas a inicio del año – por ejemplo las retribuciones de altos cargos y máximos responsables – o que se refieren a actividades que pueden producirse en cualquier momento del año – por ejemplo, las indemnizaciones al cese de altos cargos – o que se desarrollan de manera continua – por ejemplo, la información estadística sobre contratación o la ejecución presupuestaria – se publiquen </w:t>
      </w:r>
      <w:r w:rsidR="00D67951" w:rsidRPr="00A57F5B">
        <w:rPr>
          <w:rFonts w:cstheme="minorHAnsi"/>
          <w:szCs w:val="24"/>
        </w:rPr>
        <w:t xml:space="preserve">con una periodicidad inferior a la anual, dado que </w:t>
      </w:r>
      <w:r w:rsidR="00D67951">
        <w:rPr>
          <w:rFonts w:cstheme="minorHAnsi"/>
          <w:szCs w:val="24"/>
        </w:rPr>
        <w:t xml:space="preserve">además, se refieren a obligaciones individuales y diferentes de la publicación del presupuesto o de las cuentas anuales. </w:t>
      </w:r>
    </w:p>
    <w:p w:rsidR="00D67951" w:rsidRDefault="00D67951" w:rsidP="00D67951">
      <w:pPr>
        <w:jc w:val="left"/>
      </w:pPr>
    </w:p>
    <w:p w:rsidR="00D67951" w:rsidRDefault="00D67951" w:rsidP="00D67951">
      <w:pPr>
        <w:rPr>
          <w:b/>
          <w:color w:val="325F64" w:themeColor="accent2" w:themeShade="BF"/>
        </w:rPr>
      </w:pPr>
      <w:r w:rsidRPr="004612EB">
        <w:rPr>
          <w:b/>
          <w:color w:val="325F64" w:themeColor="accent2" w:themeShade="BF"/>
        </w:rPr>
        <w:t>E</w:t>
      </w:r>
      <w:r>
        <w:rPr>
          <w:b/>
          <w:color w:val="325F64" w:themeColor="accent2" w:themeShade="BF"/>
        </w:rPr>
        <w:t>n promedio e</w:t>
      </w:r>
      <w:r w:rsidRPr="004612EB">
        <w:rPr>
          <w:b/>
          <w:color w:val="325F64" w:themeColor="accent2" w:themeShade="BF"/>
        </w:rPr>
        <w:t>l índice de Cumplimiento de</w:t>
      </w:r>
      <w:r>
        <w:rPr>
          <w:b/>
          <w:color w:val="325F64" w:themeColor="accent2" w:themeShade="BF"/>
        </w:rPr>
        <w:t xml:space="preserve"> </w:t>
      </w:r>
      <w:r w:rsidRPr="004612EB">
        <w:rPr>
          <w:b/>
          <w:color w:val="325F64" w:themeColor="accent2" w:themeShade="BF"/>
        </w:rPr>
        <w:t>la Información Obligatoria (ICIO)</w:t>
      </w:r>
      <w:r>
        <w:rPr>
          <w:b/>
          <w:color w:val="325F64" w:themeColor="accent2" w:themeShade="BF"/>
        </w:rPr>
        <w:t xml:space="preserve"> alcanza un valor elevado, un </w:t>
      </w:r>
      <w:r w:rsidR="00586E2F">
        <w:rPr>
          <w:b/>
          <w:color w:val="325F64" w:themeColor="accent2" w:themeShade="BF"/>
        </w:rPr>
        <w:t>89,3</w:t>
      </w:r>
      <w:r>
        <w:rPr>
          <w:b/>
          <w:color w:val="325F64" w:themeColor="accent2" w:themeShade="BF"/>
        </w:rPr>
        <w:t>%</w:t>
      </w:r>
      <w:r w:rsidR="00586E2F">
        <w:rPr>
          <w:b/>
          <w:color w:val="325F64" w:themeColor="accent2" w:themeShade="BF"/>
        </w:rPr>
        <w:t>, lo que representa un incremento de 11,1 puntos porcentuales respecto de 2021</w:t>
      </w:r>
      <w:r>
        <w:rPr>
          <w:b/>
          <w:color w:val="325F64" w:themeColor="accent2" w:themeShade="BF"/>
        </w:rPr>
        <w:t xml:space="preserve">. Bastaría con aplicar algunas de las recomendaciones efectuadas para </w:t>
      </w:r>
      <w:r w:rsidR="00586E2F">
        <w:rPr>
          <w:b/>
          <w:color w:val="325F64" w:themeColor="accent2" w:themeShade="BF"/>
        </w:rPr>
        <w:t xml:space="preserve">conseguir niveles de cumplimiento más </w:t>
      </w:r>
      <w:r w:rsidR="00586E2F">
        <w:rPr>
          <w:b/>
          <w:color w:val="325F64" w:themeColor="accent2" w:themeShade="BF"/>
        </w:rPr>
        <w:lastRenderedPageBreak/>
        <w:t>elevados</w:t>
      </w:r>
      <w:r>
        <w:rPr>
          <w:b/>
          <w:color w:val="325F64" w:themeColor="accent2" w:themeShade="BF"/>
        </w:rPr>
        <w:t>. Por otra parte, existe una gran variabilidad entre las instituciones evaluadas.</w:t>
      </w:r>
    </w:p>
    <w:p w:rsidR="00D67951" w:rsidRPr="009400C9" w:rsidRDefault="00D67951" w:rsidP="00D67951">
      <w:pPr>
        <w:rPr>
          <w:rFonts w:cstheme="minorHAnsi"/>
          <w:szCs w:val="24"/>
        </w:rPr>
      </w:pPr>
      <w:r w:rsidRPr="009400C9">
        <w:rPr>
          <w:rFonts w:cstheme="minorHAnsi"/>
          <w:szCs w:val="24"/>
        </w:rPr>
        <w:t>Respecto de esta última cuesti</w:t>
      </w:r>
      <w:r>
        <w:rPr>
          <w:rFonts w:cstheme="minorHAnsi"/>
          <w:szCs w:val="24"/>
        </w:rPr>
        <w:t xml:space="preserve">ón, </w:t>
      </w:r>
      <w:r w:rsidR="0078315A">
        <w:rPr>
          <w:rFonts w:cstheme="minorHAnsi"/>
          <w:szCs w:val="24"/>
        </w:rPr>
        <w:t>cuatro</w:t>
      </w:r>
      <w:r>
        <w:rPr>
          <w:rFonts w:cstheme="minorHAnsi"/>
          <w:szCs w:val="24"/>
        </w:rPr>
        <w:t xml:space="preserve"> de las </w:t>
      </w:r>
      <w:r w:rsidR="005C4D90">
        <w:rPr>
          <w:rFonts w:cstheme="minorHAnsi"/>
          <w:szCs w:val="24"/>
        </w:rPr>
        <w:t>seis</w:t>
      </w:r>
      <w:r>
        <w:rPr>
          <w:rFonts w:cstheme="minorHAnsi"/>
          <w:szCs w:val="24"/>
        </w:rPr>
        <w:t xml:space="preserve"> instituciones evaluadas presentan niveles de cumplimiento iguales o superiores al índice de cumplimiento medio, con valores que oscilan entre </w:t>
      </w:r>
      <w:r w:rsidR="0078315A">
        <w:rPr>
          <w:rFonts w:cstheme="minorHAnsi"/>
          <w:szCs w:val="24"/>
        </w:rPr>
        <w:t>el</w:t>
      </w:r>
      <w:r>
        <w:rPr>
          <w:rFonts w:cstheme="minorHAnsi"/>
          <w:szCs w:val="24"/>
        </w:rPr>
        <w:t xml:space="preserve"> </w:t>
      </w:r>
      <w:r w:rsidR="0078315A">
        <w:rPr>
          <w:rFonts w:cstheme="minorHAnsi"/>
          <w:szCs w:val="24"/>
        </w:rPr>
        <w:t>90</w:t>
      </w:r>
      <w:r>
        <w:rPr>
          <w:rFonts w:cstheme="minorHAnsi"/>
          <w:szCs w:val="24"/>
        </w:rPr>
        <w:t xml:space="preserve"> y </w:t>
      </w:r>
      <w:r w:rsidR="0078315A">
        <w:rPr>
          <w:rFonts w:cstheme="minorHAnsi"/>
          <w:szCs w:val="24"/>
        </w:rPr>
        <w:t>el</w:t>
      </w:r>
      <w:r>
        <w:rPr>
          <w:rFonts w:cstheme="minorHAnsi"/>
          <w:szCs w:val="24"/>
        </w:rPr>
        <w:t xml:space="preserve"> </w:t>
      </w:r>
      <w:r w:rsidR="0078315A">
        <w:rPr>
          <w:rFonts w:cstheme="minorHAnsi"/>
          <w:szCs w:val="24"/>
        </w:rPr>
        <w:t xml:space="preserve">100%, una de ellas alcanza un 100% de cumplimiento y otra supera el 99%. Entre las entidades </w:t>
      </w:r>
      <w:r>
        <w:rPr>
          <w:rFonts w:cstheme="minorHAnsi"/>
          <w:szCs w:val="24"/>
        </w:rPr>
        <w:t xml:space="preserve"> que se sitúan por debajo del cumplimiento </w:t>
      </w:r>
      <w:proofErr w:type="gramStart"/>
      <w:r>
        <w:rPr>
          <w:rFonts w:cstheme="minorHAnsi"/>
          <w:szCs w:val="24"/>
        </w:rPr>
        <w:t>medio</w:t>
      </w:r>
      <w:proofErr w:type="gramEnd"/>
      <w:r>
        <w:rPr>
          <w:rFonts w:cstheme="minorHAnsi"/>
          <w:szCs w:val="24"/>
        </w:rPr>
        <w:t xml:space="preserve"> </w:t>
      </w:r>
      <w:r w:rsidR="0078315A">
        <w:rPr>
          <w:rFonts w:cstheme="minorHAnsi"/>
          <w:szCs w:val="24"/>
        </w:rPr>
        <w:t>los niveles alcanzados son del</w:t>
      </w:r>
      <w:r>
        <w:rPr>
          <w:rFonts w:cstheme="minorHAnsi"/>
          <w:szCs w:val="24"/>
        </w:rPr>
        <w:t xml:space="preserve"> </w:t>
      </w:r>
      <w:r w:rsidR="0078315A">
        <w:rPr>
          <w:rFonts w:cstheme="minorHAnsi"/>
          <w:szCs w:val="24"/>
        </w:rPr>
        <w:t>82,1</w:t>
      </w:r>
      <w:r>
        <w:rPr>
          <w:rFonts w:cstheme="minorHAnsi"/>
          <w:szCs w:val="24"/>
        </w:rPr>
        <w:t xml:space="preserve"> y </w:t>
      </w:r>
      <w:r w:rsidR="0078315A">
        <w:rPr>
          <w:rFonts w:cstheme="minorHAnsi"/>
          <w:szCs w:val="24"/>
        </w:rPr>
        <w:t>del</w:t>
      </w:r>
      <w:r>
        <w:rPr>
          <w:rFonts w:cstheme="minorHAnsi"/>
          <w:szCs w:val="24"/>
        </w:rPr>
        <w:t xml:space="preserve"> </w:t>
      </w:r>
      <w:r w:rsidR="0078315A">
        <w:rPr>
          <w:rFonts w:cstheme="minorHAnsi"/>
          <w:szCs w:val="24"/>
        </w:rPr>
        <w:t>74,1</w:t>
      </w:r>
      <w:r>
        <w:rPr>
          <w:rFonts w:cstheme="minorHAnsi"/>
          <w:szCs w:val="24"/>
        </w:rPr>
        <w:t xml:space="preserve">%. </w:t>
      </w:r>
    </w:p>
    <w:p w:rsidR="00D67951" w:rsidRDefault="00D67951" w:rsidP="00D67951"/>
    <w:p w:rsidR="0026153E" w:rsidRDefault="0026153E">
      <w:pPr>
        <w:jc w:val="left"/>
      </w:pPr>
      <w:r>
        <w:br w:type="page"/>
      </w:r>
    </w:p>
    <w:p w:rsidR="00794A50" w:rsidRPr="00794A50" w:rsidRDefault="00BF317B" w:rsidP="00794A50">
      <w:pPr>
        <w:spacing w:line="240" w:lineRule="auto"/>
        <w:jc w:val="center"/>
        <w:rPr>
          <w:rFonts w:eastAsia="Times New Roman" w:cs="Times New Roman"/>
          <w:b/>
          <w:color w:val="000000"/>
          <w:sz w:val="30"/>
          <w:szCs w:val="30"/>
          <w:lang w:eastAsia="en-US"/>
        </w:rPr>
      </w:pPr>
      <w:sdt>
        <w:sdtPr>
          <w:rPr>
            <w:rFonts w:eastAsia="Times New Roman" w:cs="Times New Roman"/>
            <w:b/>
            <w:color w:val="438086" w:themeColor="accent2"/>
            <w:sz w:val="30"/>
            <w:szCs w:val="30"/>
            <w:lang w:eastAsia="en-US"/>
          </w:rPr>
          <w:id w:val="1557966967"/>
        </w:sdtPr>
        <w:sdtEndPr>
          <w:rPr>
            <w:color w:val="auto"/>
          </w:rPr>
        </w:sdtEndPr>
        <w:sdtContent>
          <w:r w:rsidR="00794A50" w:rsidRPr="00FF20A2">
            <w:rPr>
              <w:rFonts w:eastAsia="Times New Roman" w:cs="Times New Roman"/>
              <w:b/>
              <w:color w:val="438086" w:themeColor="accent2"/>
              <w:sz w:val="30"/>
              <w:szCs w:val="30"/>
              <w:lang w:eastAsia="en-US"/>
            </w:rPr>
            <w:t xml:space="preserve">Anexo: Criterios de medición de los atributos de la </w:t>
          </w:r>
          <w:r w:rsidR="00384774">
            <w:rPr>
              <w:rFonts w:eastAsia="Times New Roman" w:cs="Times New Roman"/>
              <w:b/>
              <w:color w:val="438086" w:themeColor="accent2"/>
              <w:sz w:val="30"/>
              <w:szCs w:val="30"/>
              <w:lang w:eastAsia="en-US"/>
            </w:rPr>
            <w:t>i</w:t>
          </w:r>
          <w:r w:rsidR="00794A50" w:rsidRPr="00FF20A2">
            <w:rPr>
              <w:rFonts w:eastAsia="Times New Roman" w:cs="Times New Roman"/>
              <w:b/>
              <w:color w:val="438086" w:themeColor="accent2"/>
              <w:sz w:val="30"/>
              <w:szCs w:val="30"/>
              <w:lang w:eastAsia="en-US"/>
            </w:rPr>
            <w:t>nformación</w:t>
          </w:r>
        </w:sdtContent>
      </w:sdt>
    </w:p>
    <w:tbl>
      <w:tblPr>
        <w:tblW w:w="5694" w:type="pct"/>
        <w:tblInd w:w="-497" w:type="dxa"/>
        <w:tblCellMar>
          <w:left w:w="70" w:type="dxa"/>
          <w:right w:w="70" w:type="dxa"/>
        </w:tblCellMar>
        <w:tblLook w:val="04A0" w:firstRow="1" w:lastRow="0" w:firstColumn="1" w:lastColumn="0" w:noHBand="0" w:noVBand="1"/>
      </w:tblPr>
      <w:tblGrid>
        <w:gridCol w:w="1929"/>
        <w:gridCol w:w="1519"/>
        <w:gridCol w:w="2381"/>
        <w:gridCol w:w="668"/>
        <w:gridCol w:w="3992"/>
      </w:tblGrid>
      <w:tr w:rsidR="00794A50" w:rsidRPr="00794A50" w:rsidTr="00384774">
        <w:trPr>
          <w:trHeight w:val="300"/>
        </w:trPr>
        <w:tc>
          <w:tcPr>
            <w:tcW w:w="919" w:type="pct"/>
            <w:tcBorders>
              <w:top w:val="single" w:sz="4" w:space="0" w:color="auto"/>
              <w:left w:val="single" w:sz="4" w:space="0" w:color="auto"/>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PRINCIPIOS GENERALES</w:t>
            </w:r>
          </w:p>
        </w:tc>
        <w:tc>
          <w:tcPr>
            <w:tcW w:w="724"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CRITERIO</w:t>
            </w:r>
          </w:p>
        </w:tc>
        <w:tc>
          <w:tcPr>
            <w:tcW w:w="1135"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DESCRIPCION</w:t>
            </w:r>
          </w:p>
        </w:tc>
        <w:tc>
          <w:tcPr>
            <w:tcW w:w="318"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VALOR</w:t>
            </w:r>
          </w:p>
        </w:tc>
        <w:tc>
          <w:tcPr>
            <w:tcW w:w="1903"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SIGNIFICADO</w:t>
            </w:r>
          </w:p>
        </w:tc>
      </w:tr>
      <w:tr w:rsidR="00794A50" w:rsidRPr="00794A50" w:rsidTr="00384774">
        <w:trPr>
          <w:trHeight w:val="514"/>
        </w:trPr>
        <w:tc>
          <w:tcPr>
            <w:tcW w:w="9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PUBLICACIÓN</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CONTENIDO</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obliga su publicación por la Ley19/21013</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SI se publica el contenido de la obligación exigida</w:t>
            </w:r>
          </w:p>
        </w:tc>
      </w:tr>
      <w:tr w:rsidR="00794A50" w:rsidRPr="00794A50" w:rsidTr="00384774">
        <w:trPr>
          <w:trHeight w:val="323"/>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publica el contenido de la obligación exigida</w:t>
            </w:r>
          </w:p>
        </w:tc>
      </w:tr>
      <w:tr w:rsidR="00794A50" w:rsidRPr="00794A50" w:rsidTr="00384774">
        <w:trPr>
          <w:trHeight w:val="427"/>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Modo de presentar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DIRECTA en la misma web o con enlace directo a la información</w:t>
            </w:r>
          </w:p>
        </w:tc>
      </w:tr>
      <w:tr w:rsidR="00794A50" w:rsidRPr="00794A50" w:rsidTr="00384774">
        <w:trPr>
          <w:trHeight w:val="419"/>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INDIRECTA pero sin dirigir a la información a la que se refiere</w:t>
            </w:r>
          </w:p>
        </w:tc>
      </w:tr>
      <w:tr w:rsidR="00794A50" w:rsidRPr="00794A50" w:rsidTr="00384774">
        <w:trPr>
          <w:trHeight w:val="411"/>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ACTUALIZACIÓN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identifica la fecha de datación de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y está dentro de los TRES meses previos a la fecha de consulta</w:t>
            </w:r>
          </w:p>
        </w:tc>
      </w:tr>
      <w:tr w:rsidR="00794A50" w:rsidRPr="00794A50" w:rsidTr="00384774">
        <w:trPr>
          <w:trHeight w:val="416"/>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pero NO ESTA ACTUALIZADO dentro de los tres meses</w:t>
            </w:r>
          </w:p>
        </w:tc>
      </w:tr>
      <w:tr w:rsidR="00794A50" w:rsidRPr="00794A50" w:rsidTr="00384774">
        <w:trPr>
          <w:trHeight w:val="422"/>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CONOCE la fecha de publicación de la información</w:t>
            </w:r>
          </w:p>
        </w:tc>
      </w:tr>
      <w:tr w:rsidR="00794A50" w:rsidRPr="00794A50" w:rsidTr="00384774">
        <w:trPr>
          <w:trHeight w:val="300"/>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ATRIBUTOS</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ACCESIBILIDAD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Número de clics para acceder a la información desde la página principal de transparencia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3 clics como máximo</w:t>
            </w:r>
          </w:p>
        </w:tc>
      </w:tr>
      <w:tr w:rsidR="00794A50" w:rsidRPr="00794A50" w:rsidTr="00384774">
        <w:trPr>
          <w:trHeight w:val="1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4</w:t>
            </w:r>
          </w:p>
        </w:tc>
      </w:tr>
      <w:tr w:rsidR="00794A50" w:rsidRPr="00794A50" w:rsidTr="00384774">
        <w:trPr>
          <w:trHeight w:val="24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5</w:t>
            </w:r>
          </w:p>
        </w:tc>
      </w:tr>
      <w:tr w:rsidR="00794A50" w:rsidRPr="00794A50" w:rsidTr="00384774">
        <w:trPr>
          <w:trHeight w:val="26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6</w:t>
            </w:r>
          </w:p>
        </w:tc>
      </w:tr>
      <w:tr w:rsidR="00794A50" w:rsidRPr="00794A50" w:rsidTr="00384774">
        <w:trPr>
          <w:trHeight w:val="28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7</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8</w:t>
            </w:r>
          </w:p>
        </w:tc>
      </w:tr>
      <w:tr w:rsidR="00794A50" w:rsidRPr="00794A50" w:rsidTr="00384774">
        <w:trPr>
          <w:trHeight w:val="13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9</w:t>
            </w:r>
          </w:p>
        </w:tc>
      </w:tr>
      <w:tr w:rsidR="00794A50" w:rsidRPr="00794A50" w:rsidTr="00384774">
        <w:trPr>
          <w:trHeight w:val="20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10</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11</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12</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Más de 12 clics</w:t>
            </w:r>
          </w:p>
        </w:tc>
      </w:tr>
      <w:tr w:rsidR="00794A50" w:rsidRPr="00794A50" w:rsidTr="00384774">
        <w:trPr>
          <w:trHeight w:val="26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CLARIDAD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Lenguaje fácil de entender por el público general. La información compleja se acompaña de comentarios, glosarios, textos introductorios o similares</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MUY comprensible o con ayudas, en su caso</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Comprensible</w:t>
            </w:r>
          </w:p>
        </w:tc>
      </w:tr>
      <w:tr w:rsidR="00794A50" w:rsidRPr="00794A50" w:rsidTr="00384774">
        <w:trPr>
          <w:trHeight w:val="25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Normal</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Poco comprensible</w:t>
            </w:r>
          </w:p>
        </w:tc>
      </w:tr>
      <w:tr w:rsidR="00794A50" w:rsidRPr="00794A50" w:rsidTr="00384774">
        <w:trPr>
          <w:trHeight w:val="18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Difícilmente comprensible</w:t>
            </w:r>
          </w:p>
        </w:tc>
      </w:tr>
      <w:tr w:rsidR="00794A50" w:rsidRPr="00794A50" w:rsidTr="00384774">
        <w:trPr>
          <w:trHeight w:val="24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12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NADA comprensible</w:t>
            </w:r>
          </w:p>
        </w:tc>
      </w:tr>
      <w:tr w:rsidR="00794A50" w:rsidRPr="00794A50" w:rsidTr="00384774">
        <w:trPr>
          <w:trHeight w:val="57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ESTRUCTURACIÓN</w:t>
            </w:r>
          </w:p>
        </w:tc>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Información organizada siguiendo una lógica clara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encuentra ordenada en grupos de materias, temáticas o de acuerdo con los bloques o grupos de información de la ley</w:t>
            </w:r>
          </w:p>
        </w:tc>
      </w:tr>
      <w:tr w:rsidR="00794A50" w:rsidRPr="00794A50" w:rsidTr="00384774">
        <w:trPr>
          <w:trHeight w:val="42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presenta dispersa sin agrupación ni ordenación alguna</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Reutilización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Formatos según Ley 37/2007</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Es un formato reutilizable establecido</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es un formato reutilizable</w:t>
            </w:r>
          </w:p>
        </w:tc>
      </w:tr>
      <w:tr w:rsidR="00794A50" w:rsidRPr="00794A50" w:rsidTr="00384774">
        <w:trPr>
          <w:trHeight w:val="343"/>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WEB</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LUGAR PUBLICACION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Dónde quedan publicadas las obligaciones de publicidad activa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o banner en la página inicial del sitio</w:t>
            </w:r>
          </w:p>
        </w:tc>
      </w:tr>
      <w:tr w:rsidR="00794A50" w:rsidRPr="00794A50" w:rsidTr="00384774">
        <w:trPr>
          <w:trHeight w:val="362"/>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pero NO en la página de inicio</w:t>
            </w:r>
          </w:p>
        </w:tc>
      </w:tr>
      <w:tr w:rsidR="00794A50" w:rsidRPr="00794A50" w:rsidTr="00384774">
        <w:trPr>
          <w:trHeight w:val="6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existe un apartado específico de transparencia</w:t>
            </w:r>
          </w:p>
        </w:tc>
      </w:tr>
    </w:tbl>
    <w:p w:rsidR="00794A50" w:rsidRPr="00596EDD" w:rsidRDefault="00794A50" w:rsidP="00596EDD"/>
    <w:sectPr w:rsidR="00794A50" w:rsidRPr="00596EDD">
      <w:headerReference w:type="even" r:id="rId18"/>
      <w:headerReference w:type="default" r:id="rId19"/>
      <w:footerReference w:type="even" r:id="rId20"/>
      <w:footerReference w:type="default" r:id="rId21"/>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5A" w:rsidRDefault="0078315A">
      <w:pPr>
        <w:spacing w:after="0" w:line="240" w:lineRule="auto"/>
      </w:pPr>
      <w:r>
        <w:separator/>
      </w:r>
    </w:p>
  </w:endnote>
  <w:endnote w:type="continuationSeparator" w:id="0">
    <w:p w:rsidR="0078315A" w:rsidRDefault="0078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5A" w:rsidRDefault="0078315A">
    <w:r>
      <w:fldChar w:fldCharType="begin"/>
    </w:r>
    <w:r>
      <w:instrText>PAGE   \* MERGEFORMAT</w:instrText>
    </w:r>
    <w:r>
      <w:fldChar w:fldCharType="separate"/>
    </w:r>
    <w:r w:rsidR="00BF317B">
      <w:rPr>
        <w:noProof/>
      </w:rPr>
      <w:t>8</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632"/>
      <w:gridCol w:w="990"/>
    </w:tblGrid>
    <w:tr w:rsidR="0078315A">
      <w:trPr>
        <w:trHeight w:hRule="exact" w:val="72"/>
      </w:trPr>
      <w:tc>
        <w:tcPr>
          <w:tcW w:w="2718" w:type="dxa"/>
          <w:tcBorders>
            <w:top w:val="single" w:sz="12" w:space="0" w:color="438086" w:themeColor="accent2"/>
            <w:bottom w:val="single" w:sz="2" w:space="0" w:color="438086" w:themeColor="accent2"/>
          </w:tcBorders>
        </w:tcPr>
        <w:p w:rsidR="0078315A" w:rsidRDefault="0078315A">
          <w:pPr>
            <w:pStyle w:val="Sinespaciado"/>
          </w:pPr>
        </w:p>
      </w:tc>
      <w:tc>
        <w:tcPr>
          <w:tcW w:w="1017" w:type="dxa"/>
          <w:tcBorders>
            <w:bottom w:val="single" w:sz="2" w:space="0" w:color="438086" w:themeColor="accent2"/>
          </w:tcBorders>
        </w:tcPr>
        <w:p w:rsidR="0078315A" w:rsidRDefault="0078315A">
          <w:pPr>
            <w:pStyle w:val="Sinespaciado"/>
          </w:pPr>
        </w:p>
      </w:tc>
    </w:tr>
  </w:tbl>
  <w:p w:rsidR="0078315A" w:rsidRDefault="007831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5A" w:rsidRPr="008876B2" w:rsidRDefault="0078315A">
    <w:pPr>
      <w:jc w:val="right"/>
    </w:pPr>
    <w:r>
      <w:t>CTBG. Subdirección General de Transparencia y Buen Gobierno</w:t>
    </w:r>
    <w:r w:rsidRPr="008876B2">
      <w:t xml:space="preserve">.  </w:t>
    </w:r>
    <w:r w:rsidRPr="008876B2">
      <w:fldChar w:fldCharType="begin"/>
    </w:r>
    <w:r w:rsidRPr="008876B2">
      <w:instrText>PAGE   \* MERGEFORMAT</w:instrText>
    </w:r>
    <w:r w:rsidRPr="008876B2">
      <w:fldChar w:fldCharType="separate"/>
    </w:r>
    <w:r w:rsidR="00BF317B">
      <w:rPr>
        <w:noProof/>
      </w:rPr>
      <w:t>9</w:t>
    </w:r>
    <w:r w:rsidRPr="008876B2">
      <w:fldChar w:fldCharType="end"/>
    </w:r>
    <w:r w:rsidRPr="008876B2">
      <w:t xml:space="preserve"> </w:t>
    </w:r>
    <w:r w:rsidRPr="008876B2">
      <w:rPr>
        <w:color w:val="A04DA3" w:themeColor="accent3"/>
      </w:rPr>
      <w:sym w:font="Wingdings 2" w:char="F097"/>
    </w:r>
    <w:r w:rsidRPr="008876B2">
      <w:t xml:space="preserve"> </w:t>
    </w:r>
  </w:p>
  <w:tbl>
    <w:tblPr>
      <w:tblW w:w="1950" w:type="pct"/>
      <w:jc w:val="right"/>
      <w:tblLook w:val="04A0" w:firstRow="1" w:lastRow="0" w:firstColumn="1" w:lastColumn="0" w:noHBand="0" w:noVBand="1"/>
    </w:tblPr>
    <w:tblGrid>
      <w:gridCol w:w="1044"/>
      <w:gridCol w:w="2578"/>
    </w:tblGrid>
    <w:tr w:rsidR="0078315A">
      <w:trPr>
        <w:trHeight w:hRule="exact" w:val="72"/>
        <w:jc w:val="right"/>
      </w:trPr>
      <w:tc>
        <w:tcPr>
          <w:tcW w:w="1098" w:type="dxa"/>
          <w:tcBorders>
            <w:bottom w:val="single" w:sz="2" w:space="0" w:color="438086" w:themeColor="accent2"/>
          </w:tcBorders>
        </w:tcPr>
        <w:p w:rsidR="0078315A" w:rsidRDefault="0078315A">
          <w:pPr>
            <w:pStyle w:val="Sinespaciado"/>
          </w:pPr>
        </w:p>
      </w:tc>
      <w:tc>
        <w:tcPr>
          <w:tcW w:w="2732" w:type="dxa"/>
          <w:tcBorders>
            <w:top w:val="single" w:sz="12" w:space="0" w:color="438086" w:themeColor="accent2"/>
            <w:bottom w:val="single" w:sz="2" w:space="0" w:color="438086" w:themeColor="accent2"/>
          </w:tcBorders>
        </w:tcPr>
        <w:p w:rsidR="0078315A" w:rsidRDefault="0078315A">
          <w:pPr>
            <w:pStyle w:val="Sinespaciado"/>
          </w:pPr>
        </w:p>
      </w:tc>
    </w:tr>
  </w:tbl>
  <w:p w:rsidR="0078315A" w:rsidRDefault="007831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5A" w:rsidRDefault="0078315A">
      <w:pPr>
        <w:spacing w:after="0" w:line="240" w:lineRule="auto"/>
      </w:pPr>
      <w:r>
        <w:separator/>
      </w:r>
    </w:p>
  </w:footnote>
  <w:footnote w:type="continuationSeparator" w:id="0">
    <w:p w:rsidR="0078315A" w:rsidRDefault="00783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rsidR="0078315A" w:rsidRDefault="0078315A" w:rsidP="006219DA">
        <w:pPr>
          <w:pStyle w:val="Encabezado"/>
          <w:pBdr>
            <w:bottom w:val="single" w:sz="4" w:space="0" w:color="auto"/>
          </w:pBdr>
          <w:jc w:val="right"/>
        </w:pPr>
        <w:r>
          <w:t xml:space="preserve">CTBG. Subdirección General de Transparencia y Buen Gobierno.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5A" w:rsidRPr="008876B2" w:rsidRDefault="0078315A">
    <w:pPr>
      <w:pStyle w:val="Encabezado"/>
      <w:pBdr>
        <w:bottom w:val="single" w:sz="4" w:space="0" w:color="auto"/>
      </w:pBdr>
      <w:jc w:val="right"/>
    </w:pPr>
    <w:r w:rsidRPr="008876B2">
      <w:t>Plan de e</w:t>
    </w:r>
    <w:r>
      <w:t xml:space="preserve">valuación 2022. Evaluación de los </w:t>
    </w:r>
    <w:r w:rsidRPr="00F07996">
      <w:t xml:space="preserve">Órganos </w:t>
    </w:r>
    <w:r>
      <w:t xml:space="preserve">reguladores y </w:t>
    </w:r>
    <w:r w:rsidRPr="00F07996">
      <w:t xml:space="preserve">supervisores </w:t>
    </w:r>
    <w:r>
      <w:t xml:space="preserve"> y de</w:t>
    </w:r>
    <w:r w:rsidRPr="00F07996">
      <w:t xml:space="preserve"> </w:t>
    </w:r>
    <w:r>
      <w:t>la</w:t>
    </w:r>
    <w:r w:rsidRPr="008876B2">
      <w:t>s Autoridades Administrativas Independiente</w:t>
    </w:r>
    <w:r>
      <w:t>s</w:t>
    </w:r>
    <w:r w:rsidRPr="008876B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4533_"/>
      </v:shape>
    </w:pict>
  </w:numPicBullet>
  <w:numPicBullet w:numPicBulletId="1">
    <w:pict>
      <v:shape id="_x0000_i1044" type="#_x0000_t75" style="width:9pt;height:9pt" o:bullet="t">
        <v:imagedata r:id="rId2" o:title="BD10268_"/>
      </v:shape>
    </w:pict>
  </w:numPicBullet>
  <w:numPicBullet w:numPicBulletId="2">
    <w:pict>
      <v:shape id="_x0000_i1045" type="#_x0000_t75" style="width:11.25pt;height:11.25pt" o:bullet="t">
        <v:imagedata r:id="rId3" o:title="BD14529_"/>
      </v:shape>
    </w:pict>
  </w:numPicBullet>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Listaconvietasurbana"/>
  </w:abstractNum>
  <w:abstractNum w:abstractNumId="11">
    <w:nsid w:val="0482200E"/>
    <w:multiLevelType w:val="hybridMultilevel"/>
    <w:tmpl w:val="E6C6F8CE"/>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C38E4"/>
    <w:multiLevelType w:val="multilevel"/>
    <w:tmpl w:val="33B056D0"/>
    <w:numStyleLink w:val="Listaconvietasurbana"/>
  </w:abstractNum>
  <w:abstractNum w:abstractNumId="13">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4">
    <w:nsid w:val="12796372"/>
    <w:multiLevelType w:val="hybridMultilevel"/>
    <w:tmpl w:val="D1821594"/>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9550593"/>
    <w:multiLevelType w:val="hybridMultilevel"/>
    <w:tmpl w:val="1E423E76"/>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7">
    <w:nsid w:val="1A6C5517"/>
    <w:multiLevelType w:val="multilevel"/>
    <w:tmpl w:val="7AC6A14E"/>
    <w:numStyleLink w:val="Listanumeradaurbana"/>
  </w:abstractNum>
  <w:abstractNum w:abstractNumId="18">
    <w:nsid w:val="1DDE73E0"/>
    <w:multiLevelType w:val="multilevel"/>
    <w:tmpl w:val="33B056D0"/>
    <w:numStyleLink w:val="Listaconvietasurbana"/>
  </w:abstractNum>
  <w:abstractNum w:abstractNumId="19">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0">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43303F17"/>
    <w:multiLevelType w:val="hybridMultilevel"/>
    <w:tmpl w:val="4000B040"/>
    <w:lvl w:ilvl="0" w:tplc="A6C45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8">
    <w:nsid w:val="57911FB4"/>
    <w:multiLevelType w:val="hybridMultilevel"/>
    <w:tmpl w:val="D6B69FD2"/>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CA42F2"/>
    <w:multiLevelType w:val="hybridMultilevel"/>
    <w:tmpl w:val="F60CC51C"/>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C70A48"/>
    <w:multiLevelType w:val="hybridMultilevel"/>
    <w:tmpl w:val="60F65B56"/>
    <w:lvl w:ilvl="0" w:tplc="59F6C5FA">
      <w:start w:val="5"/>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751600"/>
    <w:multiLevelType w:val="hybridMultilevel"/>
    <w:tmpl w:val="38F8EBC4"/>
    <w:lvl w:ilvl="0" w:tplc="5C1E6DF8">
      <w:start w:val="1"/>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E8022B"/>
    <w:multiLevelType w:val="multilevel"/>
    <w:tmpl w:val="33B056D0"/>
    <w:numStyleLink w:val="Listaconvietasurbana"/>
  </w:abstractNum>
  <w:abstractNum w:abstractNumId="33">
    <w:nsid w:val="6F0D0B31"/>
    <w:multiLevelType w:val="multilevel"/>
    <w:tmpl w:val="7AC6A14E"/>
    <w:numStyleLink w:val="Listanumeradaurbana"/>
  </w:abstractNum>
  <w:abstractNum w:abstractNumId="34">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5">
    <w:nsid w:val="733505FE"/>
    <w:multiLevelType w:val="hybridMultilevel"/>
    <w:tmpl w:val="41F4AC88"/>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740294"/>
    <w:multiLevelType w:val="multilevel"/>
    <w:tmpl w:val="33B056D0"/>
    <w:numStyleLink w:val="Listaconvietasurbana"/>
  </w:abstractNum>
  <w:abstractNum w:abstractNumId="37">
    <w:nsid w:val="76921C5B"/>
    <w:multiLevelType w:val="multilevel"/>
    <w:tmpl w:val="33B056D0"/>
    <w:numStyleLink w:val="Listaconvietasurbana"/>
  </w:abstractNum>
  <w:abstractNum w:abstractNumId="38">
    <w:nsid w:val="7E025C09"/>
    <w:multiLevelType w:val="multilevel"/>
    <w:tmpl w:val="33B056D0"/>
    <w:numStyleLink w:val="Listaconvietasurbana"/>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5"/>
  </w:num>
  <w:num w:numId="14">
    <w:abstractNumId w:val="21"/>
  </w:num>
  <w:num w:numId="15">
    <w:abstractNumId w:val="34"/>
  </w:num>
  <w:num w:numId="16">
    <w:abstractNumId w:val="20"/>
  </w:num>
  <w:num w:numId="17">
    <w:abstractNumId w:val="23"/>
  </w:num>
  <w:num w:numId="18">
    <w:abstractNumId w:val="12"/>
  </w:num>
  <w:num w:numId="19">
    <w:abstractNumId w:val="36"/>
  </w:num>
  <w:num w:numId="20">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32"/>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3"/>
  </w:num>
  <w:num w:numId="23">
    <w:abstractNumId w:val="33"/>
  </w:num>
  <w:num w:numId="24">
    <w:abstractNumId w:val="17"/>
  </w:num>
  <w:num w:numId="25">
    <w:abstractNumId w:val="16"/>
  </w:num>
  <w:num w:numId="26">
    <w:abstractNumId w:val="10"/>
  </w:num>
  <w:num w:numId="27">
    <w:abstractNumId w:val="38"/>
  </w:num>
  <w:num w:numId="28">
    <w:abstractNumId w:val="27"/>
  </w:num>
  <w:num w:numId="29">
    <w:abstractNumId w:val="19"/>
  </w:num>
  <w:num w:numId="30">
    <w:abstractNumId w:val="18"/>
  </w:num>
  <w:num w:numId="31">
    <w:abstractNumId w:val="18"/>
  </w:num>
  <w:num w:numId="32">
    <w:abstractNumId w:val="18"/>
  </w:num>
  <w:num w:numId="33">
    <w:abstractNumId w:val="23"/>
  </w:num>
  <w:num w:numId="34">
    <w:abstractNumId w:val="13"/>
  </w:num>
  <w:num w:numId="35">
    <w:abstractNumId w:val="23"/>
  </w:num>
  <w:num w:numId="36">
    <w:abstractNumId w:val="23"/>
  </w:num>
  <w:num w:numId="37">
    <w:abstractNumId w:val="23"/>
  </w:num>
  <w:num w:numId="38">
    <w:abstractNumId w:val="23"/>
  </w:num>
  <w:num w:numId="39">
    <w:abstractNumId w:val="13"/>
  </w:num>
  <w:num w:numId="40">
    <w:abstractNumId w:val="31"/>
  </w:num>
  <w:num w:numId="41">
    <w:abstractNumId w:val="28"/>
  </w:num>
  <w:num w:numId="42">
    <w:abstractNumId w:val="11"/>
  </w:num>
  <w:num w:numId="43">
    <w:abstractNumId w:val="29"/>
  </w:num>
  <w:num w:numId="44">
    <w:abstractNumId w:val="15"/>
  </w:num>
  <w:num w:numId="45">
    <w:abstractNumId w:val="14"/>
  </w:num>
  <w:num w:numId="46">
    <w:abstractNumId w:val="35"/>
  </w:num>
  <w:num w:numId="47">
    <w:abstractNumId w:val="3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B2"/>
    <w:rsid w:val="00004C5D"/>
    <w:rsid w:val="000302F6"/>
    <w:rsid w:val="00041E47"/>
    <w:rsid w:val="00053BF4"/>
    <w:rsid w:val="000556BB"/>
    <w:rsid w:val="00077CDF"/>
    <w:rsid w:val="0008061C"/>
    <w:rsid w:val="00090A3E"/>
    <w:rsid w:val="000A68D7"/>
    <w:rsid w:val="000B5A54"/>
    <w:rsid w:val="000C4A0A"/>
    <w:rsid w:val="000E0645"/>
    <w:rsid w:val="000E1511"/>
    <w:rsid w:val="000F0116"/>
    <w:rsid w:val="000F5663"/>
    <w:rsid w:val="000F6C27"/>
    <w:rsid w:val="00100FDC"/>
    <w:rsid w:val="00115E70"/>
    <w:rsid w:val="00131645"/>
    <w:rsid w:val="00146232"/>
    <w:rsid w:val="00146504"/>
    <w:rsid w:val="00152FBA"/>
    <w:rsid w:val="001725D8"/>
    <w:rsid w:val="00174861"/>
    <w:rsid w:val="0019120F"/>
    <w:rsid w:val="00195B99"/>
    <w:rsid w:val="001D364C"/>
    <w:rsid w:val="001D5FAD"/>
    <w:rsid w:val="00205084"/>
    <w:rsid w:val="002136D7"/>
    <w:rsid w:val="002313A7"/>
    <w:rsid w:val="00235A5B"/>
    <w:rsid w:val="00247E8E"/>
    <w:rsid w:val="0026153E"/>
    <w:rsid w:val="002652DB"/>
    <w:rsid w:val="0028680F"/>
    <w:rsid w:val="002D79EE"/>
    <w:rsid w:val="002F2CAA"/>
    <w:rsid w:val="003220BF"/>
    <w:rsid w:val="00341355"/>
    <w:rsid w:val="00352180"/>
    <w:rsid w:val="00355F1A"/>
    <w:rsid w:val="003601CC"/>
    <w:rsid w:val="00384774"/>
    <w:rsid w:val="00395F26"/>
    <w:rsid w:val="003A61D2"/>
    <w:rsid w:val="003C3FCE"/>
    <w:rsid w:val="003C4162"/>
    <w:rsid w:val="003D5691"/>
    <w:rsid w:val="003F10D6"/>
    <w:rsid w:val="003F1417"/>
    <w:rsid w:val="0040196E"/>
    <w:rsid w:val="00406C3D"/>
    <w:rsid w:val="00406DDA"/>
    <w:rsid w:val="00413C4E"/>
    <w:rsid w:val="00415CDA"/>
    <w:rsid w:val="00417966"/>
    <w:rsid w:val="004254B3"/>
    <w:rsid w:val="004452FC"/>
    <w:rsid w:val="0047212C"/>
    <w:rsid w:val="00497839"/>
    <w:rsid w:val="004A60E2"/>
    <w:rsid w:val="004B515C"/>
    <w:rsid w:val="004B5A06"/>
    <w:rsid w:val="004C21D3"/>
    <w:rsid w:val="004C792C"/>
    <w:rsid w:val="00513EC7"/>
    <w:rsid w:val="0051614E"/>
    <w:rsid w:val="00520912"/>
    <w:rsid w:val="0052794A"/>
    <w:rsid w:val="00535CD6"/>
    <w:rsid w:val="00550FCC"/>
    <w:rsid w:val="00563729"/>
    <w:rsid w:val="005718D7"/>
    <w:rsid w:val="00586E2F"/>
    <w:rsid w:val="005915F6"/>
    <w:rsid w:val="00596EDD"/>
    <w:rsid w:val="005A1B1B"/>
    <w:rsid w:val="005B7C64"/>
    <w:rsid w:val="005C4D90"/>
    <w:rsid w:val="005C658E"/>
    <w:rsid w:val="005F0168"/>
    <w:rsid w:val="005F586A"/>
    <w:rsid w:val="006219DA"/>
    <w:rsid w:val="0062716C"/>
    <w:rsid w:val="006350B7"/>
    <w:rsid w:val="006469F3"/>
    <w:rsid w:val="0065420F"/>
    <w:rsid w:val="00683852"/>
    <w:rsid w:val="006A2316"/>
    <w:rsid w:val="006A42D4"/>
    <w:rsid w:val="006A7B1F"/>
    <w:rsid w:val="006C0613"/>
    <w:rsid w:val="006C3C82"/>
    <w:rsid w:val="006D0307"/>
    <w:rsid w:val="006E01D9"/>
    <w:rsid w:val="00702E58"/>
    <w:rsid w:val="00743995"/>
    <w:rsid w:val="00770643"/>
    <w:rsid w:val="0077256F"/>
    <w:rsid w:val="00777DE9"/>
    <w:rsid w:val="0078315A"/>
    <w:rsid w:val="00794A50"/>
    <w:rsid w:val="007E1A7A"/>
    <w:rsid w:val="00801472"/>
    <w:rsid w:val="00811B08"/>
    <w:rsid w:val="008176A6"/>
    <w:rsid w:val="008220D7"/>
    <w:rsid w:val="00841A00"/>
    <w:rsid w:val="008876B2"/>
    <w:rsid w:val="008929EF"/>
    <w:rsid w:val="008F0A3A"/>
    <w:rsid w:val="00902A11"/>
    <w:rsid w:val="00925B4F"/>
    <w:rsid w:val="009318F3"/>
    <w:rsid w:val="00954BE4"/>
    <w:rsid w:val="00973C9C"/>
    <w:rsid w:val="00976AE5"/>
    <w:rsid w:val="009832A4"/>
    <w:rsid w:val="00984881"/>
    <w:rsid w:val="00990975"/>
    <w:rsid w:val="009974F4"/>
    <w:rsid w:val="009B2880"/>
    <w:rsid w:val="009D3AA0"/>
    <w:rsid w:val="009E3455"/>
    <w:rsid w:val="009E5841"/>
    <w:rsid w:val="009F1F97"/>
    <w:rsid w:val="009F5AAA"/>
    <w:rsid w:val="00A06568"/>
    <w:rsid w:val="00A1419A"/>
    <w:rsid w:val="00A32599"/>
    <w:rsid w:val="00A526BF"/>
    <w:rsid w:val="00A61B8E"/>
    <w:rsid w:val="00A643EA"/>
    <w:rsid w:val="00AA2D83"/>
    <w:rsid w:val="00AB0ABE"/>
    <w:rsid w:val="00AF02EB"/>
    <w:rsid w:val="00B044F3"/>
    <w:rsid w:val="00B057CB"/>
    <w:rsid w:val="00B17F38"/>
    <w:rsid w:val="00B305DD"/>
    <w:rsid w:val="00B529FF"/>
    <w:rsid w:val="00B7453A"/>
    <w:rsid w:val="00B86CD2"/>
    <w:rsid w:val="00BA0F1A"/>
    <w:rsid w:val="00BC6A56"/>
    <w:rsid w:val="00BD3DF5"/>
    <w:rsid w:val="00BD3E3D"/>
    <w:rsid w:val="00BE4B72"/>
    <w:rsid w:val="00BE52F3"/>
    <w:rsid w:val="00BF317B"/>
    <w:rsid w:val="00C05C6E"/>
    <w:rsid w:val="00C12FE5"/>
    <w:rsid w:val="00C31F9B"/>
    <w:rsid w:val="00C40C8D"/>
    <w:rsid w:val="00C95495"/>
    <w:rsid w:val="00CA722F"/>
    <w:rsid w:val="00CB65E7"/>
    <w:rsid w:val="00CB6D6C"/>
    <w:rsid w:val="00CD6E1B"/>
    <w:rsid w:val="00CE43A8"/>
    <w:rsid w:val="00D01F89"/>
    <w:rsid w:val="00D23563"/>
    <w:rsid w:val="00D438E9"/>
    <w:rsid w:val="00D631CC"/>
    <w:rsid w:val="00D67951"/>
    <w:rsid w:val="00DD12EA"/>
    <w:rsid w:val="00DF7C00"/>
    <w:rsid w:val="00E1322B"/>
    <w:rsid w:val="00E77AED"/>
    <w:rsid w:val="00E924EF"/>
    <w:rsid w:val="00ED12AD"/>
    <w:rsid w:val="00EE04EB"/>
    <w:rsid w:val="00F07996"/>
    <w:rsid w:val="00F22E36"/>
    <w:rsid w:val="00F23B80"/>
    <w:rsid w:val="00F23BD7"/>
    <w:rsid w:val="00F245CD"/>
    <w:rsid w:val="00F279CA"/>
    <w:rsid w:val="00F27CB0"/>
    <w:rsid w:val="00F358D1"/>
    <w:rsid w:val="00F422E6"/>
    <w:rsid w:val="00F43FB5"/>
    <w:rsid w:val="00F53FF2"/>
    <w:rsid w:val="00F931F3"/>
    <w:rsid w:val="00F95BEE"/>
    <w:rsid w:val="00F95EE9"/>
    <w:rsid w:val="00FA5D07"/>
    <w:rsid w:val="00FB0796"/>
    <w:rsid w:val="00FB32A8"/>
    <w:rsid w:val="00FC3BD8"/>
    <w:rsid w:val="00FF20A2"/>
    <w:rsid w:val="00FF5F43"/>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801472"/>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801472"/>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table" w:styleId="Cuadrculamedia3-nfasis2">
    <w:name w:val="Medium Grid 3 Accent 2"/>
    <w:basedOn w:val="Tablanormal"/>
    <w:uiPriority w:val="42"/>
    <w:rsid w:val="007831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801472"/>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801472"/>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table" w:styleId="Cuadrculamedia3-nfasis2">
    <w:name w:val="Medium Grid 3 Accent 2"/>
    <w:basedOn w:val="Tablanormal"/>
    <w:uiPriority w:val="42"/>
    <w:rsid w:val="007831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DSIC.ES\sscc\550Grupos\ctbg-sgtbg\14%20MEMORIA\MEMORIA%202022\ORGANOS%20CONSTITUCIONALES,%20SUPERVISORES%20Y%20AAI\Tablas%20cumplimiento%20OOCC%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IC.ES\sscc\550Grupos\ctbg-sgtbg\14%20MEMORIA\MEMORIA%202021\01%20&#211;RGANOS%20CONSTITUCIONALES_AAI_OOSUPERVISI&#211;N\Tablas%20cumplimiento%20OOCC.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Hoja1!$N$3:$N$9</c:f>
              <c:strCache>
                <c:ptCount val="1"/>
                <c:pt idx="0">
                  <c:v>50,0% 0,0% 16,7% 33,3% 16,7% 0,0% 0,0%</c:v>
                </c:pt>
              </c:strCache>
            </c:strRef>
          </c:tx>
          <c:spPr>
            <a:solidFill>
              <a:schemeClr val="accent2"/>
            </a:solidFill>
          </c:spPr>
          <c:invertIfNegative val="0"/>
          <c:dLbls>
            <c:showLegendKey val="0"/>
            <c:showVal val="1"/>
            <c:showCatName val="0"/>
            <c:showSerName val="0"/>
            <c:showPercent val="0"/>
            <c:showBubbleSize val="0"/>
            <c:showLeaderLines val="0"/>
          </c:dLbls>
          <c:cat>
            <c:strRef>
              <c:f>Hoja1!$M$3:$M$9</c:f>
              <c:strCache>
                <c:ptCount val="7"/>
                <c:pt idx="0">
                  <c:v>100%</c:v>
                </c:pt>
                <c:pt idx="1">
                  <c:v>80-99,9%</c:v>
                </c:pt>
                <c:pt idx="2">
                  <c:v>60-79,9%</c:v>
                </c:pt>
                <c:pt idx="3">
                  <c:v>40-59,9%</c:v>
                </c:pt>
                <c:pt idx="4">
                  <c:v>20-39,9%</c:v>
                </c:pt>
                <c:pt idx="5">
                  <c:v>1-19,9%</c:v>
                </c:pt>
                <c:pt idx="6">
                  <c:v>0%</c:v>
                </c:pt>
              </c:strCache>
            </c:strRef>
          </c:cat>
          <c:val>
            <c:numRef>
              <c:f>Hoja1!$N$3:$N$9</c:f>
              <c:numCache>
                <c:formatCode>0.0%</c:formatCode>
                <c:ptCount val="7"/>
                <c:pt idx="0">
                  <c:v>0.5</c:v>
                </c:pt>
                <c:pt idx="1">
                  <c:v>0</c:v>
                </c:pt>
                <c:pt idx="2">
                  <c:v>0.16666666666666666</c:v>
                </c:pt>
                <c:pt idx="3">
                  <c:v>0.33333333333333331</c:v>
                </c:pt>
                <c:pt idx="4">
                  <c:v>0.16666666666666666</c:v>
                </c:pt>
                <c:pt idx="5">
                  <c:v>0</c:v>
                </c:pt>
                <c:pt idx="6">
                  <c:v>0</c:v>
                </c:pt>
              </c:numCache>
            </c:numRef>
          </c:val>
        </c:ser>
        <c:dLbls>
          <c:showLegendKey val="0"/>
          <c:showVal val="0"/>
          <c:showCatName val="0"/>
          <c:showSerName val="0"/>
          <c:showPercent val="0"/>
          <c:showBubbleSize val="0"/>
        </c:dLbls>
        <c:gapWidth val="150"/>
        <c:axId val="215054976"/>
        <c:axId val="291226368"/>
      </c:barChart>
      <c:catAx>
        <c:axId val="215054976"/>
        <c:scaling>
          <c:orientation val="minMax"/>
        </c:scaling>
        <c:delete val="0"/>
        <c:axPos val="b"/>
        <c:title>
          <c:tx>
            <c:rich>
              <a:bodyPr/>
              <a:lstStyle/>
              <a:p>
                <a:pPr>
                  <a:defRPr/>
                </a:pPr>
                <a:r>
                  <a:rPr lang="es-ES"/>
                  <a:t>% de recomendaciones aplicadas</a:t>
                </a:r>
              </a:p>
            </c:rich>
          </c:tx>
          <c:layout/>
          <c:overlay val="0"/>
        </c:title>
        <c:majorTickMark val="out"/>
        <c:minorTickMark val="none"/>
        <c:tickLblPos val="nextTo"/>
        <c:crossAx val="291226368"/>
        <c:crosses val="autoZero"/>
        <c:auto val="1"/>
        <c:lblAlgn val="ctr"/>
        <c:lblOffset val="100"/>
        <c:noMultiLvlLbl val="0"/>
      </c:catAx>
      <c:valAx>
        <c:axId val="291226368"/>
        <c:scaling>
          <c:orientation val="minMax"/>
          <c:max val="1"/>
        </c:scaling>
        <c:delete val="0"/>
        <c:axPos val="l"/>
        <c:title>
          <c:tx>
            <c:rich>
              <a:bodyPr rot="-5400000" vert="horz"/>
              <a:lstStyle/>
              <a:p>
                <a:pPr>
                  <a:defRPr/>
                </a:pPr>
                <a:r>
                  <a:rPr lang="es-ES"/>
                  <a:t>% de Instituciones</a:t>
                </a:r>
              </a:p>
            </c:rich>
          </c:tx>
          <c:layout/>
          <c:overlay val="0"/>
        </c:title>
        <c:numFmt formatCode="0%" sourceLinked="0"/>
        <c:majorTickMark val="out"/>
        <c:minorTickMark val="none"/>
        <c:tickLblPos val="nextTo"/>
        <c:crossAx val="215054976"/>
        <c:crosses val="autoZero"/>
        <c:crossBetween val="between"/>
        <c:majorUnit val="0.1"/>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AAI'!$L$28:$S$28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AAI'!$L$29:$S$29</c:f>
              <c:numCache>
                <c:formatCode>0.0%</c:formatCode>
                <c:ptCount val="8"/>
                <c:pt idx="0">
                  <c:v>0.98684210526315785</c:v>
                </c:pt>
                <c:pt idx="1">
                  <c:v>1</c:v>
                </c:pt>
                <c:pt idx="2">
                  <c:v>1</c:v>
                </c:pt>
                <c:pt idx="3">
                  <c:v>0.98245614035087714</c:v>
                </c:pt>
                <c:pt idx="4">
                  <c:v>1</c:v>
                </c:pt>
                <c:pt idx="5">
                  <c:v>0.94736842105263153</c:v>
                </c:pt>
                <c:pt idx="6">
                  <c:v>0.76315789473684215</c:v>
                </c:pt>
                <c:pt idx="7">
                  <c:v>0.9542606516290727</c:v>
                </c:pt>
              </c:numCache>
            </c:numRef>
          </c:val>
        </c:ser>
        <c:dLbls>
          <c:showLegendKey val="0"/>
          <c:showVal val="0"/>
          <c:showCatName val="0"/>
          <c:showSerName val="0"/>
          <c:showPercent val="0"/>
          <c:showBubbleSize val="0"/>
        </c:dLbls>
        <c:gapWidth val="150"/>
        <c:axId val="47986560"/>
        <c:axId val="47988096"/>
      </c:barChart>
      <c:catAx>
        <c:axId val="47986560"/>
        <c:scaling>
          <c:orientation val="minMax"/>
        </c:scaling>
        <c:delete val="0"/>
        <c:axPos val="b"/>
        <c:majorTickMark val="out"/>
        <c:minorTickMark val="none"/>
        <c:tickLblPos val="nextTo"/>
        <c:crossAx val="47988096"/>
        <c:crosses val="autoZero"/>
        <c:auto val="1"/>
        <c:lblAlgn val="ctr"/>
        <c:lblOffset val="100"/>
        <c:noMultiLvlLbl val="0"/>
      </c:catAx>
      <c:valAx>
        <c:axId val="47988096"/>
        <c:scaling>
          <c:orientation val="minMax"/>
          <c:max val="1"/>
        </c:scaling>
        <c:delete val="0"/>
        <c:axPos val="l"/>
        <c:numFmt formatCode="0%" sourceLinked="0"/>
        <c:majorTickMark val="out"/>
        <c:minorTickMark val="none"/>
        <c:tickLblPos val="nextTo"/>
        <c:crossAx val="47986560"/>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AAI'!$L$45:$S$45</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AAI'!$L$46:$S$46</c:f>
              <c:numCache>
                <c:formatCode>0.0%</c:formatCode>
                <c:ptCount val="8"/>
                <c:pt idx="0">
                  <c:v>1</c:v>
                </c:pt>
                <c:pt idx="1">
                  <c:v>1</c:v>
                </c:pt>
                <c:pt idx="2">
                  <c:v>1</c:v>
                </c:pt>
                <c:pt idx="3">
                  <c:v>1</c:v>
                </c:pt>
                <c:pt idx="4">
                  <c:v>1</c:v>
                </c:pt>
                <c:pt idx="5">
                  <c:v>1</c:v>
                </c:pt>
                <c:pt idx="6">
                  <c:v>0.9</c:v>
                </c:pt>
                <c:pt idx="7">
                  <c:v>0.98571428571428577</c:v>
                </c:pt>
              </c:numCache>
            </c:numRef>
          </c:val>
        </c:ser>
        <c:dLbls>
          <c:showLegendKey val="0"/>
          <c:showVal val="0"/>
          <c:showCatName val="0"/>
          <c:showSerName val="0"/>
          <c:showPercent val="0"/>
          <c:showBubbleSize val="0"/>
        </c:dLbls>
        <c:gapWidth val="150"/>
        <c:axId val="47995520"/>
        <c:axId val="47997312"/>
      </c:barChart>
      <c:catAx>
        <c:axId val="47995520"/>
        <c:scaling>
          <c:orientation val="minMax"/>
        </c:scaling>
        <c:delete val="0"/>
        <c:axPos val="b"/>
        <c:majorTickMark val="out"/>
        <c:minorTickMark val="none"/>
        <c:tickLblPos val="nextTo"/>
        <c:crossAx val="47997312"/>
        <c:crosses val="autoZero"/>
        <c:auto val="1"/>
        <c:lblAlgn val="ctr"/>
        <c:lblOffset val="100"/>
        <c:noMultiLvlLbl val="0"/>
      </c:catAx>
      <c:valAx>
        <c:axId val="47997312"/>
        <c:scaling>
          <c:orientation val="minMax"/>
          <c:max val="1"/>
          <c:min val="0"/>
        </c:scaling>
        <c:delete val="0"/>
        <c:axPos val="l"/>
        <c:numFmt formatCode="0%" sourceLinked="0"/>
        <c:majorTickMark val="out"/>
        <c:minorTickMark val="none"/>
        <c:tickLblPos val="nextTo"/>
        <c:crossAx val="47995520"/>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AAI'!$L$67:$S$67</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AAI'!$L$68:$S$68</c:f>
              <c:numCache>
                <c:formatCode>0.0%</c:formatCode>
                <c:ptCount val="8"/>
                <c:pt idx="0">
                  <c:v>0.87952808988764042</c:v>
                </c:pt>
                <c:pt idx="1">
                  <c:v>0.8089887640449438</c:v>
                </c:pt>
                <c:pt idx="2">
                  <c:v>0.88764044943820219</c:v>
                </c:pt>
                <c:pt idx="3">
                  <c:v>0.8089887640449438</c:v>
                </c:pt>
                <c:pt idx="4">
                  <c:v>0.88764044943820219</c:v>
                </c:pt>
                <c:pt idx="5">
                  <c:v>0.88764044943820219</c:v>
                </c:pt>
                <c:pt idx="6">
                  <c:v>0.7752808988764045</c:v>
                </c:pt>
                <c:pt idx="7">
                  <c:v>0.84795826645264838</c:v>
                </c:pt>
              </c:numCache>
            </c:numRef>
          </c:val>
        </c:ser>
        <c:dLbls>
          <c:showLegendKey val="0"/>
          <c:showVal val="0"/>
          <c:showCatName val="0"/>
          <c:showSerName val="0"/>
          <c:showPercent val="0"/>
          <c:showBubbleSize val="0"/>
        </c:dLbls>
        <c:gapWidth val="150"/>
        <c:axId val="48005504"/>
        <c:axId val="48007040"/>
      </c:barChart>
      <c:catAx>
        <c:axId val="48005504"/>
        <c:scaling>
          <c:orientation val="minMax"/>
        </c:scaling>
        <c:delete val="0"/>
        <c:axPos val="b"/>
        <c:majorTickMark val="out"/>
        <c:minorTickMark val="none"/>
        <c:tickLblPos val="nextTo"/>
        <c:crossAx val="48007040"/>
        <c:crosses val="autoZero"/>
        <c:auto val="1"/>
        <c:lblAlgn val="ctr"/>
        <c:lblOffset val="100"/>
        <c:noMultiLvlLbl val="0"/>
      </c:catAx>
      <c:valAx>
        <c:axId val="48007040"/>
        <c:scaling>
          <c:orientation val="minMax"/>
          <c:max val="1"/>
          <c:min val="0"/>
        </c:scaling>
        <c:delete val="0"/>
        <c:axPos val="l"/>
        <c:numFmt formatCode="0%" sourceLinked="0"/>
        <c:majorTickMark val="out"/>
        <c:minorTickMark val="none"/>
        <c:tickLblPos val="nextTo"/>
        <c:crossAx val="48005504"/>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AAI'!$L$49:$S$49</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AAI'!$L$50:$S$50</c:f>
              <c:numCache>
                <c:formatCode>0.0%</c:formatCode>
                <c:ptCount val="8"/>
                <c:pt idx="0">
                  <c:v>1</c:v>
                </c:pt>
                <c:pt idx="1">
                  <c:v>1</c:v>
                </c:pt>
                <c:pt idx="2">
                  <c:v>1</c:v>
                </c:pt>
                <c:pt idx="3">
                  <c:v>1</c:v>
                </c:pt>
                <c:pt idx="4">
                  <c:v>1</c:v>
                </c:pt>
                <c:pt idx="5">
                  <c:v>1</c:v>
                </c:pt>
                <c:pt idx="6">
                  <c:v>0.9</c:v>
                </c:pt>
                <c:pt idx="7">
                  <c:v>0.98571428571428577</c:v>
                </c:pt>
              </c:numCache>
            </c:numRef>
          </c:val>
        </c:ser>
        <c:dLbls>
          <c:showLegendKey val="0"/>
          <c:showVal val="0"/>
          <c:showCatName val="0"/>
          <c:showSerName val="0"/>
          <c:showPercent val="0"/>
          <c:showBubbleSize val="0"/>
        </c:dLbls>
        <c:gapWidth val="150"/>
        <c:axId val="48690688"/>
        <c:axId val="48692224"/>
      </c:barChart>
      <c:catAx>
        <c:axId val="48690688"/>
        <c:scaling>
          <c:orientation val="minMax"/>
        </c:scaling>
        <c:delete val="0"/>
        <c:axPos val="b"/>
        <c:majorTickMark val="out"/>
        <c:minorTickMark val="none"/>
        <c:tickLblPos val="nextTo"/>
        <c:crossAx val="48692224"/>
        <c:crosses val="autoZero"/>
        <c:auto val="1"/>
        <c:lblAlgn val="ctr"/>
        <c:lblOffset val="100"/>
        <c:noMultiLvlLbl val="0"/>
      </c:catAx>
      <c:valAx>
        <c:axId val="48692224"/>
        <c:scaling>
          <c:orientation val="minMax"/>
          <c:max val="1"/>
          <c:min val="0"/>
        </c:scaling>
        <c:delete val="0"/>
        <c:axPos val="l"/>
        <c:numFmt formatCode="0%" sourceLinked="0"/>
        <c:majorTickMark val="out"/>
        <c:minorTickMark val="none"/>
        <c:tickLblPos val="nextTo"/>
        <c:crossAx val="48690688"/>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AAI'!$B$28:$I$28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AAI'!$B$29:$I$29</c:f>
              <c:numCache>
                <c:formatCode>0.0%</c:formatCode>
                <c:ptCount val="8"/>
                <c:pt idx="0">
                  <c:v>0.92598709677419355</c:v>
                </c:pt>
                <c:pt idx="1">
                  <c:v>0.89032258064516134</c:v>
                </c:pt>
                <c:pt idx="2">
                  <c:v>0.93548387096774188</c:v>
                </c:pt>
                <c:pt idx="3">
                  <c:v>0.88387096774193552</c:v>
                </c:pt>
                <c:pt idx="4">
                  <c:v>0.93548387096774188</c:v>
                </c:pt>
                <c:pt idx="5">
                  <c:v>0.91612903225806452</c:v>
                </c:pt>
                <c:pt idx="6">
                  <c:v>0.76451612903225807</c:v>
                </c:pt>
                <c:pt idx="7">
                  <c:v>0.8931133640552994</c:v>
                </c:pt>
              </c:numCache>
            </c:numRef>
          </c:val>
        </c:ser>
        <c:dLbls>
          <c:showLegendKey val="0"/>
          <c:showVal val="0"/>
          <c:showCatName val="0"/>
          <c:showSerName val="0"/>
          <c:showPercent val="0"/>
          <c:showBubbleSize val="0"/>
        </c:dLbls>
        <c:gapWidth val="150"/>
        <c:axId val="152230528"/>
        <c:axId val="153403776"/>
      </c:barChart>
      <c:catAx>
        <c:axId val="152230528"/>
        <c:scaling>
          <c:orientation val="minMax"/>
        </c:scaling>
        <c:delete val="0"/>
        <c:axPos val="b"/>
        <c:majorTickMark val="out"/>
        <c:minorTickMark val="none"/>
        <c:tickLblPos val="nextTo"/>
        <c:crossAx val="153403776"/>
        <c:crosses val="autoZero"/>
        <c:auto val="1"/>
        <c:lblAlgn val="ctr"/>
        <c:lblOffset val="100"/>
        <c:noMultiLvlLbl val="0"/>
      </c:catAx>
      <c:valAx>
        <c:axId val="153403776"/>
        <c:scaling>
          <c:orientation val="minMax"/>
        </c:scaling>
        <c:delete val="0"/>
        <c:axPos val="l"/>
        <c:numFmt formatCode="0.0%" sourceLinked="1"/>
        <c:majorTickMark val="out"/>
        <c:minorTickMark val="none"/>
        <c:tickLblPos val="nextTo"/>
        <c:crossAx val="152230528"/>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A615-CB6E-4AEB-A69D-52C1FBCA7A33}">
  <ds:schemaRefs>
    <ds:schemaRef ds:uri="http://schemas.microsoft.com/sharepoint/v3/contenttype/forms"/>
  </ds:schemaRefs>
</ds:datastoreItem>
</file>

<file path=customXml/itemProps2.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3.xml><?xml version="1.0" encoding="utf-8"?>
<ds:datastoreItem xmlns:ds="http://schemas.openxmlformats.org/officeDocument/2006/customXml" ds:itemID="{FD9DCA35-0DB4-4037-88A5-F64ACEC3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UrbanReport.dotx</Template>
  <TotalTime>3343</TotalTime>
  <Pages>17</Pages>
  <Words>4130</Words>
  <Characters>22717</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evaluación sobre el cumplimiento de la LTAIBG por parte de los Órganos reguladores y supervisores y de las Autoridades Administrativas Independientes.</vt:lpstr>
      <vt:lpstr/>
    </vt:vector>
  </TitlesOfParts>
  <Company>SGAD</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sobre el cumplimiento de la LTAIBG por parte de los Órganos reguladores y supervisores y de las Autoridades Administrativas Independientes.</dc:title>
  <dc:subject>Evaluaciones 2022.CTBG</dc:subject>
  <dcterms:created xsi:type="dcterms:W3CDTF">2021-04-12T11:15:00Z</dcterms:created>
  <dcterms:modified xsi:type="dcterms:W3CDTF">2022-04-19T07:16:00Z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